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geometry, slope, sine/cosine aspect, elevation,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sz w:val="24"/>
        </w:rPr>
        <w:t xml:space="preserve">Zero-shot test performance across three fixed training seeds (mean</w:t>
      </w:r>
      <w:r>
        <w:rPr>
          <w:rFonts w:ascii="Times New Roman" w:hAnsi="Times New Roman" w:eastAsia="Times New Roman"/>
          <w:sz w:val="24"/>
        </w:rPr>
        <w:t xml:space="preserve"> </w:t>
      </w:r>
      <m:oMath>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descriptive population standard deviation). HR is polygon hit rate at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sz w:val="24"/>
        </w:rPr>
        <w:t xml:space="preserve">Zero-shot pixel F1 across held-out Troms</w:t>
      </w:r>
      <w:r>
        <w:rPr>
          <w:rFonts w:ascii="Times New Roman" w:hAnsi="Times New Roman" w:eastAsia="Times New Roman"/>
          <w:sz w:val="24"/>
        </w:rPr>
        <w:t xml:space="preserve">ø</w:t>
      </w:r>
      <w:r>
        <w:rPr>
          <w:rFonts w:ascii="Times New Roman" w:hAnsi="Times New Roman" w:eastAsia="Times New Roman"/>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 xml:space="preserve">The full architecture is not the best pooled configuration (Table </w:t>
      </w:r>
      <w:hyperlink w:anchor="tab:ablation">
        <w:r>
          <w:rPr>
            <w:rStyle w:val="Hyperlink"/>
          </w:rPr>
          <w:t xml:space="preserve">3</w:t>
        </w:r>
      </w:hyperlink>
      <w:r>
        <w:rPr>
          <w:rFonts w:ascii="Times New Roman" w:hAnsi="Times New Roman" w:eastAsia="Times New Roman"/>
          <w:sz w:val="24"/>
        </w:rPr>
        <w:t xml:space="preserve">). Removing aspect and its fixed-reference coordinate or removing cross-attention increases pooled macro F1 to</w:t>
      </w:r>
      <w:r>
        <w:rPr>
          <w:rFonts w:ascii="Times New Roman" w:hAnsi="Times New Roman" w:eastAsia="Times New Roman"/>
          <w:sz w:val="24"/>
        </w:rPr>
        <w:t xml:space="preserve"> </w:t>
      </w:r>
      <m:oMath>
        <m:r>
          <m:t>65.35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65.07</m:t>
        </m:r>
        <m:r>
          <m:rPr>
            <m:sty m:val="p"/>
          </m:rPr>
          <m:t>%</m:t>
        </m:r>
      </m:oMath>
      <w:r>
        <w:rPr>
          <w:rFonts w:ascii="Times New Roman" w:hAnsi="Times New Roman" w:eastAsia="Times New Roman"/>
          <w:sz w:val="24"/>
        </w:rPr>
        <w:t xml:space="preserve">, respectively, mainly through gains in Pish. In Troms</w:t>
      </w:r>
      <w:r>
        <w:rPr>
          <w:rFonts w:ascii="Times New Roman" w:hAnsi="Times New Roman" w:eastAsia="Times New Roman"/>
          <w:sz w:val="24"/>
        </w:rPr>
        <w:t xml:space="preserve">ø</w:t>
      </w:r>
      <w:r>
        <w:rPr>
          <w:rFonts w:ascii="Times New Roman" w:hAnsi="Times New Roman" w:eastAsia="Times New Roman"/>
          <w:sz w:val="24"/>
        </w:rPr>
        <w:t xml:space="preserve">, seed-42 paired block tests favour the full model over No-LIA by</w:t>
      </w:r>
      <w:r>
        <w:rPr>
          <w:rFonts w:ascii="Times New Roman" w:hAnsi="Times New Roman" w:eastAsia="Times New Roman"/>
          <w:sz w:val="24"/>
        </w:rPr>
        <w:t xml:space="preserve"> </w:t>
      </w:r>
      <m:oMath>
        <m:r>
          <m:t>2.04</m:t>
        </m:r>
      </m:oMath>
      <w:r>
        <w:rPr>
          <w:rFonts w:ascii="Times New Roman" w:hAnsi="Times New Roman" w:eastAsia="Times New Roman"/>
          <w:sz w:val="24"/>
        </w:rPr>
        <w:t xml:space="preserve"> </w:t>
      </w:r>
      <w:r>
        <w:rPr>
          <w:rFonts w:ascii="Times New Roman" w:hAnsi="Times New Roman" w:eastAsia="Times New Roman"/>
          <w:sz w:val="24"/>
        </w:rPr>
        <w:t xml:space="preserve">percentage points (</w:t>
      </w:r>
      <m:oMath>
        <m:r>
          <m:t>p</m:t>
        </m:r>
        <m:r>
          <m:rPr>
            <m:sty m:val="p"/>
          </m:rPr>
          <m:t>&lt;</m:t>
        </m:r>
        <m:r>
          <m:t>0.001</m:t>
        </m:r>
      </m:oMath>
      <w:r>
        <w:rPr>
          <w:rFonts w:ascii="Times New Roman" w:hAnsi="Times New Roman" w:eastAsia="Times New Roman"/>
          <w:sz w:val="24"/>
        </w:rPr>
        <w:t xml:space="preserve">) and No-CrossAttn by</w:t>
      </w:r>
      <w:r>
        <w:rPr>
          <w:rFonts w:ascii="Times New Roman" w:hAnsi="Times New Roman" w:eastAsia="Times New Roman"/>
          <w:sz w:val="24"/>
        </w:rPr>
        <w:t xml:space="preserve"> </w:t>
      </w:r>
      <m:oMath>
        <m:r>
          <m:t>1.42</m:t>
        </m:r>
      </m:oMath>
      <w:r>
        <w:rPr>
          <w:rFonts w:ascii="Times New Roman" w:hAnsi="Times New Roman" w:eastAsia="Times New Roman"/>
          <w:sz w:val="24"/>
        </w:rPr>
        <w:t xml:space="preserve"> </w:t>
      </w:r>
      <w:r>
        <w:rPr>
          <w:rFonts w:ascii="Times New Roman" w:hAnsi="Times New Roman" w:eastAsia="Times New Roman"/>
          <w:sz w:val="24"/>
        </w:rPr>
        <w:t xml:space="preserve">percentage points (</w:t>
      </w:r>
      <m:oMath>
        <m:r>
          <m:t>p</m:t>
        </m:r>
        <m:r>
          <m:rPr>
            <m:sty m:val="p"/>
          </m:rPr>
          <m:t>=</m:t>
        </m:r>
        <m:r>
          <m:t>0.010</m:t>
        </m:r>
      </m:oMath>
      <w:r>
        <w:rPr>
          <w:rFonts w:ascii="Times New Roman" w:hAnsi="Times New Roman" w:eastAsia="Times New Roman"/>
          <w:sz w:val="24"/>
        </w:rPr>
        <w:t xml:space="preserve">).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 xml:space="preserve">Valid-mask areas are 231.151 km</w:t>
      </w:r>
      <m:oMath>
        <m:sSup>
          <m:e>
            <m:r>
              <m:t>​</m:t>
            </m:r>
          </m:e>
          <m:sup>
            <m:r>
              <m:t>2</m:t>
            </m:r>
          </m:sup>
        </m:sSup>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 350.338 km</w:t>
      </w:r>
      <m:oMath>
        <m:sSup>
          <m:e>
            <m:r>
              <m:t>​</m:t>
            </m:r>
          </m:e>
          <m:sup>
            <m:r>
              <m:t>2</m:t>
            </m:r>
          </m:sup>
        </m:sSup>
      </m:oMath>
      <w:r>
        <w:rPr>
          <w:rFonts w:ascii="Times New Roman" w:hAnsi="Times New Roman" w:eastAsia="Times New Roman"/>
          <w:sz w:val="24"/>
        </w:rPr>
        <w:t xml:space="preserve"> </w:t>
      </w:r>
      <w:r>
        <w:rPr>
          <w:rFonts w:ascii="Times New Roman" w:hAnsi="Times New Roman" w:eastAsia="Times New Roman"/>
          <w:sz w:val="24"/>
        </w:rPr>
        <w:t xml:space="preserve">in Pish. TopoRadar-Net false-positive footprints are 87.82 ha (0.38 ha km</w:t>
      </w:r>
      <m:oMath>
        <m:sSup>
          <m:e>
            <m:r>
              <m:t>​</m:t>
            </m:r>
          </m:e>
          <m:sup>
            <m:r>
              <m:rPr>
                <m:sty m:val="p"/>
              </m:rPr>
              <m:t>−</m:t>
            </m:r>
            <m:r>
              <m:t>2</m:t>
            </m:r>
          </m:sup>
        </m:sSup>
      </m:oMath>
      <w:r>
        <w:rPr>
          <w:rFonts w:ascii="Times New Roman" w:hAnsi="Times New Roman" w:eastAsia="Times New Roman"/>
          <w:sz w:val="24"/>
        </w:rPr>
        <w:t xml:space="preserve">) and 169.89 ha (0.48 ha km</w:t>
      </w:r>
      <m:oMath>
        <m:sSup>
          <m:e>
            <m:r>
              <m:t>​</m:t>
            </m:r>
          </m:e>
          <m:sup>
            <m:r>
              <m:rPr>
                <m:sty m:val="p"/>
              </m:rPr>
              <m:t>−</m:t>
            </m:r>
            <m:r>
              <m:t>2</m:t>
            </m:r>
          </m:sup>
        </m:sSup>
      </m:oMath>
      <w:r>
        <w:rPr>
          <w:rFonts w:ascii="Times New Roman" w:hAnsi="Times New Roman" w:eastAsia="Times New Roman"/>
          <w:sz w:val="24"/>
        </w:rPr>
        <w:t xml:space="preserve">), respectively. Relative to the self-attention U-Net, this is a 30.0% reduction in Pish but a 28.5% increase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(87.82 versus 68.34 ha). Validation-calibrated road-corridor alerts achieve</w:t>
      </w:r>
      <w:r>
        <w:rPr>
          <w:rFonts w:ascii="Times New Roman" w:hAnsi="Times New Roman" w:eastAsia="Times New Roman"/>
          <w:sz w:val="24"/>
        </w:rPr>
        <w:t xml:space="preserve"> </w:t>
      </w:r>
      <m:oMath>
        <m:r>
          <m:t>83.0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precision and</w:t>
      </w:r>
      <w:r>
        <w:rPr>
          <w:rFonts w:ascii="Times New Roman" w:hAnsi="Times New Roman" w:eastAsia="Times New Roman"/>
          <w:sz w:val="24"/>
        </w:rPr>
        <w:t xml:space="preserve"> </w:t>
      </w:r>
      <m:oMath>
        <m:r>
          <m:t>62.5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recall in Pish. The single road-intersecting reference avalanche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is missed by every TopoRadar-Net seed. All cached complete-scene runs are below 5 s on Apple MPS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 Online Resource 1 contains 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68"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7"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sz w:val="24"/>
        </w:rPr>
        <w:t xml:space="preserve">YOLOv5</w:t>
      </w:r>
      <w:r>
        <w:rPr>
          <w:rFonts w:ascii="Times New Roman" w:hAnsi="Times New Roman" w:eastAsia="Times New Roman"/>
          <w:sz w:val="24"/>
        </w:rPr>
        <w:t xml:space="preserve"> </w:t>
      </w:r>
      <w:r>
        <w:rPr>
          <w:rFonts w:ascii="Times New Roman" w:hAnsi="Times New Roman" w:eastAsia="Times New Roman"/>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 Large-scale avalanche mapping from</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deep learning-based change detection.</w:t>
      </w:r>
      <w:r>
        <w:rPr>
          <w:rFonts w:ascii="Times New Roman" w:hAnsi="Times New Roman" w:eastAsia="Times New Roman"/>
          <w:sz w:val="24"/>
        </w:rPr>
        <w:t xml:space="preserve"> </w:t>
      </w:r>
      <w:r>
        <w:rPr>
          <w:rFonts w:ascii="Times New Roman" w:hAnsi="Times New Roman" w:eastAsia="Times New Roman"/>
          <w:i/>
          <w:iCs/>
          <w:sz w:val="24"/>
        </w:rPr>
        <w:t xml:space="preserve">arXiv Preprint arXiv:2603.22658</w:t>
      </w:r>
      <w:r>
        <w:rPr>
          <w:rFonts w:ascii="Times New Roman" w:hAnsi="Times New Roman" w:eastAsia="Times New Roman"/>
          <w:sz w:val="24"/>
        </w:rPr>
        <w:t xml:space="preserve">.</w:t>
      </w:r>
      <w:r>
        <w:rPr>
          <w:rFonts w:ascii="Times New Roman" w:hAnsi="Times New Roman" w:eastAsia="Times New Roman"/>
          <w:sz w:val="24"/>
        </w:rPr>
        <w:t xml:space="preserve"> </w:t>
      </w:r>
      <w:hyperlink r:id="rId55">
        <w:r>
          <w:rPr>
            <w:rStyle w:val="Hyperlink"/>
          </w:rPr>
          <w:t xml:space="preserve">https://arxiv.org/abs/2603.22658</w:t>
        </w:r>
      </w:hyperlink>
    </w:p>
    <w:bookmarkEnd w:id="56"/>
    <w:bookmarkStart w:id="58"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 Exploring various deep learning models for high-precision landslide tracing in very-high resolution remote sensing imagery.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hyperlink r:id="rId57">
        <w:r>
          <w:rPr>
            <w:rStyle w:val="Hyperlink"/>
          </w:rPr>
          <w:t xml:space="preserve">https://doi.org/10.1007/s12524-025-02267-z</w:t>
        </w:r>
      </w:hyperlink>
    </w:p>
    <w:bookmarkEnd w:id="58"/>
    <w:bookmarkStart w:id="60"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59">
        <w:r>
          <w:rPr>
            <w:rStyle w:val="Hyperlink"/>
          </w:rPr>
          <w:t xml:space="preserve">https://www.openstreetmap.org/copyright</w:t>
        </w:r>
      </w:hyperlink>
      <w:r>
        <w:rPr>
          <w:rFonts w:ascii="Times New Roman" w:hAnsi="Times New Roman" w:eastAsia="Times New Roman"/>
          <w:sz w:val="24"/>
        </w:rPr>
        <w:t xml:space="preserve">.</w:t>
      </w:r>
    </w:p>
    <w:bookmarkEnd w:id="60"/>
    <w:bookmarkStart w:id="62"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1">
        <w:r>
          <w:rPr>
            <w:rStyle w:val="Hyperlink"/>
          </w:rPr>
          <w:t xml:space="preserve">https://doi.org/10.1109/JSTARS.2021.3074418</w:t>
        </w:r>
      </w:hyperlink>
    </w:p>
    <w:bookmarkEnd w:id="62"/>
    <w:bookmarkStart w:id="64"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3">
        <w:r>
          <w:rPr>
            <w:rStyle w:val="Hyperlink"/>
          </w:rPr>
          <w:t xml:space="preserve">https://doi.org/10.1007/s12524-025-02259-z</w:t>
        </w:r>
      </w:hyperlink>
    </w:p>
    <w:bookmarkEnd w:id="64"/>
    <w:bookmarkStart w:id="66"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5">
        <w:r>
          <w:rPr>
            <w:rStyle w:val="Hyperlink"/>
          </w:rPr>
          <w:t xml:space="preserve">https://doi.org/10.1109/LGRS.2018.2802944</w:t>
        </w:r>
      </w:hyperlink>
    </w:p>
    <w:bookmarkEnd w:id="66"/>
    <w:bookmarkEnd w:id="67"/>
    <w:bookmarkEnd w:id="68"/>
    <w:sectPr>
      <w:footnotePr>
        <w:numRestart w:val="eachSect"/>
      </w:footnotePr>
      <w:pgSz w:w="11906" w:h="16838"/>
      <w:pgMar w:top="1134" w:bottom="1134" w:left="1134" w:right="1134"/>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55" Type="http://schemas.openxmlformats.org/officeDocument/2006/relationships/hyperlink" Target="https://arxiv.org/abs/2603.22658" TargetMode="External"/><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2603.22658" TargetMode="External"/><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2026-09-20T12:03:13Z</dcterms:created>
  <dcterms:modified xsi:type="dcterms:W3CDTF">2026-09-20T12:03:13Z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