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after="0"/>
      </w:pPr>
      <w:r>
        <w:rPr>
          <w:rFonts w:ascii="Times New Roman" w:hAnsi="Times New Roman" w:eastAsia="Times New Roman"/>
          <w:sz w:val="24"/>
        </w:rPr>
        <w:t xml:space="preserve">Terrain-Conditioned Cross-Attention for Cross-Region Avalanche Debris Mapping with Sentinel-1 SAR</w:t>
      </w:r>
    </w:p>
    <w:p>
      <w:pPr>
        <w:pStyle w:val="Author"/>
        <w:spacing w:line="480" w:lineRule="auto" w:after="0"/>
      </w:pPr>
    </w:p>
    <w:bookmarkStart w:id="9" w:name="introduction"/>
    <w:p>
      <w:pPr>
        <w:pStyle w:val="Heading1"/>
        <w:spacing w:line="480" w:lineRule="auto" w:after="0"/>
      </w:pPr>
      <w:r>
        <w:rPr>
          <w:rFonts w:ascii="Times New Roman" w:hAnsi="Times New Roman" w:eastAsia="Times New Roman"/>
          <w:sz w:val="24"/>
        </w:rPr>
        <w:t>Abstract</w:t>
      </w:r>
    </w:p>
    <w:p>
      <w:pPr>
        <w:spacing w:line="480" w:lineRule="auto" w:after="0"/>
      </w:pPr>
      <w:r>
        <w:rPr>
          <w:rFonts w:ascii="Times New Roman" w:hAnsi="Times New Roman" w:eastAsia="Times New Roman"/>
          <w:sz w:val="24"/>
        </w:rPr>
        <w:t>Cloud cover, winter darkness, and steep terrain complicate regional mapping of avalanche debris. Sentinel-1 synthetic aperture radar (SAR) provides all-weather observations, but slope-dependent foreshortening, layover, and shadow can resemble bitemporal change. We present TopoRadar-Net, a lightweight change-segmentation model that conditions SAR features on local incidence angle, slope, aspect, elevation, and a fixed-reference aspect coordinate through multiscale cross-attention. We evaluate five architectures on AvalCD, comprising seven events, four mountain systems, and 993 avalanche polygons. Models are trained on Alps and Greenland scenes and tested without site-specific tuning in Tromsø and the Pamirs. Across three seeds, TopoRadar-Net obtains 63.79% ± 1.88% pooled macro F1 (mean ± population standard deviation). Its margin over a bottleneck self-attention U-Net is +0.38 percentage points (p = 0.869), whereas its margin over SiamUNet-diff is +8.92 percentage points (p = 0.021). Ablations show regional rather than uniform benefits: removing aspect conditioning or cross-attention increases pooled F1, while the slope prior overlaps 18.47% of training positives. A validation-calibrated road-corridor proxy reaches 83.0% precision and 62.5% recall in the Pamirs but misses the single Tromsø corridor avalanche in every seed. Terrain conditioning is therefore competitive and diagnostically useful, but not uniformly superior or deployment-ready.</w:t>
      </w:r>
    </w:p>
    <w:p>
      <w:pPr>
        <w:pStyle w:val="Heading1"/>
        <w:spacing w:line="480" w:lineRule="auto" w:after="0"/>
      </w:pPr>
      <w:r>
        <w:rPr>
          <w:rFonts w:ascii="Times New Roman" w:hAnsi="Times New Roman" w:eastAsia="Times New Roman"/>
          <w:sz w:val="24"/>
        </w:rPr>
        <w:t>Keywords</w:t>
      </w:r>
    </w:p>
    <w:p>
      <w:pPr>
        <w:spacing w:line="480" w:lineRule="auto" w:after="0"/>
      </w:pPr>
      <w:r>
        <w:rPr>
          <w:rFonts w:ascii="Times New Roman" w:hAnsi="Times New Roman" w:eastAsia="Times New Roman"/>
          <w:sz w:val="24"/>
        </w:rPr>
        <w:t>Sentinel-1 SAR, snow avalanche mapping, semantic segmentation, radar geometry, cross-region evaluation, deep learning</w:t>
      </w:r>
    </w:p>
    <w:p>
      <w:pPr>
        <w:pStyle w:val="Heading1"/>
        <w:spacing w:line="480" w:lineRule="auto" w:after="0"/>
      </w:pPr>
      <w:r>
        <w:rPr>
          <w:rFonts w:ascii="Times New Roman" w:hAnsi="Times New Roman" w:eastAsia="Times New Roman"/>
          <w:sz w:val="24"/>
        </w:rPr>
        <w:t xml:space="preserve">Introduction</w:t>
      </w:r>
    </w:p>
    <w:p>
      <w:pPr>
        <w:pStyle w:val="FirstParagraph"/>
        <w:spacing w:line="480" w:lineRule="auto" w:after="0"/>
      </w:pPr>
      <w:r>
        <w:rPr>
          <w:rFonts w:ascii="Times New Roman" w:hAnsi="Times New Roman" w:eastAsia="Times New Roman"/>
          <w:sz w:val="24"/>
        </w:rPr>
        <w:t xml:space="preserve">Regional avalanche-debris maps support event documentation, hazard assessment, and prioritization of field inspection. Optical observations are often unavailable during major winter storms, while Sentinel-1 C-band synthetic aperture radar (SAR) supplies day-and-night measurements through cloud cover</w:t>
      </w:r>
      <w:r>
        <w:rPr>
          <w:rFonts w:ascii="Times New Roman" w:hAnsi="Times New Roman" w:eastAsia="Times New Roman"/>
          <w:sz w:val="24"/>
        </w:rPr>
        <w:t xml:space="preserve"> </w:t>
      </w:r>
      <w:r>
        <w:rPr>
          <w:rFonts w:ascii="Times New Roman" w:hAnsi="Times New Roman" w:eastAsia="Times New Roman"/>
          <w:sz w:val="24"/>
        </w:rPr>
        <w:t xml:space="preserve">(Eckerstorfer et al., 2017; Eckerstorfer et al., 2019; Eckerstorfer et al., 2021)</w:t>
      </w:r>
      <w:r>
        <w:rPr>
          <w:rFonts w:ascii="Times New Roman" w:hAnsi="Times New Roman" w:eastAsia="Times New Roman"/>
          <w:sz w:val="24"/>
        </w:rPr>
        <w:t xml:space="preserve">. Avalanche deposits roughen the snow surface and can increase post-event co- and cross-polarized backscatter, making bitemporal change detection useful</w:t>
      </w:r>
      <w:r>
        <w:rPr>
          <w:rFonts w:ascii="Times New Roman" w:hAnsi="Times New Roman" w:eastAsia="Times New Roman"/>
          <w:sz w:val="24"/>
        </w:rPr>
        <w:t xml:space="preserve"> </w:t>
      </w:r>
      <w:r>
        <w:rPr>
          <w:rFonts w:ascii="Times New Roman" w:hAnsi="Times New Roman" w:eastAsia="Times New Roman"/>
          <w:sz w:val="24"/>
        </w:rPr>
        <w:t xml:space="preserve">(Tompkin &amp; Leinss, 2021)</w:t>
      </w:r>
      <w:r>
        <w:rPr>
          <w:rFonts w:ascii="Times New Roman" w:hAnsi="Times New Roman" w:eastAsia="Times New Roman"/>
          <w:sz w:val="24"/>
        </w:rPr>
        <w:t xml:space="preserve">. AvalCD supplies VV/VH for Livigno, Troms</w:t>
      </w:r>
      <w:r>
        <w:rPr>
          <w:rFonts w:ascii="Times New Roman" w:hAnsi="Times New Roman" w:eastAsia="Times New Roman"/>
          <w:sz w:val="24"/>
        </w:rPr>
        <w:t xml:space="preserve">ø</w:t>
      </w:r>
      <w:r>
        <w:rPr>
          <w:rFonts w:ascii="Times New Roman" w:hAnsi="Times New Roman" w:eastAsia="Times New Roman"/>
          <w:sz w:val="24"/>
        </w:rPr>
        <w:t xml:space="preserve">, and Pish, but HH/HV for Nuuk. Side-looking geometry also produces slope-dependent foreshortening, layover, shadow, and radiometric variation that can resemble debris.</w:t>
      </w:r>
    </w:p>
    <w:p>
      <w:pPr>
        <w:pStyle w:val="BodyText"/>
        <w:spacing w:line="480" w:lineRule="auto" w:after="0"/>
      </w:pPr>
      <w:r>
        <w:rPr>
          <w:rFonts w:ascii="Times New Roman" w:hAnsi="Times New Roman" w:eastAsia="Times New Roman"/>
          <w:sz w:val="24"/>
        </w:rPr>
        <w:t xml:space="preserve">Recent remote-sensing studies show that deep learning can map slope hazards across diverse environments, but shadows, scale changes, class imbalance, and geographic transfer remain difficult</w:t>
      </w:r>
      <w:r>
        <w:rPr>
          <w:rFonts w:ascii="Times New Roman" w:hAnsi="Times New Roman" w:eastAsia="Times New Roman"/>
          <w:sz w:val="24"/>
        </w:rPr>
        <w:t xml:space="preserve"> </w:t>
      </w:r>
      <w:r>
        <w:rPr>
          <w:rFonts w:ascii="Times New Roman" w:hAnsi="Times New Roman" w:eastAsia="Times New Roman"/>
          <w:sz w:val="24"/>
        </w:rPr>
        <w:t xml:space="preserve">(Chandra et al., 2025; Nguyen et al., 2025)</w:t>
      </w:r>
      <w:r>
        <w:rPr>
          <w:rFonts w:ascii="Times New Roman" w:hAnsi="Times New Roman" w:eastAsia="Times New Roman"/>
          <w:sz w:val="24"/>
        </w:rPr>
        <w:t xml:space="preserve">. SAR-specific segmentation and change-image construction introduce additional representation choices</w:t>
      </w:r>
      <w:r>
        <w:rPr>
          <w:rFonts w:ascii="Times New Roman" w:hAnsi="Times New Roman" w:eastAsia="Times New Roman"/>
          <w:sz w:val="24"/>
        </w:rPr>
        <w:t xml:space="preserve"> </w:t>
      </w:r>
      <w:r>
        <w:rPr>
          <w:rFonts w:ascii="Times New Roman" w:hAnsi="Times New Roman" w:eastAsia="Times New Roman"/>
          <w:sz w:val="24"/>
        </w:rPr>
        <w:t xml:space="preserve">(Arjasakusuma &amp; Kusuma, 2025; Wang et al., 2025)</w:t>
      </w:r>
      <w:r>
        <w:rPr>
          <w:rFonts w:ascii="Times New Roman" w:hAnsi="Times New Roman" w:eastAsia="Times New Roman"/>
          <w:sz w:val="24"/>
        </w:rPr>
        <w:t xml:space="preserve">. In the same hazard domain,</w:t>
      </w:r>
      <w:r>
        <w:rPr>
          <w:rFonts w:ascii="Times New Roman" w:hAnsi="Times New Roman" w:eastAsia="Times New Roman"/>
          <w:sz w:val="24"/>
        </w:rPr>
        <w:t xml:space="preserve"> </w:t>
      </w:r>
      <w:r>
        <w:rPr>
          <w:rFonts w:ascii="Times New Roman" w:hAnsi="Times New Roman" w:eastAsia="Times New Roman"/>
          <w:sz w:val="24"/>
        </w:rPr>
        <w:t xml:space="preserve">Ahmad et al. (2026)</w:t>
      </w:r>
      <w:r>
        <w:rPr>
          <w:rFonts w:ascii="Times New Roman" w:hAnsi="Times New Roman" w:eastAsia="Times New Roman"/>
          <w:sz w:val="24"/>
        </w:rPr>
        <w:t xml:space="preserve"> </w:t>
      </w:r>
      <w:r>
        <w:rPr>
          <w:rFonts w:ascii="Times New Roman" w:hAnsi="Times New Roman" w:eastAsia="Times New Roman"/>
          <w:sz w:val="24"/>
        </w:rPr>
        <w:t xml:space="preserve">model pre-event avalanche susceptibility with attention, whereas our target is post-event debris. Debris mapping for emergency response also needs explicit comparison and operationally meaningful validation rather than accuracy alone</w:t>
      </w:r>
      <w:r>
        <w:rPr>
          <w:rFonts w:ascii="Times New Roman" w:hAnsi="Times New Roman" w:eastAsia="Times New Roman"/>
          <w:sz w:val="24"/>
        </w:rPr>
        <w:t xml:space="preserve"> </w:t>
      </w:r>
      <w:r>
        <w:rPr>
          <w:rFonts w:ascii="Times New Roman" w:hAnsi="Times New Roman" w:eastAsia="Times New Roman"/>
          <w:sz w:val="24"/>
        </w:rPr>
        <w:t xml:space="preserve">(Bayat et al., 2026)</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The closest avalanche-segmentation precedents already contain terrain conditioning.</w:t>
      </w:r>
      <w:r>
        <w:rPr>
          <w:rFonts w:ascii="Times New Roman" w:hAnsi="Times New Roman" w:eastAsia="Times New Roman"/>
          <w:sz w:val="24"/>
        </w:rPr>
        <w:t xml:space="preserve"> </w:t>
      </w:r>
      <w:r>
        <w:rPr>
          <w:rFonts w:ascii="Times New Roman" w:hAnsi="Times New Roman" w:eastAsia="Times New Roman"/>
          <w:sz w:val="24"/>
        </w:rPr>
        <w:t xml:space="preserve">Bianchi et al. (2021)</w:t>
      </w:r>
      <w:r>
        <w:rPr>
          <w:rFonts w:ascii="Times New Roman" w:hAnsi="Times New Roman" w:eastAsia="Times New Roman"/>
          <w:sz w:val="24"/>
        </w:rPr>
        <w:t xml:space="preserve"> </w:t>
      </w:r>
      <w:r>
        <w:rPr>
          <w:rFonts w:ascii="Times New Roman" w:hAnsi="Times New Roman" w:eastAsia="Times New Roman"/>
          <w:sz w:val="24"/>
        </w:rPr>
        <w:t xml:space="preserve">apply a potential-angle-of-reach-conditioned attention mask and slope feature map to Sentinel-1 avalanche segmentation. On AvalCD,</w:t>
      </w:r>
      <w:r>
        <w:rPr>
          <w:rFonts w:ascii="Times New Roman" w:hAnsi="Times New Roman" w:eastAsia="Times New Roman"/>
          <w:sz w:val="24"/>
        </w:rPr>
        <w:t xml:space="preserve"> </w:t>
      </w:r>
      <w:r>
        <w:rPr>
          <w:rFonts w:ascii="Times New Roman" w:hAnsi="Times New Roman" w:eastAsia="Times New Roman"/>
          <w:sz w:val="24"/>
        </w:rPr>
        <w:t xml:space="preserve">Gatti et al. (2026)</w:t>
      </w:r>
      <w:r>
        <w:rPr>
          <w:rFonts w:ascii="Times New Roman" w:hAnsi="Times New Roman" w:eastAsia="Times New Roman"/>
          <w:sz w:val="24"/>
        </w:rPr>
        <w:t xml:space="preserve"> </w:t>
      </w:r>
      <w:r>
        <w:rPr>
          <w:rFonts w:ascii="Times New Roman" w:hAnsi="Times New Roman" w:eastAsia="Times New Roman"/>
          <w:sz w:val="24"/>
        </w:rPr>
        <w:t xml:space="preserve">encode local incidence angle and slope in a separate transformer branch and report that SAR-only change detection is more consistent than terrain-augmented variants. Our architectural delta is narrower: SAR-change queries attend to pooled terrain keys and values, including a fixed</w:t>
      </w:r>
      <w:r>
        <w:rPr>
          <w:rFonts w:ascii="Times New Roman" w:hAnsi="Times New Roman" w:eastAsia="Times New Roman"/>
          <w:sz w:val="24"/>
        </w:rPr>
        <w:t xml:space="preserve"> </w:t>
      </w:r>
      <m:oMath>
        <m:sSup>
          <m:e>
            <m:r>
              <m:t>78</m:t>
            </m:r>
          </m:e>
          <m:sup>
            <m:r>
              <m:rPr>
                <m:sty m:val="p"/>
              </m:rPr>
              <m:t>∘</m:t>
            </m:r>
          </m:sup>
        </m:sSup>
      </m:oMath>
      <w:r>
        <w:rPr>
          <w:rFonts w:ascii="Times New Roman" w:hAnsi="Times New Roman" w:eastAsia="Times New Roman"/>
          <w:sz w:val="24"/>
        </w:rPr>
        <w:t xml:space="preserve"> </w:t>
      </w:r>
      <w:r>
        <w:rPr>
          <w:rFonts w:ascii="Times New Roman" w:hAnsi="Times New Roman" w:eastAsia="Times New Roman"/>
          <w:sz w:val="24"/>
        </w:rPr>
        <w:t xml:space="preserve">aspect-reference channel. The empirical contribution is the three-seed, leave-region-out characterization of component instability, positive-label conflict in the slope prior, and a bounded corridor proxy—not a claim that terrain conditioning uniformly improves accuracy.</w:t>
      </w:r>
    </w:p>
    <w:p>
      <w:pPr>
        <w:pStyle w:val="BodyText"/>
        <w:spacing w:line="480" w:lineRule="auto" w:after="0"/>
      </w:pPr>
      <w:r>
        <w:rPr>
          <w:rFonts w:ascii="Times New Roman" w:hAnsi="Times New Roman" w:eastAsia="Times New Roman"/>
          <w:sz w:val="24"/>
        </w:rPr>
        <w:t xml:space="preserve">We evaluate whether radar-topographic conditioning improves avalanche change segmentation across unseen mountain systems. TopoRadar-Net uses bitemporal SAR differences as queries and multiscale terrain geometry as keys and values. The study contributes: (1) a compact terrain-conditioned cross-attention architecture; (2) three-seed zero-shot evaluation against four baselines on two held-out mountain systems; (3) spatial-block inference, component ablations, and terrain-stratum stability checks; and (4) construct and corridor audits that expose where the model should not be interpreted operationally. The objective is not to claim uniform superiority, but to establish where terrain conditioning changes performance and where its assumptions fail.</w:t>
      </w:r>
    </w:p>
    <w:bookmarkEnd w:id="9"/>
    <w:bookmarkStart w:id="11" w:name="data-and-study-design"/>
    <w:p>
      <w:pPr>
        <w:pStyle w:val="Heading1"/>
        <w:spacing w:line="480" w:lineRule="auto" w:after="0"/>
      </w:pPr>
      <w:r>
        <w:rPr>
          <w:rFonts w:ascii="Times New Roman" w:hAnsi="Times New Roman" w:eastAsia="Times New Roman"/>
          <w:sz w:val="24"/>
        </w:rPr>
        <w:t xml:space="preserve">Data and Study Design</w:t>
      </w:r>
    </w:p>
    <w:p>
      <w:pPr>
        <w:pStyle w:val="FirstParagraph"/>
        <w:spacing w:line="480" w:lineRule="auto" w:after="0"/>
      </w:pPr>
      <w:r>
        <w:rPr>
          <w:rFonts w:ascii="Times New Roman" w:hAnsi="Times New Roman" w:eastAsia="Times New Roman"/>
          <w:sz w:val="24"/>
        </w:rPr>
        <w:t xml:space="preserve">AvalCD contains co-registered pre/post-event Sentinel-1 intensity, topography, valid-data masks, and expert-mapped avalanche polygons</w:t>
      </w:r>
      <w:r>
        <w:rPr>
          <w:rFonts w:ascii="Times New Roman" w:hAnsi="Times New Roman" w:eastAsia="Times New Roman"/>
          <w:sz w:val="24"/>
        </w:rPr>
        <w:t xml:space="preserve"> </w:t>
      </w:r>
      <w:r>
        <w:rPr>
          <w:rFonts w:ascii="Times New Roman" w:hAnsi="Times New Roman" w:eastAsia="Times New Roman"/>
          <w:sz w:val="24"/>
        </w:rPr>
        <w:t xml:space="preserve">(Gatti et al., 2026; Gatti, 2026)</w:t>
      </w:r>
      <w:r>
        <w:rPr>
          <w:rFonts w:ascii="Times New Roman" w:hAnsi="Times New Roman" w:eastAsia="Times New Roman"/>
          <w:sz w:val="24"/>
        </w:rPr>
        <w:t xml:space="preserve">. The seven events span the European Alps, Greenland Arctic, Scandinavian Arctic, and Pamir Mountains (Table </w:t>
      </w:r>
      <w:hyperlink w:anchor="tab:data">
        <w:r>
          <w:rPr>
            <w:rStyle w:val="Hyperlink"/>
          </w:rPr>
          <w:t xml:space="preserve">1</w:t>
        </w:r>
      </w:hyperlink>
      <w:r>
        <w:rPr>
          <w:rFonts w:ascii="Times New Roman" w:hAnsi="Times New Roman" w:eastAsia="Times New Roman"/>
          <w:sz w:val="24"/>
        </w:rPr>
        <w:t xml:space="preserve">). Livigno events from April 2024 and January 2025 plus Nuuk 2016 form the training cohort. Livigno March 2025 and Nuuk 2021 are used for validation, checkpoint selection, and decision-threshold calibration.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2024 and Pish 2023 remain geographically held out for final testing. This split changes climate, relief, polarization regime, acquisition geometry, and avalanche morphology simultaneously; results quantify cross-system transfer but do not identify any one changed factor as causal.</w:t>
      </w:r>
    </w:p>
    <w:bookmarkStart w:id="10" w:name="tab:data"/>
    <w:p>
      <w:pPr>
        <w:pStyle w:val="TableCaption"/>
        <w:spacing w:line="480" w:lineRule="auto" w:after="0"/>
      </w:pPr>
      <w:r>
        <w:rPr>
          <w:rFonts w:ascii="Times New Roman" w:hAnsi="Times New Roman" w:eastAsia="Times New Roman"/>
          <w:b/>
          <w:sz w:val="24"/>
        </w:rPr>
        <w:t xml:space="preserve">Table 1. </w:t>
      </w:r>
      <w:r>
        <w:rPr>
          <w:rFonts w:ascii="Times New Roman" w:hAnsi="Times New Roman" w:eastAsia="Times New Roman"/>
          <w:sz w:val="24"/>
        </w:rPr>
        <w:t>AvalCD scenes used in the cross-region study. Debris is the number of labelled positive pixels</w:t>
      </w:r>
    </w:p>
    <w:tbl>
      <w:tblPr>
        <w:tblStyle w:val="Table"/>
        <w:tblW w:type="auto" w:w="0"/>
        <w:tblLayout w:type="autofit"/>
        <w:tblLook w:firstRow="1" w:lastRow="0" w:firstColumn="0" w:lastColumn="0" w:noHBand="0" w:noVBand="0" w:val="0020"/>
        <w:tblCaption w:val="AvalCD scenes used in the cross-region study. Debris is the number of labelled positive pixels"/>
      </w:tblPr>
      <w:tblGrid>
        <w:gridCol w:w="1131"/>
        <w:gridCol w:w="1131"/>
        <w:gridCol w:w="1131"/>
        <w:gridCol w:w="1131"/>
        <w:gridCol w:w="1131"/>
        <w:gridCol w:w="1131"/>
        <w:gridCol w:w="1131"/>
      </w:tblGrid>
      <w:tr>
        <w:trPr>
          <w:tblHeader w:val="on"/>
          <w:cantSplit/>
          <w:tblHeader w:val="true"/>
        </w:trPr>
        <w:tc>
          <w:tcPr>
            <w:vAlign w:val="center"/>
          </w:tcPr>
          <w:p>
            <w:pPr>
              <w:pStyle w:val="Compact"/>
              <w:spacing w:line="240" w:lineRule="auto" w:after="0"/>
              <w:jc w:val="left"/>
            </w:pPr>
            <w:r>
              <w:rPr>
                <w:rFonts w:ascii="Times New Roman" w:hAnsi="Times New Roman" w:eastAsia="Times New Roman"/>
                <w:sz w:val="18"/>
              </w:rPr>
              <w:t xml:space="preserve">System</w:t>
            </w:r>
          </w:p>
        </w:tc>
        <w:tc>
          <w:tcPr>
            <w:vAlign w:val="center"/>
          </w:tcPr>
          <w:p>
            <w:pPr>
              <w:pStyle w:val="Compact"/>
              <w:spacing w:line="240" w:lineRule="auto" w:after="0"/>
              <w:jc w:val="left"/>
            </w:pPr>
            <w:r>
              <w:rPr>
                <w:rFonts w:ascii="Times New Roman" w:hAnsi="Times New Roman" w:eastAsia="Times New Roman"/>
                <w:sz w:val="18"/>
              </w:rPr>
              <w:t xml:space="preserve">Scene date</w:t>
            </w:r>
          </w:p>
        </w:tc>
        <w:tc>
          <w:tcPr>
            <w:vAlign w:val="center"/>
          </w:tcPr>
          <w:p>
            <w:pPr>
              <w:pStyle w:val="Compact"/>
              <w:spacing w:line="240" w:lineRule="auto" w:after="0"/>
              <w:jc w:val="left"/>
            </w:pPr>
            <w:r>
              <w:rPr>
                <w:rFonts w:ascii="Times New Roman" w:hAnsi="Times New Roman" w:eastAsia="Times New Roman"/>
                <w:sz w:val="18"/>
              </w:rPr>
              <w:t xml:space="preserve">Role</w:t>
            </w:r>
          </w:p>
        </w:tc>
        <w:tc>
          <w:tcPr>
            <w:vAlign w:val="center"/>
          </w:tcPr>
          <w:p>
            <w:pPr>
              <w:pStyle w:val="Compact"/>
              <w:spacing w:line="240" w:lineRule="auto" w:after="0"/>
              <w:jc w:val="left"/>
            </w:pPr>
            <w:r>
              <w:rPr>
                <w:rFonts w:ascii="Times New Roman" w:hAnsi="Times New Roman" w:eastAsia="Times New Roman"/>
                <w:sz w:val="18"/>
              </w:rPr>
              <w:t xml:space="preserve">Region</w:t>
            </w:r>
          </w:p>
        </w:tc>
        <w:tc>
          <w:tcPr>
            <w:vAlign w:val="center"/>
          </w:tcPr>
          <w:p>
            <w:pPr>
              <w:pStyle w:val="Compact"/>
              <w:spacing w:line="240" w:lineRule="auto" w:after="0"/>
              <w:jc w:val="left"/>
            </w:pPr>
            <w:r>
              <w:rPr>
                <w:rFonts w:ascii="Times New Roman" w:hAnsi="Times New Roman" w:eastAsia="Times New Roman"/>
                <w:sz w:val="18"/>
              </w:rPr>
              <w:t xml:space="preserve">Pol.</w:t>
            </w:r>
          </w:p>
        </w:tc>
        <w:tc>
          <w:tcPr>
            <w:vAlign w:val="center"/>
          </w:tcPr>
          <w:p>
            <w:pPr>
              <w:pStyle w:val="Compact"/>
              <w:spacing w:line="240" w:lineRule="auto" w:after="0"/>
              <w:jc w:val="right"/>
            </w:pPr>
            <w:r>
              <w:rPr>
                <w:rFonts w:ascii="Times New Roman" w:hAnsi="Times New Roman" w:eastAsia="Times New Roman"/>
                <w:sz w:val="18"/>
              </w:rPr>
              <w:t xml:space="preserve">Polygons</w:t>
            </w:r>
          </w:p>
        </w:tc>
        <w:tc>
          <w:tcPr>
            <w:vAlign w:val="center"/>
          </w:tcPr>
          <w:p>
            <w:pPr>
              <w:pStyle w:val="Compact"/>
              <w:spacing w:line="240" w:lineRule="auto" w:after="0"/>
              <w:jc w:val="right"/>
            </w:pPr>
            <w:r>
              <w:rPr>
                <w:rFonts w:ascii="Times New Roman" w:hAnsi="Times New Roman" w:eastAsia="Times New Roman"/>
                <w:sz w:val="18"/>
              </w:rPr>
              <w:t xml:space="preserve">Debris</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Alps</w:t>
            </w:r>
          </w:p>
        </w:tc>
        <w:tc>
          <w:tcPr>
            <w:vAlign w:val="center"/>
          </w:tcPr>
          <w:p>
            <w:pPr>
              <w:pStyle w:val="Compact"/>
              <w:spacing w:line="240" w:lineRule="auto" w:after="0"/>
              <w:jc w:val="left"/>
            </w:pPr>
            <w:r>
              <w:rPr>
                <w:rFonts w:ascii="Times New Roman" w:hAnsi="Times New Roman" w:eastAsia="Times New Roman"/>
                <w:sz w:val="18"/>
              </w:rPr>
              <w:t xml:space="preserve">3 Apr 2024</w:t>
            </w:r>
          </w:p>
        </w:tc>
        <w:tc>
          <w:tcPr>
            <w:vAlign w:val="center"/>
          </w:tcPr>
          <w:p>
            <w:pPr>
              <w:pStyle w:val="Compact"/>
              <w:spacing w:line="240" w:lineRule="auto" w:after="0"/>
              <w:jc w:val="left"/>
            </w:pPr>
            <w:r>
              <w:rPr>
                <w:rFonts w:ascii="Times New Roman" w:hAnsi="Times New Roman" w:eastAsia="Times New Roman"/>
                <w:sz w:val="18"/>
              </w:rPr>
              <w:t xml:space="preserve">Train</w:t>
            </w:r>
          </w:p>
        </w:tc>
        <w:tc>
          <w:tcPr>
            <w:vAlign w:val="center"/>
          </w:tcPr>
          <w:p>
            <w:pPr>
              <w:pStyle w:val="Compact"/>
              <w:spacing w:line="240" w:lineRule="auto" w:after="0"/>
              <w:jc w:val="left"/>
            </w:pPr>
            <w:r>
              <w:rPr>
                <w:rFonts w:ascii="Times New Roman" w:hAnsi="Times New Roman" w:eastAsia="Times New Roman"/>
                <w:sz w:val="18"/>
              </w:rPr>
              <w:t xml:space="preserve">Livigno</w:t>
            </w:r>
          </w:p>
        </w:tc>
        <w:tc>
          <w:tcPr>
            <w:vAlign w:val="center"/>
          </w:tcPr>
          <w:p>
            <w:pPr>
              <w:pStyle w:val="Compact"/>
              <w:spacing w:line="240" w:lineRule="auto" w:after="0"/>
              <w:jc w:val="left"/>
            </w:pPr>
            <w:r>
              <w:rPr>
                <w:rFonts w:ascii="Times New Roman" w:hAnsi="Times New Roman" w:eastAsia="Times New Roman"/>
                <w:sz w:val="18"/>
              </w:rPr>
              <w:t xml:space="preserve">VV/VH</w:t>
            </w:r>
          </w:p>
        </w:tc>
        <w:tc>
          <w:tcPr>
            <w:vAlign w:val="center"/>
          </w:tcPr>
          <w:p>
            <w:pPr>
              <w:pStyle w:val="Compact"/>
              <w:spacing w:line="240" w:lineRule="auto" w:after="0"/>
              <w:jc w:val="right"/>
            </w:pPr>
            <w:r>
              <w:rPr>
                <w:rFonts w:ascii="Times New Roman" w:hAnsi="Times New Roman" w:eastAsia="Times New Roman"/>
                <w:sz w:val="18"/>
              </w:rPr>
              <w:t xml:space="preserve">231</w:t>
            </w:r>
          </w:p>
        </w:tc>
        <w:tc>
          <w:tcPr>
            <w:vAlign w:val="center"/>
          </w:tcPr>
          <w:p>
            <w:pPr>
              <w:pStyle w:val="Compact"/>
              <w:spacing w:line="240" w:lineRule="auto" w:after="0"/>
              <w:jc w:val="right"/>
            </w:pPr>
            <w:r>
              <w:rPr>
                <w:rFonts w:ascii="Times New Roman" w:hAnsi="Times New Roman" w:eastAsia="Times New Roman"/>
                <w:sz w:val="18"/>
              </w:rPr>
              <w:t xml:space="preserve">32,606</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Alps</w:t>
            </w:r>
          </w:p>
        </w:tc>
        <w:tc>
          <w:tcPr>
            <w:vAlign w:val="center"/>
          </w:tcPr>
          <w:p>
            <w:pPr>
              <w:pStyle w:val="Compact"/>
              <w:spacing w:line="240" w:lineRule="auto" w:after="0"/>
              <w:jc w:val="left"/>
            </w:pPr>
            <w:r>
              <w:rPr>
                <w:rFonts w:ascii="Times New Roman" w:hAnsi="Times New Roman" w:eastAsia="Times New Roman"/>
                <w:sz w:val="18"/>
              </w:rPr>
              <w:t xml:space="preserve">29 Jan 2025</w:t>
            </w:r>
          </w:p>
        </w:tc>
        <w:tc>
          <w:tcPr>
            <w:vAlign w:val="center"/>
          </w:tcPr>
          <w:p>
            <w:pPr>
              <w:pStyle w:val="Compact"/>
              <w:spacing w:line="240" w:lineRule="auto" w:after="0"/>
              <w:jc w:val="left"/>
            </w:pPr>
            <w:r>
              <w:rPr>
                <w:rFonts w:ascii="Times New Roman" w:hAnsi="Times New Roman" w:eastAsia="Times New Roman"/>
                <w:sz w:val="18"/>
              </w:rPr>
              <w:t xml:space="preserve">Train</w:t>
            </w:r>
          </w:p>
        </w:tc>
        <w:tc>
          <w:tcPr>
            <w:vAlign w:val="center"/>
          </w:tcPr>
          <w:p>
            <w:pPr>
              <w:pStyle w:val="Compact"/>
              <w:spacing w:line="240" w:lineRule="auto" w:after="0"/>
              <w:jc w:val="left"/>
            </w:pPr>
            <w:r>
              <w:rPr>
                <w:rFonts w:ascii="Times New Roman" w:hAnsi="Times New Roman" w:eastAsia="Times New Roman"/>
                <w:sz w:val="18"/>
              </w:rPr>
              <w:t xml:space="preserve">Livigno</w:t>
            </w:r>
          </w:p>
        </w:tc>
        <w:tc>
          <w:tcPr>
            <w:vAlign w:val="center"/>
          </w:tcPr>
          <w:p>
            <w:pPr>
              <w:pStyle w:val="Compact"/>
              <w:spacing w:line="240" w:lineRule="auto" w:after="0"/>
              <w:jc w:val="left"/>
            </w:pPr>
            <w:r>
              <w:rPr>
                <w:rFonts w:ascii="Times New Roman" w:hAnsi="Times New Roman" w:eastAsia="Times New Roman"/>
                <w:sz w:val="18"/>
              </w:rPr>
              <w:t xml:space="preserve">VV/VH</w:t>
            </w:r>
          </w:p>
        </w:tc>
        <w:tc>
          <w:tcPr>
            <w:vAlign w:val="center"/>
          </w:tcPr>
          <w:p>
            <w:pPr>
              <w:pStyle w:val="Compact"/>
              <w:spacing w:line="240" w:lineRule="auto" w:after="0"/>
              <w:jc w:val="right"/>
            </w:pPr>
            <w:r>
              <w:rPr>
                <w:rFonts w:ascii="Times New Roman" w:hAnsi="Times New Roman" w:eastAsia="Times New Roman"/>
                <w:sz w:val="18"/>
              </w:rPr>
              <w:t xml:space="preserve">207</w:t>
            </w:r>
          </w:p>
        </w:tc>
        <w:tc>
          <w:tcPr>
            <w:vAlign w:val="center"/>
          </w:tcPr>
          <w:p>
            <w:pPr>
              <w:pStyle w:val="Compact"/>
              <w:spacing w:line="240" w:lineRule="auto" w:after="0"/>
              <w:jc w:val="right"/>
            </w:pPr>
            <w:r>
              <w:rPr>
                <w:rFonts w:ascii="Times New Roman" w:hAnsi="Times New Roman" w:eastAsia="Times New Roman"/>
                <w:sz w:val="18"/>
              </w:rPr>
              <w:t xml:space="preserve">11,438</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Alps</w:t>
            </w:r>
          </w:p>
        </w:tc>
        <w:tc>
          <w:tcPr>
            <w:vAlign w:val="center"/>
          </w:tcPr>
          <w:p>
            <w:pPr>
              <w:pStyle w:val="Compact"/>
              <w:spacing w:line="240" w:lineRule="auto" w:after="0"/>
              <w:jc w:val="left"/>
            </w:pPr>
            <w:r>
              <w:rPr>
                <w:rFonts w:ascii="Times New Roman" w:hAnsi="Times New Roman" w:eastAsia="Times New Roman"/>
                <w:sz w:val="18"/>
              </w:rPr>
              <w:t xml:space="preserve">18 Mar 2025</w:t>
            </w:r>
          </w:p>
        </w:tc>
        <w:tc>
          <w:tcPr>
            <w:vAlign w:val="center"/>
          </w:tcPr>
          <w:p>
            <w:pPr>
              <w:pStyle w:val="Compact"/>
              <w:spacing w:line="240" w:lineRule="auto" w:after="0"/>
              <w:jc w:val="left"/>
            </w:pPr>
            <w:r>
              <w:rPr>
                <w:rFonts w:ascii="Times New Roman" w:hAnsi="Times New Roman" w:eastAsia="Times New Roman"/>
                <w:sz w:val="18"/>
              </w:rPr>
              <w:t xml:space="preserve">Validate</w:t>
            </w:r>
          </w:p>
        </w:tc>
        <w:tc>
          <w:tcPr>
            <w:vAlign w:val="center"/>
          </w:tcPr>
          <w:p>
            <w:pPr>
              <w:pStyle w:val="Compact"/>
              <w:spacing w:line="240" w:lineRule="auto" w:after="0"/>
              <w:jc w:val="left"/>
            </w:pPr>
            <w:r>
              <w:rPr>
                <w:rFonts w:ascii="Times New Roman" w:hAnsi="Times New Roman" w:eastAsia="Times New Roman"/>
                <w:sz w:val="18"/>
              </w:rPr>
              <w:t xml:space="preserve">Livigno</w:t>
            </w:r>
          </w:p>
        </w:tc>
        <w:tc>
          <w:tcPr>
            <w:vAlign w:val="center"/>
          </w:tcPr>
          <w:p>
            <w:pPr>
              <w:pStyle w:val="Compact"/>
              <w:spacing w:line="240" w:lineRule="auto" w:after="0"/>
              <w:jc w:val="left"/>
            </w:pPr>
            <w:r>
              <w:rPr>
                <w:rFonts w:ascii="Times New Roman" w:hAnsi="Times New Roman" w:eastAsia="Times New Roman"/>
                <w:sz w:val="18"/>
              </w:rPr>
              <w:t xml:space="preserve">VV/VH</w:t>
            </w:r>
          </w:p>
        </w:tc>
        <w:tc>
          <w:tcPr>
            <w:vAlign w:val="center"/>
          </w:tcPr>
          <w:p>
            <w:pPr>
              <w:pStyle w:val="Compact"/>
              <w:spacing w:line="240" w:lineRule="auto" w:after="0"/>
              <w:jc w:val="right"/>
            </w:pPr>
            <w:r>
              <w:rPr>
                <w:rFonts w:ascii="Times New Roman" w:hAnsi="Times New Roman" w:eastAsia="Times New Roman"/>
                <w:sz w:val="18"/>
              </w:rPr>
              <w:t xml:space="preserve">79</w:t>
            </w:r>
          </w:p>
        </w:tc>
        <w:tc>
          <w:tcPr>
            <w:vAlign w:val="center"/>
          </w:tcPr>
          <w:p>
            <w:pPr>
              <w:pStyle w:val="Compact"/>
              <w:spacing w:line="240" w:lineRule="auto" w:after="0"/>
              <w:jc w:val="right"/>
            </w:pPr>
            <w:r>
              <w:rPr>
                <w:rFonts w:ascii="Times New Roman" w:hAnsi="Times New Roman" w:eastAsia="Times New Roman"/>
                <w:sz w:val="18"/>
              </w:rPr>
              <w:t xml:space="preserve">7,392</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Greenland</w:t>
            </w:r>
          </w:p>
        </w:tc>
        <w:tc>
          <w:tcPr>
            <w:vAlign w:val="center"/>
          </w:tcPr>
          <w:p>
            <w:pPr>
              <w:pStyle w:val="Compact"/>
              <w:spacing w:line="240" w:lineRule="auto" w:after="0"/>
              <w:jc w:val="left"/>
            </w:pPr>
            <w:r>
              <w:rPr>
                <w:rFonts w:ascii="Times New Roman" w:hAnsi="Times New Roman" w:eastAsia="Times New Roman"/>
                <w:sz w:val="18"/>
              </w:rPr>
              <w:t xml:space="preserve">13 Apr 2016</w:t>
            </w:r>
          </w:p>
        </w:tc>
        <w:tc>
          <w:tcPr>
            <w:vAlign w:val="center"/>
          </w:tcPr>
          <w:p>
            <w:pPr>
              <w:pStyle w:val="Compact"/>
              <w:spacing w:line="240" w:lineRule="auto" w:after="0"/>
              <w:jc w:val="left"/>
            </w:pPr>
            <w:r>
              <w:rPr>
                <w:rFonts w:ascii="Times New Roman" w:hAnsi="Times New Roman" w:eastAsia="Times New Roman"/>
                <w:sz w:val="18"/>
              </w:rPr>
              <w:t xml:space="preserve">Train</w:t>
            </w:r>
          </w:p>
        </w:tc>
        <w:tc>
          <w:tcPr>
            <w:vAlign w:val="center"/>
          </w:tcPr>
          <w:p>
            <w:pPr>
              <w:pStyle w:val="Compact"/>
              <w:spacing w:line="240" w:lineRule="auto" w:after="0"/>
              <w:jc w:val="left"/>
            </w:pPr>
            <w:r>
              <w:rPr>
                <w:rFonts w:ascii="Times New Roman" w:hAnsi="Times New Roman" w:eastAsia="Times New Roman"/>
                <w:sz w:val="18"/>
              </w:rPr>
              <w:t xml:space="preserve">Nuuk</w:t>
            </w:r>
          </w:p>
        </w:tc>
        <w:tc>
          <w:tcPr>
            <w:vAlign w:val="center"/>
          </w:tcPr>
          <w:p>
            <w:pPr>
              <w:pStyle w:val="Compact"/>
              <w:spacing w:line="240" w:lineRule="auto" w:after="0"/>
              <w:jc w:val="left"/>
            </w:pPr>
            <w:r>
              <w:rPr>
                <w:rFonts w:ascii="Times New Roman" w:hAnsi="Times New Roman" w:eastAsia="Times New Roman"/>
                <w:sz w:val="18"/>
              </w:rPr>
              <w:t xml:space="preserve">HH/HV</w:t>
            </w:r>
          </w:p>
        </w:tc>
        <w:tc>
          <w:tcPr>
            <w:vAlign w:val="center"/>
          </w:tcPr>
          <w:p>
            <w:pPr>
              <w:pStyle w:val="Compact"/>
              <w:spacing w:line="240" w:lineRule="auto" w:after="0"/>
              <w:jc w:val="right"/>
            </w:pPr>
            <w:r>
              <w:rPr>
                <w:rFonts w:ascii="Times New Roman" w:hAnsi="Times New Roman" w:eastAsia="Times New Roman"/>
                <w:sz w:val="18"/>
              </w:rPr>
              <w:t xml:space="preserve">117</w:t>
            </w:r>
          </w:p>
        </w:tc>
        <w:tc>
          <w:tcPr>
            <w:vAlign w:val="center"/>
          </w:tcPr>
          <w:p>
            <w:pPr>
              <w:pStyle w:val="Compact"/>
              <w:spacing w:line="240" w:lineRule="auto" w:after="0"/>
              <w:jc w:val="right"/>
            </w:pPr>
            <w:r>
              <w:rPr>
                <w:rFonts w:ascii="Times New Roman" w:hAnsi="Times New Roman" w:eastAsia="Times New Roman"/>
                <w:sz w:val="18"/>
              </w:rPr>
              <w:t xml:space="preserve">64,822</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Greenland</w:t>
            </w:r>
          </w:p>
        </w:tc>
        <w:tc>
          <w:tcPr>
            <w:vAlign w:val="center"/>
          </w:tcPr>
          <w:p>
            <w:pPr>
              <w:pStyle w:val="Compact"/>
              <w:spacing w:line="240" w:lineRule="auto" w:after="0"/>
              <w:jc w:val="left"/>
            </w:pPr>
            <w:r>
              <w:rPr>
                <w:rFonts w:ascii="Times New Roman" w:hAnsi="Times New Roman" w:eastAsia="Times New Roman"/>
                <w:sz w:val="18"/>
              </w:rPr>
              <w:t xml:space="preserve">11 Apr 2021</w:t>
            </w:r>
          </w:p>
        </w:tc>
        <w:tc>
          <w:tcPr>
            <w:vAlign w:val="center"/>
          </w:tcPr>
          <w:p>
            <w:pPr>
              <w:pStyle w:val="Compact"/>
              <w:spacing w:line="240" w:lineRule="auto" w:after="0"/>
              <w:jc w:val="left"/>
            </w:pPr>
            <w:r>
              <w:rPr>
                <w:rFonts w:ascii="Times New Roman" w:hAnsi="Times New Roman" w:eastAsia="Times New Roman"/>
                <w:sz w:val="18"/>
              </w:rPr>
              <w:t xml:space="preserve">Validate</w:t>
            </w:r>
          </w:p>
        </w:tc>
        <w:tc>
          <w:tcPr>
            <w:vAlign w:val="center"/>
          </w:tcPr>
          <w:p>
            <w:pPr>
              <w:pStyle w:val="Compact"/>
              <w:spacing w:line="240" w:lineRule="auto" w:after="0"/>
              <w:jc w:val="left"/>
            </w:pPr>
            <w:r>
              <w:rPr>
                <w:rFonts w:ascii="Times New Roman" w:hAnsi="Times New Roman" w:eastAsia="Times New Roman"/>
                <w:sz w:val="18"/>
              </w:rPr>
              <w:t xml:space="preserve">Nuuk</w:t>
            </w:r>
          </w:p>
        </w:tc>
        <w:tc>
          <w:tcPr>
            <w:vAlign w:val="center"/>
          </w:tcPr>
          <w:p>
            <w:pPr>
              <w:pStyle w:val="Compact"/>
              <w:spacing w:line="240" w:lineRule="auto" w:after="0"/>
              <w:jc w:val="left"/>
            </w:pPr>
            <w:r>
              <w:rPr>
                <w:rFonts w:ascii="Times New Roman" w:hAnsi="Times New Roman" w:eastAsia="Times New Roman"/>
                <w:sz w:val="18"/>
              </w:rPr>
              <w:t xml:space="preserve">HH/HV</w:t>
            </w:r>
          </w:p>
        </w:tc>
        <w:tc>
          <w:tcPr>
            <w:vAlign w:val="center"/>
          </w:tcPr>
          <w:p>
            <w:pPr>
              <w:pStyle w:val="Compact"/>
              <w:spacing w:line="240" w:lineRule="auto" w:after="0"/>
              <w:jc w:val="right"/>
            </w:pPr>
            <w:r>
              <w:rPr>
                <w:rFonts w:ascii="Times New Roman" w:hAnsi="Times New Roman" w:eastAsia="Times New Roman"/>
                <w:sz w:val="18"/>
              </w:rPr>
              <w:t xml:space="preserve">129</w:t>
            </w:r>
          </w:p>
        </w:tc>
        <w:tc>
          <w:tcPr>
            <w:vAlign w:val="center"/>
          </w:tcPr>
          <w:p>
            <w:pPr>
              <w:pStyle w:val="Compact"/>
              <w:spacing w:line="240" w:lineRule="auto" w:after="0"/>
              <w:jc w:val="right"/>
            </w:pPr>
            <w:r>
              <w:rPr>
                <w:rFonts w:ascii="Times New Roman" w:hAnsi="Times New Roman" w:eastAsia="Times New Roman"/>
                <w:sz w:val="18"/>
              </w:rPr>
              <w:t xml:space="preserve">81,595</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Pamirs</w:t>
            </w:r>
          </w:p>
        </w:tc>
        <w:tc>
          <w:tcPr>
            <w:vAlign w:val="center"/>
          </w:tcPr>
          <w:p>
            <w:pPr>
              <w:pStyle w:val="Compact"/>
              <w:spacing w:line="240" w:lineRule="auto" w:after="0"/>
              <w:jc w:val="left"/>
            </w:pPr>
            <w:r>
              <w:rPr>
                <w:rFonts w:ascii="Times New Roman" w:hAnsi="Times New Roman" w:eastAsia="Times New Roman"/>
                <w:sz w:val="18"/>
              </w:rPr>
              <w:t xml:space="preserve">21 Feb 2023</w:t>
            </w:r>
          </w:p>
        </w:tc>
        <w:tc>
          <w:tcPr>
            <w:vAlign w:val="center"/>
          </w:tcPr>
          <w:p>
            <w:pPr>
              <w:pStyle w:val="Compact"/>
              <w:spacing w:line="240" w:lineRule="auto" w:after="0"/>
              <w:jc w:val="left"/>
            </w:pPr>
            <w:r>
              <w:rPr>
                <w:rFonts w:ascii="Times New Roman" w:hAnsi="Times New Roman" w:eastAsia="Times New Roman"/>
                <w:sz w:val="18"/>
              </w:rPr>
              <w:t xml:space="preserve">Test</w:t>
            </w:r>
          </w:p>
        </w:tc>
        <w:tc>
          <w:tcPr>
            <w:vAlign w:val="center"/>
          </w:tcPr>
          <w:p>
            <w:pPr>
              <w:pStyle w:val="Compact"/>
              <w:spacing w:line="240" w:lineRule="auto" w:after="0"/>
              <w:jc w:val="left"/>
            </w:pPr>
            <w:r>
              <w:rPr>
                <w:rFonts w:ascii="Times New Roman" w:hAnsi="Times New Roman" w:eastAsia="Times New Roman"/>
                <w:sz w:val="18"/>
              </w:rPr>
              <w:t xml:space="preserve">Pish</w:t>
            </w:r>
          </w:p>
        </w:tc>
        <w:tc>
          <w:tcPr>
            <w:vAlign w:val="center"/>
          </w:tcPr>
          <w:p>
            <w:pPr>
              <w:pStyle w:val="Compact"/>
              <w:spacing w:line="240" w:lineRule="auto" w:after="0"/>
              <w:jc w:val="left"/>
            </w:pPr>
            <w:r>
              <w:rPr>
                <w:rFonts w:ascii="Times New Roman" w:hAnsi="Times New Roman" w:eastAsia="Times New Roman"/>
                <w:sz w:val="18"/>
              </w:rPr>
              <w:t xml:space="preserve">VV/VH</w:t>
            </w:r>
          </w:p>
        </w:tc>
        <w:tc>
          <w:tcPr>
            <w:vAlign w:val="center"/>
          </w:tcPr>
          <w:p>
            <w:pPr>
              <w:pStyle w:val="Compact"/>
              <w:spacing w:line="240" w:lineRule="auto" w:after="0"/>
              <w:jc w:val="right"/>
            </w:pPr>
            <w:r>
              <w:rPr>
                <w:rFonts w:ascii="Times New Roman" w:hAnsi="Times New Roman" w:eastAsia="Times New Roman"/>
                <w:sz w:val="18"/>
              </w:rPr>
              <w:t xml:space="preserve">113</w:t>
            </w:r>
          </w:p>
        </w:tc>
        <w:tc>
          <w:tcPr>
            <w:vAlign w:val="center"/>
          </w:tcPr>
          <w:p>
            <w:pPr>
              <w:pStyle w:val="Compact"/>
              <w:spacing w:line="240" w:lineRule="auto" w:after="0"/>
              <w:jc w:val="right"/>
            </w:pPr>
            <w:r>
              <w:rPr>
                <w:rFonts w:ascii="Times New Roman" w:hAnsi="Times New Roman" w:eastAsia="Times New Roman"/>
                <w:sz w:val="18"/>
              </w:rPr>
              <w:t xml:space="preserve">22,579</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Scand. Arctic</w:t>
            </w:r>
          </w:p>
        </w:tc>
        <w:tc>
          <w:tcPr>
            <w:vAlign w:val="center"/>
          </w:tcPr>
          <w:p>
            <w:pPr>
              <w:pStyle w:val="Compact"/>
              <w:spacing w:line="240" w:lineRule="auto" w:after="0"/>
              <w:jc w:val="left"/>
            </w:pPr>
            <w:r>
              <w:rPr>
                <w:rFonts w:ascii="Times New Roman" w:hAnsi="Times New Roman" w:eastAsia="Times New Roman"/>
                <w:sz w:val="18"/>
              </w:rPr>
              <w:t xml:space="preserve">20 Dec 2024</w:t>
            </w:r>
          </w:p>
        </w:tc>
        <w:tc>
          <w:tcPr>
            <w:vAlign w:val="center"/>
          </w:tcPr>
          <w:p>
            <w:pPr>
              <w:pStyle w:val="Compact"/>
              <w:spacing w:line="240" w:lineRule="auto" w:after="0"/>
              <w:jc w:val="left"/>
            </w:pPr>
            <w:r>
              <w:rPr>
                <w:rFonts w:ascii="Times New Roman" w:hAnsi="Times New Roman" w:eastAsia="Times New Roman"/>
                <w:sz w:val="18"/>
              </w:rPr>
              <w:t xml:space="preserve">Test</w:t>
            </w:r>
          </w:p>
        </w:tc>
        <w:tc>
          <w:tcPr>
            <w:vAlign w:val="center"/>
          </w:tcPr>
          <w:p>
            <w:pPr>
              <w:pStyle w:val="Compact"/>
              <w:spacing w:line="240" w:lineRule="auto" w:after="0"/>
              <w:jc w:val="left"/>
            </w:pPr>
            <w:r>
              <w:rPr>
                <w:rFonts w:ascii="Times New Roman" w:hAnsi="Times New Roman" w:eastAsia="Times New Roman"/>
                <w:sz w:val="18"/>
              </w:rPr>
              <w:t xml:space="preserve">Troms</w:t>
            </w:r>
            <w:r>
              <w:rPr>
                <w:rFonts w:ascii="Times New Roman" w:hAnsi="Times New Roman" w:eastAsia="Times New Roman"/>
                <w:sz w:val="18"/>
              </w:rPr>
              <w:t xml:space="preserve">ø</w:t>
            </w:r>
          </w:p>
        </w:tc>
        <w:tc>
          <w:tcPr>
            <w:vAlign w:val="center"/>
          </w:tcPr>
          <w:p>
            <w:pPr>
              <w:pStyle w:val="Compact"/>
              <w:spacing w:line="240" w:lineRule="auto" w:after="0"/>
              <w:jc w:val="left"/>
            </w:pPr>
            <w:r>
              <w:rPr>
                <w:rFonts w:ascii="Times New Roman" w:hAnsi="Times New Roman" w:eastAsia="Times New Roman"/>
                <w:sz w:val="18"/>
              </w:rPr>
              <w:t xml:space="preserve">VV/VH</w:t>
            </w:r>
          </w:p>
        </w:tc>
        <w:tc>
          <w:tcPr>
            <w:vAlign w:val="center"/>
          </w:tcPr>
          <w:p>
            <w:pPr>
              <w:pStyle w:val="Compact"/>
              <w:spacing w:line="240" w:lineRule="auto" w:after="0"/>
              <w:jc w:val="right"/>
            </w:pPr>
            <w:r>
              <w:rPr>
                <w:rFonts w:ascii="Times New Roman" w:hAnsi="Times New Roman" w:eastAsia="Times New Roman"/>
                <w:sz w:val="18"/>
              </w:rPr>
              <w:t xml:space="preserve">117</w:t>
            </w:r>
          </w:p>
        </w:tc>
        <w:tc>
          <w:tcPr>
            <w:vAlign w:val="center"/>
          </w:tcPr>
          <w:p>
            <w:pPr>
              <w:pStyle w:val="Compact"/>
              <w:spacing w:line="240" w:lineRule="auto" w:after="0"/>
              <w:jc w:val="right"/>
            </w:pPr>
            <w:r>
              <w:rPr>
                <w:rFonts w:ascii="Times New Roman" w:hAnsi="Times New Roman" w:eastAsia="Times New Roman"/>
                <w:sz w:val="18"/>
              </w:rPr>
              <w:t xml:space="preserve">33,972</w:t>
            </w:r>
          </w:p>
        </w:tc>
      </w:tr>
    </w:tbl>
    <w:bookmarkEnd w:id="10"/>
    <w:p>
      <w:pPr>
        <w:pStyle w:val="BodyText"/>
        <w:spacing w:line="480" w:lineRule="auto" w:after="0"/>
      </w:pPr>
      <w:r>
        <w:rPr>
          <w:rFonts w:ascii="Times New Roman" w:hAnsi="Times New Roman" w:eastAsia="Times New Roman"/>
          <w:sz w:val="24"/>
        </w:rPr>
        <w:t xml:space="preserve">The executed loader uses the supplied decibel rasters without percentile scaling. Values outside</w:t>
      </w:r>
      <w:r>
        <w:rPr>
          <w:rFonts w:ascii="Times New Roman" w:hAnsi="Times New Roman" w:eastAsia="Times New Roman"/>
          <w:sz w:val="24"/>
        </w:rPr>
        <w:t xml:space="preserve"> </w:t>
      </w:r>
      <m:oMath>
        <m:r>
          <m:rPr>
            <m:sty m:val="p"/>
          </m:rPr>
          <m:t>[</m:t>
        </m:r>
        <m:r>
          <m:rPr>
            <m:sty m:val="p"/>
          </m:rPr>
          <m:t>−</m:t>
        </m:r>
        <m:r>
          <m:t>45</m:t>
        </m:r>
        <m:r>
          <m:rPr>
            <m:sty m:val="p"/>
          </m:rPr>
          <m:t>,</m:t>
        </m:r>
        <m:r>
          <m:t>15</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dB are marked invalid; after the valid mask is fixed, missing cross- and co-polarized values are replaced by</w:t>
      </w:r>
      <w:r>
        <w:rPr>
          <w:rFonts w:ascii="Times New Roman" w:hAnsi="Times New Roman" w:eastAsia="Times New Roman"/>
          <w:sz w:val="24"/>
        </w:rPr>
        <w:t xml:space="preserve"> </w:t>
      </w:r>
      <m:oMath>
        <m:r>
          <m:rPr>
            <m:sty m:val="p"/>
          </m:rPr>
          <m:t>−</m:t>
        </m:r>
        <m:r>
          <m:t>20</m:t>
        </m:r>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rPr>
            <m:sty m:val="p"/>
          </m:rPr>
          <m:t>−</m:t>
        </m:r>
        <m:r>
          <m:t>12</m:t>
        </m:r>
      </m:oMath>
      <w:r>
        <w:rPr>
          <w:rFonts w:ascii="Times New Roman" w:hAnsi="Times New Roman" w:eastAsia="Times New Roman"/>
          <w:sz w:val="24"/>
        </w:rPr>
        <w:t xml:space="preserve"> </w:t>
      </w:r>
      <w:r>
        <w:rPr>
          <w:rFonts w:ascii="Times New Roman" w:hAnsi="Times New Roman" w:eastAsia="Times New Roman"/>
          <w:sz w:val="24"/>
        </w:rPr>
        <w:t xml:space="preserve">dB, respectively. The two model positions represent cross/co polarization (VH/VV or HV/HH according to scene), and difference channels retain those positions. The terrain tensor contains local incidence geometry, slope, sine/cosine aspect, elevation, and the fixed coordinate</w:t>
      </w:r>
      <w:r>
        <w:rPr>
          <w:rFonts w:ascii="Times New Roman" w:hAnsi="Times New Roman" w:eastAsia="Times New Roman"/>
          <w:sz w:val="24"/>
        </w:rPr>
        <w:t xml:space="preserve"> </w:t>
      </w:r>
      <m:oMath>
        <m:r>
          <m:rPr>
            <m:sty m:val="p"/>
          </m:rPr>
          <m:t>cos</m:t>
        </m:r>
        <m:r>
          <m:rPr>
            <m:sty m:val="p"/>
          </m:rPr>
          <m:t>(</m:t>
        </m:r>
        <m:r>
          <m:t>α</m:t>
        </m:r>
        <m:r>
          <m:rPr>
            <m:sty m:val="p"/>
          </m:rPr>
          <m:t>−</m:t>
        </m:r>
        <m:sSup>
          <m:e>
            <m:r>
              <m:t>78</m:t>
            </m:r>
          </m:e>
          <m:sup>
            <m:r>
              <m:rPr>
                <m:sty m:val="p"/>
              </m:rPr>
              <m:t>∘</m:t>
            </m:r>
          </m:sup>
        </m:sSup>
        <m:r>
          <m:rPr>
            <m:sty m:val="p"/>
          </m:rPr>
          <m:t>)</m:t>
        </m:r>
      </m:oMath>
      <w:r>
        <w:rPr>
          <w:rFonts w:ascii="Times New Roman" w:hAnsi="Times New Roman" w:eastAsia="Times New Roman"/>
          <w:sz w:val="24"/>
        </w:rPr>
        <w:t xml:space="preserve">; this last channel is a reference-axis aspect encoding, not authoritative per-event radar heading. Training uses balanced</w:t>
      </w:r>
      <w:r>
        <w:rPr>
          <w:rFonts w:ascii="Times New Roman" w:hAnsi="Times New Roman" w:eastAsia="Times New Roman"/>
          <w:sz w:val="24"/>
        </w:rPr>
        <w:t xml:space="preserve"> </w:t>
      </w:r>
      <m:oMath>
        <m:r>
          <m:t>128</m:t>
        </m:r>
        <m:r>
          <m:rPr>
            <m:sty m:val="p"/>
          </m:rPr>
          <m:t>×</m:t>
        </m:r>
        <m:r>
          <m:t>128</m:t>
        </m:r>
      </m:oMath>
      <w:r>
        <w:rPr>
          <w:rFonts w:ascii="Times New Roman" w:hAnsi="Times New Roman" w:eastAsia="Times New Roman"/>
          <w:sz w:val="24"/>
        </w:rPr>
        <w:t xml:space="preserve"> </w:t>
      </w:r>
      <w:r>
        <w:rPr>
          <w:rFonts w:ascii="Times New Roman" w:hAnsi="Times New Roman" w:eastAsia="Times New Roman"/>
          <w:sz w:val="24"/>
        </w:rPr>
        <w:t xml:space="preserve">patches; evaluation uses complete valid-mask rasters. Physical areas are derived from affine raster transforms rather than full rectangular extents. Figure </w:t>
      </w:r>
      <w:hyperlink w:anchor="fig:architecture">
        <w:r>
          <w:rPr>
            <w:rStyle w:val="Hyperlink"/>
          </w:rPr>
          <w:t xml:space="preserve">1</w:t>
        </w:r>
      </w:hyperlink>
      <w:r>
        <w:rPr>
          <w:rFonts w:ascii="Times New Roman" w:hAnsi="Times New Roman" w:eastAsia="Times New Roman"/>
          <w:sz w:val="24"/>
        </w:rPr>
        <w:t xml:space="preserve"> </w:t>
      </w:r>
      <w:r>
        <w:rPr>
          <w:rFonts w:ascii="Times New Roman" w:hAnsi="Times New Roman" w:eastAsia="Times New Roman"/>
          <w:sz w:val="24"/>
        </w:rPr>
        <w:t xml:space="preserve">summarizes the model; Online Resource 1 supplies equations, preprocessing details, complete tables, and additional diagnostics.</w:t>
      </w:r>
    </w:p>
    <w:bookmarkEnd w:id="11"/>
    <w:bookmarkStart w:id="19" w:name="method"/>
    <w:p>
      <w:pPr>
        <w:pStyle w:val="Heading1"/>
        <w:spacing w:line="480" w:lineRule="auto" w:after="0"/>
      </w:pPr>
      <w:r>
        <w:rPr>
          <w:rFonts w:ascii="Times New Roman" w:hAnsi="Times New Roman" w:eastAsia="Times New Roman"/>
          <w:sz w:val="24"/>
        </w:rPr>
        <w:t xml:space="preserve">Method</w:t>
      </w:r>
    </w:p>
    <w:bookmarkStart w:id="16" w:name="radar-topographic-conditioning"/>
    <w:p>
      <w:pPr>
        <w:pStyle w:val="Heading2"/>
        <w:spacing w:line="480" w:lineRule="auto" w:after="0"/>
      </w:pPr>
      <w:r>
        <w:rPr>
          <w:rFonts w:ascii="Times New Roman" w:hAnsi="Times New Roman" w:eastAsia="Times New Roman"/>
          <w:sz w:val="24"/>
        </w:rPr>
        <w:t xml:space="preserve">Radar-topographic conditioning</w:t>
      </w:r>
    </w:p>
    <w:p>
      <w:pPr>
        <w:pStyle w:val="FirstParagraph"/>
        <w:spacing w:line="480" w:lineRule="auto" w:after="0"/>
      </w:pPr>
      <w:r>
        <w:rPr>
          <w:rFonts w:ascii="Times New Roman" w:hAnsi="Times New Roman" w:eastAsia="Times New Roman"/>
          <w:sz w:val="24"/>
        </w:rPr>
        <w:t xml:space="preserve">Let</w:t>
      </w:r>
      <w:r>
        <w:rPr>
          <w:rFonts w:ascii="Times New Roman" w:hAnsi="Times New Roman" w:eastAsia="Times New Roman"/>
          <w:sz w:val="24"/>
        </w:rPr>
        <w:t xml:space="preserve"> </w:t>
      </w:r>
      <m:oMath>
        <m:sSup>
          <m:e>
            <m:r>
              <m:t>I</m:t>
            </m:r>
          </m:e>
          <m:sup>
            <m:r>
              <m:rPr>
                <m:sty m:val="p"/>
              </m:rPr>
              <m:t>p</m:t>
            </m:r>
            <m:r>
              <m:rPr>
                <m:sty m:val="p"/>
              </m:rPr>
              <m:t>r</m:t>
            </m:r>
            <m:r>
              <m:rPr>
                <m:sty m:val="p"/>
              </m:rPr>
              <m:t>e</m:t>
            </m:r>
          </m:sup>
        </m:sSup>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sSup>
          <m:e>
            <m:r>
              <m:t>I</m:t>
            </m:r>
          </m:e>
          <m:sup>
            <m:r>
              <m:rPr>
                <m:sty m:val="p"/>
              </m:rPr>
              <m:t>p</m:t>
            </m:r>
            <m:r>
              <m:rPr>
                <m:sty m:val="p"/>
              </m:rPr>
              <m:t>o</m:t>
            </m:r>
            <m:r>
              <m:rPr>
                <m:sty m:val="p"/>
              </m:rPr>
              <m:t>s</m:t>
            </m:r>
            <m:r>
              <m:rPr>
                <m:sty m:val="p"/>
              </m:rPr>
              <m:t>t</m:t>
            </m:r>
          </m:sup>
        </m:sSup>
      </m:oMath>
      <w:r>
        <w:rPr>
          <w:rFonts w:ascii="Times New Roman" w:hAnsi="Times New Roman" w:eastAsia="Times New Roman"/>
          <w:sz w:val="24"/>
        </w:rPr>
        <w:t xml:space="preserve"> </w:t>
      </w:r>
      <w:r>
        <w:rPr>
          <w:rFonts w:ascii="Times New Roman" w:hAnsi="Times New Roman" w:eastAsia="Times New Roman"/>
          <w:sz w:val="24"/>
        </w:rPr>
        <w:t xml:space="preserve">denote pre- and post-event two-channel cross/co-polarized intensity tensors. A shared residual encoder produces scale-</w:t>
      </w:r>
      <m:oMath>
        <m:r>
          <m:t>l</m:t>
        </m:r>
      </m:oMath>
      <w:r>
        <w:rPr>
          <w:rFonts w:ascii="Times New Roman" w:hAnsi="Times New Roman" w:eastAsia="Times New Roman"/>
          <w:sz w:val="24"/>
        </w:rPr>
        <w:t xml:space="preserve"> </w:t>
      </w:r>
      <w:r>
        <w:rPr>
          <w:rFonts w:ascii="Times New Roman" w:hAnsi="Times New Roman" w:eastAsia="Times New Roman"/>
          <w:sz w:val="24"/>
        </w:rPr>
        <w:t xml:space="preserve">features</w:t>
      </w:r>
      <w:r>
        <w:rPr>
          <w:rFonts w:ascii="Times New Roman" w:hAnsi="Times New Roman" w:eastAsia="Times New Roman"/>
          <w:sz w:val="24"/>
        </w:rPr>
        <w:t xml:space="preserve"> </w:t>
      </w:r>
      <m:oMath>
        <m:sSubSup>
          <m:e>
            <m:r>
              <m:t>F</m:t>
            </m:r>
          </m:e>
          <m:sub>
            <m:r>
              <m:t>l</m:t>
            </m:r>
          </m:sub>
          <m:sup>
            <m:r>
              <m:rPr>
                <m:sty m:val="p"/>
              </m:rPr>
              <m:t>p</m:t>
            </m:r>
            <m:r>
              <m:rPr>
                <m:sty m:val="p"/>
              </m:rPr>
              <m:t>r</m:t>
            </m:r>
            <m:r>
              <m:rPr>
                <m:sty m:val="p"/>
              </m:rPr>
              <m:t>e</m:t>
            </m:r>
          </m:sup>
        </m:sSubSup>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sSubSup>
          <m:e>
            <m:r>
              <m:t>F</m:t>
            </m:r>
          </m:e>
          <m:sub>
            <m:r>
              <m:t>l</m:t>
            </m:r>
          </m:sub>
          <m:sup>
            <m:r>
              <m:rPr>
                <m:sty m:val="p"/>
              </m:rPr>
              <m:t>p</m:t>
            </m:r>
            <m:r>
              <m:rPr>
                <m:sty m:val="p"/>
              </m:rPr>
              <m:t>o</m:t>
            </m:r>
            <m:r>
              <m:rPr>
                <m:sty m:val="p"/>
              </m:rPr>
              <m:t>s</m:t>
            </m:r>
            <m:r>
              <m:rPr>
                <m:sty m:val="p"/>
              </m:rPr>
              <m:t>t</m:t>
            </m:r>
          </m:sup>
        </m:sSubSup>
      </m:oMath>
      <w:r>
        <w:rPr>
          <w:rFonts w:ascii="Times New Roman" w:hAnsi="Times New Roman" w:eastAsia="Times New Roman"/>
          <w:sz w:val="24"/>
        </w:rPr>
        <w:t xml:space="preserve">. Their difference representation is</w:t>
      </w:r>
    </w:p>
    <w:p>
      <w:pPr>
        <w:pStyle w:val="BodyText"/>
        <w:spacing w:line="480" w:lineRule="auto" w:after="0"/>
      </w:pPr>
      <m:oMathPara>
        <m:oMathParaPr>
          <m:jc m:val="center"/>
        </m:oMathParaPr>
        <m:oMath>
          <m:sSubSup>
            <m:e>
              <m:r>
                <m:t>F</m:t>
              </m:r>
            </m:e>
            <m:sub>
              <m:r>
                <m:t>l</m:t>
              </m:r>
            </m:sub>
            <m:sup>
              <m:r>
                <m:rPr>
                  <m:sty m:val="p"/>
                </m:rPr>
                <m:t>Δ</m:t>
              </m:r>
            </m:sup>
          </m:sSubSup>
          <m:r>
            <m:rPr>
              <m:sty m:val="p"/>
            </m:rPr>
            <m:t>=</m:t>
          </m:r>
          <m:r>
            <m:rPr>
              <m:sty m:val="p"/>
            </m:rPr>
            <m:t>Conv</m:t>
          </m:r>
          <m:r>
            <m:t>​</m:t>
          </m:r>
          <m:d>
            <m:dPr>
              <m:begChr m:val="["/>
              <m:sepChr m:val=""/>
              <m:endChr m:val="]"/>
              <m:grow/>
            </m:dPr>
            <m:e>
              <m:sSubSup>
                <m:e>
                  <m:r>
                    <m:t>F</m:t>
                  </m:r>
                </m:e>
                <m:sub>
                  <m:r>
                    <m:t>l</m:t>
                  </m:r>
                </m:sub>
                <m:sup>
                  <m:r>
                    <m:rPr>
                      <m:sty m:val="p"/>
                    </m:rPr>
                    <m:t>p</m:t>
                  </m:r>
                  <m:r>
                    <m:rPr>
                      <m:sty m:val="p"/>
                    </m:rPr>
                    <m:t>o</m:t>
                  </m:r>
                  <m:r>
                    <m:rPr>
                      <m:sty m:val="p"/>
                    </m:rPr>
                    <m:t>s</m:t>
                  </m:r>
                  <m:r>
                    <m:rPr>
                      <m:sty m:val="p"/>
                    </m:rPr>
                    <m:t>t</m:t>
                  </m:r>
                </m:sup>
              </m:sSubSup>
              <m:r>
                <m:rPr>
                  <m:sty m:val="p"/>
                </m:rPr>
                <m:t>−</m:t>
              </m:r>
              <m:sSubSup>
                <m:e>
                  <m:r>
                    <m:t>F</m:t>
                  </m:r>
                </m:e>
                <m:sub>
                  <m:r>
                    <m:t>l</m:t>
                  </m:r>
                </m:sub>
                <m:sup>
                  <m:r>
                    <m:rPr>
                      <m:sty m:val="p"/>
                    </m:rPr>
                    <m:t>p</m:t>
                  </m:r>
                  <m:r>
                    <m:rPr>
                      <m:sty m:val="p"/>
                    </m:rPr>
                    <m:t>r</m:t>
                  </m:r>
                  <m:r>
                    <m:rPr>
                      <m:sty m:val="p"/>
                    </m:rPr>
                    <m:t>e</m:t>
                  </m:r>
                </m:sup>
              </m:sSubSup>
              <m:r>
                <m:rPr>
                  <m:sty m:val="p"/>
                </m:rPr>
                <m:t>,</m:t>
              </m:r>
              <m:sSubSup>
                <m:e>
                  <m:r>
                    <m:t>F</m:t>
                  </m:r>
                </m:e>
                <m:sub>
                  <m:r>
                    <m:t>l</m:t>
                  </m:r>
                </m:sub>
                <m:sup>
                  <m:r>
                    <m:rPr>
                      <m:sty m:val="p"/>
                    </m:rPr>
                    <m:t>p</m:t>
                  </m:r>
                  <m:r>
                    <m:rPr>
                      <m:sty m:val="p"/>
                    </m:rPr>
                    <m:t>o</m:t>
                  </m:r>
                  <m:r>
                    <m:rPr>
                      <m:sty m:val="p"/>
                    </m:rPr>
                    <m:t>s</m:t>
                  </m:r>
                  <m:r>
                    <m:rPr>
                      <m:sty m:val="p"/>
                    </m:rPr>
                    <m:t>t</m:t>
                  </m:r>
                </m:sup>
              </m:sSubSup>
              <m:r>
                <m:rPr>
                  <m:sty m:val="p"/>
                </m:rPr>
                <m:t>,</m:t>
              </m:r>
              <m:sSubSup>
                <m:e>
                  <m:r>
                    <m:t>F</m:t>
                  </m:r>
                </m:e>
                <m:sub>
                  <m:r>
                    <m:t>l</m:t>
                  </m:r>
                </m:sub>
                <m:sup>
                  <m:r>
                    <m:rPr>
                      <m:sty m:val="p"/>
                    </m:rPr>
                    <m:t>p</m:t>
                  </m:r>
                  <m:r>
                    <m:rPr>
                      <m:sty m:val="p"/>
                    </m:rPr>
                    <m:t>r</m:t>
                  </m:r>
                  <m:r>
                    <m:rPr>
                      <m:sty m:val="p"/>
                    </m:rPr>
                    <m:t>e</m:t>
                  </m:r>
                </m:sup>
              </m:sSubSup>
            </m:e>
          </m:d>
          <m:r>
            <m:rPr>
              <m:sty m:val="p"/>
            </m:rPr>
            <m:t>.</m:t>
          </m:r>
        </m:oMath>
      </m:oMathPara>
    </w:p>
    <w:p>
      <w:pPr>
        <w:pStyle w:val="FirstParagraph"/>
        <w:spacing w:line="480" w:lineRule="auto" w:after="0"/>
      </w:pPr>
      <w:r>
        <w:rPr>
          <w:rFonts w:ascii="Times New Roman" w:hAnsi="Times New Roman" w:eastAsia="Times New Roman"/>
          <w:sz w:val="24"/>
        </w:rPr>
        <w:t xml:space="preserve">The terrain encoder maps the six-channel geometry tensor to</w:t>
      </w:r>
      <w:r>
        <w:rPr>
          <w:rFonts w:ascii="Times New Roman" w:hAnsi="Times New Roman" w:eastAsia="Times New Roman"/>
          <w:sz w:val="24"/>
        </w:rPr>
        <w:t xml:space="preserve"> </w:t>
      </w:r>
      <m:oMath>
        <m:sSub>
          <m:e>
            <m:r>
              <m:t>T</m:t>
            </m:r>
          </m:e>
          <m:sub>
            <m:r>
              <m:t>l</m:t>
            </m:r>
          </m:sub>
        </m:sSub>
      </m:oMath>
      <w:r>
        <w:rPr>
          <w:rFonts w:ascii="Times New Roman" w:hAnsi="Times New Roman" w:eastAsia="Times New Roman"/>
          <w:sz w:val="24"/>
        </w:rPr>
        <w:t xml:space="preserve">. A Radar-Topographic Cross-Attention Block forms SAR queries and pooled terrain keys and values,</w:t>
      </w:r>
    </w:p>
    <w:p>
      <w:pPr>
        <w:pStyle w:val="BodyText"/>
        <w:spacing w:line="480" w:lineRule="auto" w:after="0"/>
      </w:pPr>
      <m:oMathPara>
        <m:oMathParaPr>
          <m:jc m:val="center"/>
        </m:oMathParaPr>
        <m:oMath>
          <m:r>
            <m:t>Q</m:t>
          </m:r>
          <m:r>
            <m:rPr>
              <m:sty m:val="p"/>
            </m:rPr>
            <m:t>=</m:t>
          </m:r>
          <m:sSubSup>
            <m:e>
              <m:r>
                <m:t>F</m:t>
              </m:r>
            </m:e>
            <m:sub>
              <m:r>
                <m:t>l</m:t>
              </m:r>
            </m:sub>
            <m:sup>
              <m:r>
                <m:rPr>
                  <m:sty m:val="p"/>
                </m:rPr>
                <m:t>Δ</m:t>
              </m:r>
            </m:sup>
          </m:sSubSup>
          <m:sSub>
            <m:e>
              <m:r>
                <m:t>W</m:t>
              </m:r>
            </m:e>
            <m:sub>
              <m:r>
                <m:t>Q</m:t>
              </m:r>
            </m:sub>
          </m:sSub>
          <m:r>
            <m:rPr>
              <m:sty m:val="p"/>
            </m:rPr>
            <m:t>,</m:t>
          </m:r>
          <m:r>
            <m:t> </m:t>
          </m:r>
          <m:r>
            <m:t>K</m:t>
          </m:r>
          <m:r>
            <m:rPr>
              <m:sty m:val="p"/>
            </m:rPr>
            <m:t>=</m:t>
          </m:r>
          <m:r>
            <m:rPr>
              <m:sty m:val="p"/>
            </m:rPr>
            <m:t>Pool</m:t>
          </m:r>
          <m:r>
            <m:rPr>
              <m:sty m:val="p"/>
            </m:rPr>
            <m:t>(</m:t>
          </m:r>
          <m:sSub>
            <m:e>
              <m:r>
                <m:t>T</m:t>
              </m:r>
            </m:e>
            <m:sub>
              <m:r>
                <m:t>l</m:t>
              </m:r>
            </m:sub>
          </m:sSub>
          <m:r>
            <m:rPr>
              <m:sty m:val="p"/>
            </m:rPr>
            <m:t>)</m:t>
          </m:r>
          <m:sSub>
            <m:e>
              <m:r>
                <m:t>W</m:t>
              </m:r>
            </m:e>
            <m:sub>
              <m:r>
                <m:t>K</m:t>
              </m:r>
            </m:sub>
          </m:sSub>
          <m:r>
            <m:rPr>
              <m:sty m:val="p"/>
            </m:rPr>
            <m:t>,</m:t>
          </m:r>
          <m:r>
            <m:t> </m:t>
          </m:r>
          <m:r>
            <m:t>V</m:t>
          </m:r>
          <m:r>
            <m:rPr>
              <m:sty m:val="p"/>
            </m:rPr>
            <m:t>=</m:t>
          </m:r>
          <m:r>
            <m:rPr>
              <m:sty m:val="p"/>
            </m:rPr>
            <m:t>Pool</m:t>
          </m:r>
          <m:r>
            <m:rPr>
              <m:sty m:val="p"/>
            </m:rPr>
            <m:t>(</m:t>
          </m:r>
          <m:sSub>
            <m:e>
              <m:r>
                <m:t>T</m:t>
              </m:r>
            </m:e>
            <m:sub>
              <m:r>
                <m:t>l</m:t>
              </m:r>
            </m:sub>
          </m:sSub>
          <m:r>
            <m:rPr>
              <m:sty m:val="p"/>
            </m:rPr>
            <m:t>)</m:t>
          </m:r>
          <m:sSub>
            <m:e>
              <m:r>
                <m:t>W</m:t>
              </m:r>
            </m:e>
            <m:sub>
              <m:r>
                <m:t>V</m:t>
              </m:r>
            </m:sub>
          </m:sSub>
          <m:r>
            <m:rPr>
              <m:sty m:val="p"/>
            </m:rPr>
            <m:t>,</m:t>
          </m:r>
        </m:oMath>
      </m:oMathPara>
    </w:p>
    <w:p>
      <w:pPr>
        <w:pStyle w:val="FirstParagraph"/>
        <w:spacing w:line="480" w:lineRule="auto" w:after="0"/>
      </w:pPr>
      <w:r>
        <w:rPr>
          <w:rFonts w:ascii="Times New Roman" w:hAnsi="Times New Roman" w:eastAsia="Times New Roman"/>
          <w:sz w:val="24"/>
        </w:rPr>
        <w:t xml:space="preserve">and computes</w:t>
      </w:r>
      <w:r>
        <w:rPr>
          <w:rFonts w:ascii="Times New Roman" w:hAnsi="Times New Roman" w:eastAsia="Times New Roman"/>
          <w:sz w:val="24"/>
        </w:rPr>
        <w:t xml:space="preserve"> </w:t>
      </w:r>
      <m:oMath>
        <m:r>
          <m:t>A</m:t>
        </m:r>
        <m:r>
          <m:rPr>
            <m:sty m:val="p"/>
          </m:rPr>
          <m:t>=</m:t>
        </m:r>
        <m:r>
          <m:rPr>
            <m:sty m:val="p"/>
          </m:rPr>
          <m:t>softmax</m:t>
        </m:r>
        <m:r>
          <m:rPr>
            <m:sty m:val="p"/>
          </m:rPr>
          <m:t>(</m:t>
        </m:r>
        <m:r>
          <m:t>Q</m:t>
        </m:r>
        <m:sSup>
          <m:e>
            <m:r>
              <m:t>K</m:t>
            </m:r>
          </m:e>
          <m:sup>
            <m:r>
              <m:rPr>
                <m:sty m:val="p"/>
              </m:rPr>
              <m:t>⊤</m:t>
            </m:r>
          </m:sup>
        </m:sSup>
        <m:r>
          <m:rPr>
            <m:sty m:val="p"/>
          </m:rPr>
          <m:t>/</m:t>
        </m:r>
        <m:rad>
          <m:radPr>
            <m:degHide m:val="on"/>
          </m:radPr>
          <m:deg/>
          <m:e>
            <m:r>
              <m:t>d</m:t>
            </m:r>
          </m:e>
        </m:rad>
        <m:r>
          <m:rPr>
            <m:sty m:val="p"/>
          </m:rPr>
          <m:t>)</m:t>
        </m:r>
        <m:r>
          <m:t>V</m:t>
        </m:r>
      </m:oMath>
      <w:r>
        <w:rPr>
          <w:rFonts w:ascii="Times New Roman" w:hAnsi="Times New Roman" w:eastAsia="Times New Roman"/>
          <w:sz w:val="24"/>
        </w:rPr>
        <w:t xml:space="preserve">. A pixelwise gate</w:t>
      </w:r>
      <w:r>
        <w:rPr>
          <w:rFonts w:ascii="Times New Roman" w:hAnsi="Times New Roman" w:eastAsia="Times New Roman"/>
          <w:sz w:val="24"/>
        </w:rPr>
        <w:t xml:space="preserve"> </w:t>
      </w:r>
      <m:oMath>
        <m:r>
          <m:t>σ</m:t>
        </m:r>
        <m:r>
          <m:rPr>
            <m:sty m:val="p"/>
          </m:rPr>
          <m:t>(</m:t>
        </m:r>
        <m:r>
          <m:rPr>
            <m:sty m:val="p"/>
          </m:rPr>
          <m:t>Conv</m:t>
        </m:r>
        <m:r>
          <m:rPr>
            <m:sty m:val="p"/>
          </m:rPr>
          <m:t>(</m:t>
        </m:r>
        <m:sSub>
          <m:e>
            <m:r>
              <m:t>T</m:t>
            </m:r>
          </m:e>
          <m:sub>
            <m:r>
              <m:t>l</m:t>
            </m:r>
          </m:sub>
        </m:sSub>
        <m:r>
          <m:rPr>
            <m:sty m:val="p"/>
          </m:rPr>
          <m:t>)</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modulates the attended features before progressive decoding. This construction conditions a shift-invariant convolutional representation on spatially varying radar geometry; it does not make the representation physically invariant.</w:t>
      </w:r>
    </w:p>
    <w:bookmarkStart w:id="15" w:name="fig:architecture"/>
    <w:p>
      <w:pPr>
        <w:pStyle w:val="CaptionedFigure"/>
        <w:spacing w:line="480" w:lineRule="auto" w:after="0"/>
      </w:pPr>
      <w:r>
        <w:rPr>
          <w:rFonts w:ascii="Times New Roman" w:hAnsi="Times New Roman" w:eastAsia="Times New Roman"/>
          <w:sz w:val="24"/>
        </w:rPr>
        <w:drawing>
          <wp:inline>
            <wp:extent cx="6120000" cy="3067745"/>
            <wp:effectExtent b="0" l="0" r="0" t="0"/>
            <wp:docPr descr="" title="" id="13" name="Picture"/>
            <a:graphic>
              <a:graphicData uri="http://schemas.openxmlformats.org/drawingml/2006/picture">
                <pic:pic>
                  <pic:nvPicPr>
                    <pic:cNvPr descr="Fig1.png" id="14" name="Picture"/>
                    <pic:cNvPicPr>
                      <a:picLocks noChangeArrowheads="1" noChangeAspect="1"/>
                    </pic:cNvPicPr>
                  </pic:nvPicPr>
                  <pic:blipFill>
                    <a:blip r:embed="rId12"/>
                    <a:stretch>
                      <a:fillRect/>
                    </a:stretch>
                  </pic:blipFill>
                  <pic:spPr bwMode="auto">
                    <a:xfrm>
                      <a:off x="0" y="0"/>
                      <a:ext cx="6120000" cy="3067745"/>
                    </a:xfrm>
                    <a:prstGeom prst="rect">
                      <a:avLst/>
                    </a:prstGeom>
                    <a:noFill/>
                    <a:ln w="9525">
                      <a:noFill/>
                      <a:headEnd/>
                      <a:tailEnd/>
                    </a:ln>
                  </pic:spPr>
                </pic:pic>
              </a:graphicData>
            </a:graphic>
          </wp:inline>
        </w:drawing>
      </w:r>
    </w:p>
    <w:p>
      <w:pPr>
        <w:pStyle w:val="ImageCaption"/>
        <w:spacing w:line="480" w:lineRule="auto" w:after="0"/>
      </w:pPr>
      <w:r>
        <w:rPr>
          <w:rFonts w:ascii="Times New Roman" w:hAnsi="Times New Roman" w:eastAsia="Times New Roman"/>
          <w:b/>
          <w:sz w:val="24"/>
        </w:rPr>
        <w:t xml:space="preserve">Fig. 1. </w:t>
      </w:r>
      <w:r>
        <w:rPr>
          <w:rFonts w:ascii="Times New Roman" w:hAnsi="Times New Roman" w:eastAsia="Times New Roman"/>
          <w:sz w:val="24"/>
        </w:rPr>
        <w:t>TopoRadar-Net schematic. Bitemporal SAR differences query pooled topographic keys and values; a pixelwise terrain gate conditions decoding. The training schematic omits the ground-truth loss input for clarity</w:t>
      </w:r>
    </w:p>
    <w:bookmarkEnd w:id="15"/>
    <w:bookmarkEnd w:id="16"/>
    <w:bookmarkStart w:id="17" w:name="loss-training-and-inference"/>
    <w:p>
      <w:pPr>
        <w:pStyle w:val="Heading2"/>
        <w:spacing w:line="480" w:lineRule="auto" w:after="0"/>
      </w:pPr>
      <w:r>
        <w:rPr>
          <w:rFonts w:ascii="Times New Roman" w:hAnsi="Times New Roman" w:eastAsia="Times New Roman"/>
          <w:sz w:val="24"/>
        </w:rPr>
        <w:t xml:space="preserve">Loss, training, and inference</w:t>
      </w:r>
    </w:p>
    <w:p>
      <w:pPr>
        <w:pStyle w:val="FirstParagraph"/>
        <w:spacing w:line="480" w:lineRule="auto" w:after="0"/>
      </w:pPr>
      <w:r>
        <w:rPr>
          <w:rFonts w:ascii="Times New Roman" w:hAnsi="Times New Roman" w:eastAsia="Times New Roman"/>
          <w:sz w:val="24"/>
        </w:rPr>
        <w:t xml:space="preserve">The objective combines positive-weighted binary cross-entropy, Dice loss, and a soft slope prior:</w:t>
      </w:r>
    </w:p>
    <w:p>
      <w:pPr>
        <w:pStyle w:val="BodyText"/>
        <w:spacing w:line="480" w:lineRule="auto" w:after="0"/>
      </w:pPr>
      <m:oMathPara>
        <m:oMathParaPr>
          <m:jc m:val="center"/>
        </m:oMathParaPr>
        <m:oMath>
          <m:r>
            <m:rPr>
              <m:scr m:val="script"/>
              <m:sty m:val="p"/>
            </m:rPr>
            <m:t>L</m:t>
          </m:r>
          <m:r>
            <m:rPr>
              <m:sty m:val="p"/>
            </m:rPr>
            <m:t>=</m:t>
          </m:r>
          <m:sSub>
            <m:e>
              <m:r>
                <m:rPr>
                  <m:scr m:val="script"/>
                  <m:sty m:val="p"/>
                </m:rPr>
                <m:t>L</m:t>
              </m:r>
            </m:e>
            <m:sub>
              <m:r>
                <m:rPr>
                  <m:sty m:val="p"/>
                </m:rPr>
                <m:t>B</m:t>
              </m:r>
              <m:r>
                <m:rPr>
                  <m:sty m:val="p"/>
                </m:rPr>
                <m:t>C</m:t>
              </m:r>
              <m:r>
                <m:rPr>
                  <m:sty m:val="p"/>
                </m:rPr>
                <m:t>E</m:t>
              </m:r>
            </m:sub>
          </m:sSub>
          <m:r>
            <m:rPr>
              <m:sty m:val="p"/>
            </m:rPr>
            <m:t>+</m:t>
          </m:r>
          <m:sSub>
            <m:e>
              <m:r>
                <m:rPr>
                  <m:scr m:val="script"/>
                  <m:sty m:val="p"/>
                </m:rPr>
                <m:t>L</m:t>
              </m:r>
            </m:e>
            <m:sub>
              <m:r>
                <m:rPr>
                  <m:sty m:val="p"/>
                </m:rPr>
                <m:t>D</m:t>
              </m:r>
              <m:r>
                <m:rPr>
                  <m:sty m:val="p"/>
                </m:rPr>
                <m:t>i</m:t>
              </m:r>
              <m:r>
                <m:rPr>
                  <m:sty m:val="p"/>
                </m:rPr>
                <m:t>c</m:t>
              </m:r>
              <m:r>
                <m:rPr>
                  <m:sty m:val="p"/>
                </m:rPr>
                <m:t>e</m:t>
              </m:r>
            </m:sub>
          </m:sSub>
          <m:r>
            <m:rPr>
              <m:sty m:val="p"/>
            </m:rPr>
            <m:t>+</m:t>
          </m:r>
          <m:r>
            <m:t>0.5</m:t>
          </m:r>
          <m:r>
            <m:t> </m:t>
          </m:r>
          <m:sSub>
            <m:e>
              <m:r>
                <m:rPr>
                  <m:scr m:val="script"/>
                  <m:sty m:val="p"/>
                </m:rPr>
                <m:t>L</m:t>
              </m:r>
            </m:e>
            <m:sub>
              <m:r>
                <m:rPr>
                  <m:sty m:val="p"/>
                </m:rPr>
                <m:t>s</m:t>
              </m:r>
              <m:r>
                <m:rPr>
                  <m:sty m:val="p"/>
                </m:rPr>
                <m:t>l</m:t>
              </m:r>
              <m:r>
                <m:rPr>
                  <m:sty m:val="p"/>
                </m:rPr>
                <m:t>o</m:t>
              </m:r>
              <m:r>
                <m:rPr>
                  <m:sty m:val="p"/>
                </m:rPr>
                <m:t>p</m:t>
              </m:r>
              <m:r>
                <m:rPr>
                  <m:sty m:val="p"/>
                </m:rPr>
                <m:t>e</m:t>
              </m:r>
            </m:sub>
          </m:sSub>
          <m:r>
            <m:rPr>
              <m:sty m:val="p"/>
            </m:rPr>
            <m:t>.</m:t>
          </m:r>
        </m:oMath>
      </m:oMathPara>
    </w:p>
    <w:p>
      <w:pPr>
        <w:pStyle w:val="FirstParagraph"/>
        <w:spacing w:line="480" w:lineRule="auto" w:after="0"/>
      </w:pPr>
      <w:r>
        <w:rPr>
          <w:rFonts w:ascii="Times New Roman" w:hAnsi="Times New Roman" w:eastAsia="Times New Roman"/>
          <w:sz w:val="24"/>
        </w:rPr>
        <w:t xml:space="preserve">The prior discourages probability mass below</w:t>
      </w:r>
      <w:r>
        <w:rPr>
          <w:rFonts w:ascii="Times New Roman" w:hAnsi="Times New Roman" w:eastAsia="Times New Roman"/>
          <w:sz w:val="24"/>
        </w:rPr>
        <w:t xml:space="preserve"> </w:t>
      </w:r>
      <m:oMath>
        <m:sSup>
          <m:e>
            <m:r>
              <m:t>5</m:t>
            </m:r>
          </m:e>
          <m:sup>
            <m:r>
              <m:rPr>
                <m:sty m:val="p"/>
              </m:rPr>
              <m:t>∘</m:t>
            </m:r>
          </m:sup>
        </m:sSup>
      </m:oMath>
      <w:r>
        <w:rPr>
          <w:rFonts w:ascii="Times New Roman" w:hAnsi="Times New Roman" w:eastAsia="Times New Roman"/>
          <w:sz w:val="24"/>
        </w:rPr>
        <w:t xml:space="preserve"> </w:t>
      </w:r>
      <w:r>
        <w:rPr>
          <w:rFonts w:ascii="Times New Roman" w:hAnsi="Times New Roman" w:eastAsia="Times New Roman"/>
          <w:sz w:val="24"/>
        </w:rPr>
        <w:t xml:space="preserve">and above</w:t>
      </w:r>
      <w:r>
        <w:rPr>
          <w:rFonts w:ascii="Times New Roman" w:hAnsi="Times New Roman" w:eastAsia="Times New Roman"/>
          <w:sz w:val="24"/>
        </w:rPr>
        <w:t xml:space="preserve"> </w:t>
      </w:r>
      <m:oMath>
        <m:sSup>
          <m:e>
            <m:r>
              <m:t>65</m:t>
            </m:r>
          </m:e>
          <m:sup>
            <m:r>
              <m:rPr>
                <m:sty m:val="p"/>
              </m:rPr>
              <m:t>∘</m:t>
            </m:r>
          </m:sup>
        </m:sSup>
      </m:oMath>
      <w:r>
        <w:rPr>
          <w:rFonts w:ascii="Times New Roman" w:hAnsi="Times New Roman" w:eastAsia="Times New Roman"/>
          <w:sz w:val="24"/>
        </w:rPr>
        <w:t xml:space="preserve"> </w:t>
      </w:r>
      <w:r>
        <w:rPr>
          <w:rFonts w:ascii="Times New Roman" w:hAnsi="Times New Roman" w:eastAsia="Times New Roman"/>
          <w:sz w:val="24"/>
        </w:rPr>
        <w:t xml:space="preserve">but is treated as a heuristic because mapped positives occur in this mask. All models use the same optimizer, six-epoch schedule, balanced patches, validation-selected checkpoint, and full-scene threshold calibration. We train fixed seeds 42, 123, and 456. Comparators are SiamUNet-diff and SiamUNet-conc</w:t>
      </w:r>
      <w:r>
        <w:rPr>
          <w:rFonts w:ascii="Times New Roman" w:hAnsi="Times New Roman" w:eastAsia="Times New Roman"/>
          <w:sz w:val="24"/>
        </w:rPr>
        <w:t xml:space="preserve"> </w:t>
      </w:r>
      <w:r>
        <w:rPr>
          <w:rFonts w:ascii="Times New Roman" w:hAnsi="Times New Roman" w:eastAsia="Times New Roman"/>
          <w:sz w:val="24"/>
        </w:rPr>
        <w:t xml:space="preserve">(Caye Daudt et al., 2018)</w:t>
      </w:r>
      <w:r>
        <w:rPr>
          <w:rFonts w:ascii="Times New Roman" w:hAnsi="Times New Roman" w:eastAsia="Times New Roman"/>
          <w:sz w:val="24"/>
        </w:rPr>
        <w:t xml:space="preserve">, ResU-Net</w:t>
      </w:r>
      <w:r>
        <w:rPr>
          <w:rFonts w:ascii="Times New Roman" w:hAnsi="Times New Roman" w:eastAsia="Times New Roman"/>
          <w:sz w:val="24"/>
        </w:rPr>
        <w:t xml:space="preserve"> </w:t>
      </w:r>
      <w:r>
        <w:rPr>
          <w:rFonts w:ascii="Times New Roman" w:hAnsi="Times New Roman" w:eastAsia="Times New Roman"/>
          <w:sz w:val="24"/>
        </w:rPr>
        <w:t xml:space="preserve">(Zhang et al., 2018)</w:t>
      </w:r>
      <w:r>
        <w:rPr>
          <w:rFonts w:ascii="Times New Roman" w:hAnsi="Times New Roman" w:eastAsia="Times New Roman"/>
          <w:sz w:val="24"/>
        </w:rPr>
        <w:t xml:space="preserve">, and an internal bottleneck self-attention U-Net. The internal baseline uses the same convolutional encoder–decoder scale with four-head self-attention only at the deepest feature map; it is neither canonical attention-gated U-Net nor Swin-UNet. Parameter counts range from 2.01 to 3.46 million.</w:t>
      </w:r>
    </w:p>
    <w:p>
      <w:pPr>
        <w:pStyle w:val="BodyText"/>
        <w:spacing w:line="480" w:lineRule="auto" w:after="0"/>
      </w:pPr>
      <w:r>
        <w:rPr>
          <w:rFonts w:ascii="Times New Roman" w:hAnsi="Times New Roman" w:eastAsia="Times New Roman"/>
          <w:sz w:val="24"/>
        </w:rPr>
        <w:t xml:space="preserve">Inference uses overlapping windows with Hanning blending. Pixel F1 and intersection-over-union are computed over valid pixels. Polygon hit rate requires at least</w:t>
      </w:r>
      <w:r>
        <w:rPr>
          <w:rFonts w:ascii="Times New Roman" w:hAnsi="Times New Roman" w:eastAsia="Times New Roman"/>
          <w:sz w:val="24"/>
        </w:rPr>
        <w:t xml:space="preserve"> </w:t>
      </w:r>
      <m:oMath>
        <m:r>
          <m:t>30</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overlap. A 1,000-draw paired bootstrap resamples</w:t>
      </w:r>
      <w:r>
        <w:rPr>
          <w:rFonts w:ascii="Times New Roman" w:hAnsi="Times New Roman" w:eastAsia="Times New Roman"/>
          <w:sz w:val="24"/>
        </w:rPr>
        <w:t xml:space="preserve"> </w:t>
      </w:r>
      <m:oMath>
        <m:r>
          <m:t>128</m:t>
        </m:r>
        <m:r>
          <m:rPr>
            <m:sty m:val="p"/>
          </m:rPr>
          <m:t>×</m:t>
        </m:r>
        <m:r>
          <m:t>128</m:t>
        </m:r>
      </m:oMath>
      <w:r>
        <w:rPr>
          <w:rFonts w:ascii="Times New Roman" w:hAnsi="Times New Roman" w:eastAsia="Times New Roman"/>
          <w:sz w:val="24"/>
        </w:rPr>
        <w:t xml:space="preserve"> </w:t>
      </w:r>
      <w:r>
        <w:rPr>
          <w:rFonts w:ascii="Times New Roman" w:hAnsi="Times New Roman" w:eastAsia="Times New Roman"/>
          <w:sz w:val="24"/>
        </w:rPr>
        <w:t xml:space="preserve">spatial blocks; paired seed-level tests use the three macro-F1 values. The latter have low power and are interpreted together with effect sizes and ordering across seeds. No test pixel or test label is used for model or threshold selection.</w:t>
      </w:r>
    </w:p>
    <w:p>
      <w:pPr>
        <w:pStyle w:val="BodyText"/>
        <w:spacing w:line="480" w:lineRule="auto" w:after="0"/>
      </w:pPr>
      <w:r>
        <w:rPr>
          <w:rFonts w:ascii="Times New Roman" w:hAnsi="Times New Roman" w:eastAsia="Times New Roman"/>
          <w:sz w:val="24"/>
        </w:rPr>
        <w:t xml:space="preserve">For a post-hoc operational proxy, validation-scene component scores calibrate a one-feature logistic model and an F2-optimal alert threshold. Frozen test-scene alerts are intersected with 30-m buffers around a versioned OpenStreetMap major-road snapshot</w:t>
      </w:r>
      <w:r>
        <w:rPr>
          <w:rFonts w:ascii="Times New Roman" w:hAnsi="Times New Roman" w:eastAsia="Times New Roman"/>
          <w:sz w:val="24"/>
        </w:rPr>
        <w:t xml:space="preserve"> </w:t>
      </w:r>
      <w:r>
        <w:rPr>
          <w:rFonts w:ascii="Times New Roman" w:hAnsi="Times New Roman" w:eastAsia="Times New Roman"/>
          <w:sz w:val="24"/>
        </w:rPr>
        <w:t xml:space="preserve">(OpenStreetMap contributors, 2026)</w:t>
      </w:r>
      <w:r>
        <w:rPr>
          <w:rFonts w:ascii="Times New Roman" w:hAnsi="Times New Roman" w:eastAsia="Times New Roman"/>
          <w:sz w:val="24"/>
        </w:rPr>
        <w:t xml:space="preserve">. This retrospective proxy excludes data acquisition, human review, dispatch, and closure decisions.</w:t>
      </w:r>
    </w:p>
    <w:bookmarkEnd w:id="17"/>
    <w:bookmarkStart w:id="18" w:name="ai-assisted-research-support"/>
    <w:p>
      <w:pPr>
        <w:pStyle w:val="Heading2"/>
        <w:spacing w:line="480" w:lineRule="auto" w:after="0"/>
      </w:pPr>
      <w:r>
        <w:rPr>
          <w:rFonts w:ascii="Times New Roman" w:hAnsi="Times New Roman" w:eastAsia="Times New Roman"/>
          <w:sz w:val="24"/>
        </w:rPr>
        <w:t xml:space="preserve">AI-assisted research support</w:t>
      </w:r>
    </w:p>
    <w:p>
      <w:pPr>
        <w:pStyle w:val="FirstParagraph"/>
        <w:spacing w:line="480" w:lineRule="auto" w:after="0"/>
      </w:pPr>
      <w:r>
        <w:rPr>
          <w:rFonts w:ascii="Times New Roman" w:hAnsi="Times New Roman" w:eastAsia="Times New Roman"/>
          <w:sz w:val="24"/>
        </w:rPr>
        <w:t xml:space="preserve">Generative AI tools assisted code refactoring, manuscript language, and checklist-based consistency checking. They did not generate research data or determine final scientific claims. The authors inspected generated material, reran the analysis and verification code, checked citations and numerical statements, and retain full responsibility for the work.</w:t>
      </w:r>
    </w:p>
    <w:bookmarkEnd w:id="18"/>
    <w:bookmarkEnd w:id="19"/>
    <w:bookmarkStart w:id="29" w:name="results"/>
    <w:p>
      <w:pPr>
        <w:pStyle w:val="Heading1"/>
        <w:spacing w:line="480" w:lineRule="auto" w:after="0"/>
      </w:pPr>
      <w:r>
        <w:rPr>
          <w:rFonts w:ascii="Times New Roman" w:hAnsi="Times New Roman" w:eastAsia="Times New Roman"/>
          <w:sz w:val="24"/>
        </w:rPr>
        <w:t xml:space="preserve">Results</w:t>
      </w:r>
    </w:p>
    <w:bookmarkStart w:id="25" w:name="cross-region-performance"/>
    <w:p>
      <w:pPr>
        <w:pStyle w:val="Heading2"/>
        <w:spacing w:line="480" w:lineRule="auto" w:after="0"/>
      </w:pPr>
      <w:r>
        <w:rPr>
          <w:rFonts w:ascii="Times New Roman" w:hAnsi="Times New Roman" w:eastAsia="Times New Roman"/>
          <w:sz w:val="24"/>
        </w:rPr>
        <w:t xml:space="preserve">Cross-region performance</w:t>
      </w:r>
    </w:p>
    <w:p>
      <w:pPr>
        <w:pStyle w:val="FirstParagraph"/>
        <w:spacing w:line="480" w:lineRule="auto" w:after="0"/>
      </w:pPr>
      <w:r>
        <w:rPr>
          <w:rFonts w:ascii="Times New Roman" w:hAnsi="Times New Roman" w:eastAsia="Times New Roman"/>
          <w:sz w:val="24"/>
        </w:rPr>
        <w:t xml:space="preserve">TopoRadar-Net records</w:t>
      </w:r>
      <w:r>
        <w:rPr>
          <w:rFonts w:ascii="Times New Roman" w:hAnsi="Times New Roman" w:eastAsia="Times New Roman"/>
          <w:sz w:val="24"/>
        </w:rPr>
        <w:t xml:space="preserve"> </w:t>
      </w:r>
      <m:oMath>
        <m:r>
          <m:t>77.40</m:t>
        </m:r>
        <m:r>
          <m:rPr>
            <m:sty m:val="p"/>
          </m:rPr>
          <m:t>%</m:t>
        </m:r>
        <m:r>
          <m:rPr>
            <m:sty m:val="p"/>
          </m:rPr>
          <m:t>±</m:t>
        </m:r>
        <m:r>
          <m:t>1.86</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F1 in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50.18</m:t>
        </m:r>
        <m:r>
          <m:rPr>
            <m:sty m:val="p"/>
          </m:rPr>
          <m:t>%</m:t>
        </m:r>
        <m:r>
          <m:rPr>
            <m:sty m:val="p"/>
          </m:rPr>
          <m:t>±</m:t>
        </m:r>
        <m:r>
          <m:t>4.40</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in Pish, giving</w:t>
      </w:r>
      <w:r>
        <w:rPr>
          <w:rFonts w:ascii="Times New Roman" w:hAnsi="Times New Roman" w:eastAsia="Times New Roman"/>
          <w:sz w:val="24"/>
        </w:rPr>
        <w:t xml:space="preserve"> </w:t>
      </w:r>
      <m:oMath>
        <m:r>
          <m:t>63.79</m:t>
        </m:r>
        <m:r>
          <m:rPr>
            <m:sty m:val="p"/>
          </m:rPr>
          <m:t>%</m:t>
        </m:r>
        <m:r>
          <m:rPr>
            <m:sty m:val="p"/>
          </m:rPr>
          <m:t>±</m:t>
        </m:r>
        <m:r>
          <m:t>1.88</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pooled macro F1 (Table </w:t>
      </w:r>
      <w:hyperlink w:anchor="tab:performance">
        <w:r>
          <w:rPr>
            <w:rStyle w:val="Hyperlink"/>
          </w:rPr>
          <w:t xml:space="preserve">2</w:t>
        </w:r>
      </w:hyperlink>
      <w:r>
        <w:rPr>
          <w:rFonts w:ascii="Times New Roman" w:hAnsi="Times New Roman" w:eastAsia="Times New Roman"/>
          <w:sz w:val="24"/>
        </w:rPr>
        <w:t xml:space="preserve">). The bottleneck self-attention U-Net obtains</w:t>
      </w:r>
      <w:r>
        <w:rPr>
          <w:rFonts w:ascii="Times New Roman" w:hAnsi="Times New Roman" w:eastAsia="Times New Roman"/>
          <w:sz w:val="24"/>
        </w:rPr>
        <w:t xml:space="preserve"> </w:t>
      </w:r>
      <m:oMath>
        <m:r>
          <m:t>63.41</m:t>
        </m:r>
        <m:r>
          <m:rPr>
            <m:sty m:val="p"/>
          </m:rPr>
          <m:t>%</m:t>
        </m:r>
        <m:r>
          <m:rPr>
            <m:sty m:val="p"/>
          </m:rPr>
          <m:t>±</m:t>
        </m:r>
        <m:r>
          <m:t>1.03</m:t>
        </m:r>
        <m:r>
          <m:rPr>
            <m:sty m:val="p"/>
          </m:rPr>
          <m:t>%</m:t>
        </m:r>
      </m:oMath>
      <w:r>
        <w:rPr>
          <w:rFonts w:ascii="Times New Roman" w:hAnsi="Times New Roman" w:eastAsia="Times New Roman"/>
          <w:sz w:val="24"/>
        </w:rPr>
        <w:t xml:space="preserve">, SiamUNet-conc</w:t>
      </w:r>
      <w:r>
        <w:rPr>
          <w:rFonts w:ascii="Times New Roman" w:hAnsi="Times New Roman" w:eastAsia="Times New Roman"/>
          <w:sz w:val="24"/>
        </w:rPr>
        <w:t xml:space="preserve"> </w:t>
      </w:r>
      <m:oMath>
        <m:r>
          <m:t>63.13</m:t>
        </m:r>
        <m:r>
          <m:rPr>
            <m:sty m:val="p"/>
          </m:rPr>
          <m:t>%</m:t>
        </m:r>
        <m:r>
          <m:rPr>
            <m:sty m:val="p"/>
          </m:rPr>
          <m:t>±</m:t>
        </m:r>
        <m:r>
          <m:t>0.79</m:t>
        </m:r>
        <m:r>
          <m:rPr>
            <m:sty m:val="p"/>
          </m:rPr>
          <m:t>%</m:t>
        </m:r>
      </m:oMath>
      <w:r>
        <w:rPr>
          <w:rFonts w:ascii="Times New Roman" w:hAnsi="Times New Roman" w:eastAsia="Times New Roman"/>
          <w:sz w:val="24"/>
        </w:rPr>
        <w:t xml:space="preserve">, and ResU-Net</w:t>
      </w:r>
      <w:r>
        <w:rPr>
          <w:rFonts w:ascii="Times New Roman" w:hAnsi="Times New Roman" w:eastAsia="Times New Roman"/>
          <w:sz w:val="24"/>
        </w:rPr>
        <w:t xml:space="preserve"> </w:t>
      </w:r>
      <m:oMath>
        <m:r>
          <m:t>62.92</m:t>
        </m:r>
        <m:r>
          <m:rPr>
            <m:sty m:val="p"/>
          </m:rPr>
          <m:t>%</m:t>
        </m:r>
        <m:r>
          <m:rPr>
            <m:sty m:val="p"/>
          </m:rPr>
          <m:t>±</m:t>
        </m:r>
        <m:r>
          <m:t>1.42</m:t>
        </m:r>
        <m:r>
          <m:rPr>
            <m:sty m:val="p"/>
          </m:rPr>
          <m:t>%</m:t>
        </m:r>
      </m:oMath>
      <w:r>
        <w:rPr>
          <w:rFonts w:ascii="Times New Roman" w:hAnsi="Times New Roman" w:eastAsia="Times New Roman"/>
          <w:sz w:val="24"/>
        </w:rPr>
        <w:t xml:space="preserve">. Their differences from TopoRadar-Net are not significant across three seeds. SiamUNet-diff is lower at</w:t>
      </w:r>
      <w:r>
        <w:rPr>
          <w:rFonts w:ascii="Times New Roman" w:hAnsi="Times New Roman" w:eastAsia="Times New Roman"/>
          <w:sz w:val="24"/>
        </w:rPr>
        <w:t xml:space="preserve"> </w:t>
      </w:r>
      <m:oMath>
        <m:r>
          <m:t>54.87</m:t>
        </m:r>
        <m:r>
          <m:rPr>
            <m:sty m:val="p"/>
          </m:rPr>
          <m:t>%</m:t>
        </m:r>
        <m:r>
          <m:rPr>
            <m:sty m:val="p"/>
          </m:rPr>
          <m:t>±</m:t>
        </m:r>
        <m:r>
          <m:t>1.03</m:t>
        </m:r>
        <m:r>
          <m:rPr>
            <m:sty m:val="p"/>
          </m:rPr>
          <m:t>%</m:t>
        </m:r>
      </m:oMath>
      <w:r>
        <w:rPr>
          <w:rFonts w:ascii="Times New Roman" w:hAnsi="Times New Roman" w:eastAsia="Times New Roman"/>
          <w:sz w:val="24"/>
        </w:rPr>
        <w:t xml:space="preserve">; the paired difference is</w:t>
      </w:r>
      <w:r>
        <w:rPr>
          <w:rFonts w:ascii="Times New Roman" w:hAnsi="Times New Roman" w:eastAsia="Times New Roman"/>
          <w:sz w:val="24"/>
        </w:rPr>
        <w:t xml:space="preserve"> </w:t>
      </w:r>
      <m:oMath>
        <m:r>
          <m:rPr>
            <m:sty m:val="p"/>
          </m:rPr>
          <m:t>+</m:t>
        </m:r>
        <m:r>
          <m:t>8.92</m:t>
        </m:r>
      </m:oMath>
      <w:r>
        <w:rPr>
          <w:rFonts w:ascii="Times New Roman" w:hAnsi="Times New Roman" w:eastAsia="Times New Roman"/>
          <w:sz w:val="24"/>
        </w:rPr>
        <w:t xml:space="preserve"> </w:t>
      </w:r>
      <w:r>
        <w:rPr>
          <w:rFonts w:ascii="Times New Roman" w:hAnsi="Times New Roman" w:eastAsia="Times New Roman"/>
          <w:sz w:val="24"/>
        </w:rPr>
        <w:t xml:space="preserve">percentage points (95% CI</w:t>
      </w:r>
      <w:r>
        <w:rPr>
          <w:rFonts w:ascii="Times New Roman" w:hAnsi="Times New Roman" w:eastAsia="Times New Roman"/>
          <w:sz w:val="24"/>
        </w:rPr>
        <w:t xml:space="preserve"> </w:t>
      </w:r>
      <m:oMath>
        <m:r>
          <m:rPr>
            <m:sty m:val="p"/>
          </m:rPr>
          <m:t>+</m:t>
        </m:r>
        <m:r>
          <m:t>3.25</m:t>
        </m:r>
      </m:oMath>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m:oMath>
        <m:r>
          <m:rPr>
            <m:sty m:val="p"/>
          </m:rPr>
          <m:t>+</m:t>
        </m:r>
        <m:r>
          <m:t>14.59</m:t>
        </m:r>
      </m:oMath>
      <w:r>
        <w:rPr>
          <w:rFonts w:ascii="Times New Roman" w:hAnsi="Times New Roman" w:eastAsia="Times New Roman"/>
          <w:sz w:val="24"/>
        </w:rPr>
        <w:t xml:space="preserve">,</w:t>
      </w:r>
      <w:r>
        <w:rPr>
          <w:rFonts w:ascii="Times New Roman" w:hAnsi="Times New Roman" w:eastAsia="Times New Roman"/>
          <w:sz w:val="24"/>
        </w:rPr>
        <w:t xml:space="preserve"> </w:t>
      </w:r>
      <m:oMath>
        <m:r>
          <m:t>p</m:t>
        </m:r>
        <m:r>
          <m:rPr>
            <m:sty m:val="p"/>
          </m:rPr>
          <m:t>=</m:t>
        </m:r>
        <m:r>
          <m:t>0.021</m:t>
        </m:r>
      </m:oMath>
      <w:r>
        <w:rPr>
          <w:rFonts w:ascii="Times New Roman" w:hAnsi="Times New Roman" w:eastAsia="Times New Roman"/>
          <w:sz w:val="24"/>
        </w:rPr>
        <w:t xml:space="preserve">). The bottleneck self-attention U-Net leads on seed 123, demonstrating initialization-dependent ordering. Figure </w:t>
      </w:r>
      <w:hyperlink w:anchor="fig:performance">
        <w:r>
          <w:rPr>
            <w:rStyle w:val="Hyperlink"/>
          </w:rPr>
          <w:t xml:space="preserve">2</w:t>
        </w:r>
      </w:hyperlink>
      <w:r>
        <w:rPr>
          <w:rFonts w:ascii="Times New Roman" w:hAnsi="Times New Roman" w:eastAsia="Times New Roman"/>
          <w:sz w:val="24"/>
        </w:rPr>
        <w:t xml:space="preserve"> </w:t>
      </w:r>
      <w:r>
        <w:rPr>
          <w:rFonts w:ascii="Times New Roman" w:hAnsi="Times New Roman" w:eastAsia="Times New Roman"/>
          <w:sz w:val="24"/>
        </w:rPr>
        <w:t xml:space="preserve">visualizes the region-specific ordering.</w:t>
      </w:r>
    </w:p>
    <w:bookmarkStart w:id="20" w:name="tab:performance"/>
    <w:p>
      <w:pPr>
        <w:pStyle w:val="TableCaption"/>
        <w:spacing w:line="480" w:lineRule="auto" w:after="0"/>
      </w:pPr>
      <w:r>
        <w:rPr>
          <w:rFonts w:ascii="Times New Roman" w:hAnsi="Times New Roman" w:eastAsia="Times New Roman"/>
          <w:b/>
          <w:sz w:val="24"/>
        </w:rPr>
        <w:t xml:space="preserve">Table 2. </w:t>
      </w:r>
      <w:r>
        <w:rPr>
          <w:rFonts w:ascii="Times New Roman" w:hAnsi="Times New Roman" w:eastAsia="Times New Roman"/>
          <w:sz w:val="24"/>
        </w:rPr>
        <w:t>Zero-shot test performance across three fixed training seeds (mean  descriptive population standard deviation). HR is polygon hit rate at  overlap</w:t>
      </w:r>
    </w:p>
    <w:tbl>
      <w:tblPr>
        <w:tblStyle w:val="Table"/>
        <w:tblW w:type="auto" w:w="0"/>
        <w:tblLayout w:type="autofit"/>
        <w:tblLook w:firstRow="1" w:lastRow="0" w:firstColumn="0" w:lastColumn="0" w:noHBand="0" w:noVBand="0" w:val="0020"/>
        <w:tblCaption w:val="Zero-shot test performance across three fixed training seeds (mean \pm descriptive population standard deviation). HR is polygon hit rate at 30\% overlap"/>
      </w:tblPr>
      <w:tblGrid>
        <w:gridCol w:w="1584"/>
        <w:gridCol w:w="1584"/>
        <w:gridCol w:w="1584"/>
        <w:gridCol w:w="1584"/>
        <w:gridCol w:w="1584"/>
      </w:tblGrid>
      <w:tr>
        <w:trPr>
          <w:tblHeader w:val="on"/>
          <w:cantSplit/>
          <w:tblHeader w:val="true"/>
        </w:trPr>
        <w:tc>
          <w:tcPr>
            <w:vAlign w:val="center"/>
          </w:tcPr>
          <w:p>
            <w:pPr>
              <w:pStyle w:val="Compact"/>
              <w:spacing w:line="240" w:lineRule="auto" w:after="0"/>
              <w:jc w:val="left"/>
            </w:pPr>
            <w:r>
              <w:rPr>
                <w:rFonts w:ascii="Times New Roman" w:hAnsi="Times New Roman" w:eastAsia="Times New Roman"/>
                <w:sz w:val="18"/>
              </w:rPr>
              <w:t xml:space="preserve">Method</w:t>
            </w:r>
          </w:p>
        </w:tc>
        <w:tc>
          <w:tcPr>
            <w:vAlign w:val="center"/>
          </w:tcPr>
          <w:p>
            <w:pPr>
              <w:pStyle w:val="Compact"/>
              <w:spacing w:line="240" w:lineRule="auto" w:after="0"/>
              <w:jc w:val="right"/>
            </w:pPr>
            <w:r>
              <w:rPr>
                <w:rFonts w:ascii="Times New Roman" w:hAnsi="Times New Roman" w:eastAsia="Times New Roman"/>
                <w:sz w:val="18"/>
              </w:rPr>
              <w:t xml:space="preserve">Troms</w:t>
            </w:r>
            <w:r>
              <w:rPr>
                <w:rFonts w:ascii="Times New Roman" w:hAnsi="Times New Roman" w:eastAsia="Times New Roman"/>
                <w:sz w:val="18"/>
              </w:rPr>
              <w:t xml:space="preserve">ø</w:t>
            </w:r>
            <w:r>
              <w:rPr>
                <w:rFonts w:ascii="Times New Roman" w:hAnsi="Times New Roman" w:eastAsia="Times New Roman"/>
                <w:sz w:val="18"/>
              </w:rPr>
              <w:t xml:space="preserve"> </w:t>
            </w:r>
            <w:r>
              <w:rPr>
                <w:rFonts w:ascii="Times New Roman" w:hAnsi="Times New Roman" w:eastAsia="Times New Roman"/>
                <w:sz w:val="18"/>
              </w:rPr>
              <w:t xml:space="preserve">F1</w:t>
            </w:r>
          </w:p>
        </w:tc>
        <w:tc>
          <w:tcPr>
            <w:vAlign w:val="center"/>
          </w:tcPr>
          <w:p>
            <w:pPr>
              <w:pStyle w:val="Compact"/>
              <w:spacing w:line="240" w:lineRule="auto" w:after="0"/>
              <w:jc w:val="right"/>
            </w:pPr>
            <w:r>
              <w:rPr>
                <w:rFonts w:ascii="Times New Roman" w:hAnsi="Times New Roman" w:eastAsia="Times New Roman"/>
                <w:sz w:val="18"/>
              </w:rPr>
              <w:t xml:space="preserve">Pish F1</w:t>
            </w:r>
          </w:p>
        </w:tc>
        <w:tc>
          <w:tcPr>
            <w:vAlign w:val="center"/>
          </w:tcPr>
          <w:p>
            <w:pPr>
              <w:pStyle w:val="Compact"/>
              <w:spacing w:line="240" w:lineRule="auto" w:after="0"/>
              <w:jc w:val="right"/>
            </w:pPr>
            <w:r>
              <w:rPr>
                <w:rFonts w:ascii="Times New Roman" w:hAnsi="Times New Roman" w:eastAsia="Times New Roman"/>
                <w:sz w:val="18"/>
              </w:rPr>
              <w:t xml:space="preserve">Pooled F1</w:t>
            </w:r>
          </w:p>
        </w:tc>
        <w:tc>
          <w:tcPr>
            <w:vAlign w:val="center"/>
          </w:tcPr>
          <w:p>
            <w:pPr>
              <w:pStyle w:val="Compact"/>
              <w:spacing w:line="240" w:lineRule="auto" w:after="0"/>
              <w:jc w:val="right"/>
            </w:pPr>
            <w:r>
              <w:rPr>
                <w:rFonts w:ascii="Times New Roman" w:hAnsi="Times New Roman" w:eastAsia="Times New Roman"/>
                <w:sz w:val="18"/>
              </w:rPr>
              <w:t xml:space="preserve">Troms</w:t>
            </w:r>
            <w:r>
              <w:rPr>
                <w:rFonts w:ascii="Times New Roman" w:hAnsi="Times New Roman" w:eastAsia="Times New Roman"/>
                <w:sz w:val="18"/>
              </w:rPr>
              <w:t xml:space="preserve">ø</w:t>
            </w:r>
            <w:r>
              <w:rPr>
                <w:rFonts w:ascii="Times New Roman" w:hAnsi="Times New Roman" w:eastAsia="Times New Roman"/>
                <w:sz w:val="18"/>
              </w:rPr>
              <w:t xml:space="preserve"> </w:t>
            </w:r>
            <w:r>
              <w:rPr>
                <w:rFonts w:ascii="Times New Roman" w:hAnsi="Times New Roman" w:eastAsia="Times New Roman"/>
                <w:sz w:val="18"/>
              </w:rPr>
              <w:t xml:space="preserve">HR</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SiamUNet-diff</w:t>
            </w:r>
          </w:p>
        </w:tc>
        <w:tc>
          <w:tcPr>
            <w:vAlign w:val="center"/>
          </w:tcPr>
          <w:p>
            <w:pPr>
              <w:pStyle w:val="Compact"/>
              <w:spacing w:line="240" w:lineRule="auto" w:after="0"/>
              <w:jc w:val="right"/>
            </w:pPr>
            <m:oMath>
              <m:r>
                <m:t>72.64</m:t>
              </m:r>
              <m:r>
                <m:rPr>
                  <m:sty m:val="p"/>
                </m:rPr>
                <m:t>±</m:t>
              </m:r>
              <m:r>
                <m:t>0.39</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37.11</m:t>
              </m:r>
              <m:r>
                <m:rPr>
                  <m:sty m:val="p"/>
                </m:rPr>
                <m:t>±</m:t>
              </m:r>
              <m:r>
                <m:t>2.44</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54.87</m:t>
              </m:r>
              <m:r>
                <m:rPr>
                  <m:sty m:val="p"/>
                </m:rPr>
                <m:t>±</m:t>
              </m:r>
              <m:r>
                <m:t>1.03</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63.25</m:t>
              </m:r>
              <m:r>
                <m:rPr>
                  <m:sty m:val="p"/>
                </m:rPr>
                <m:t>±</m:t>
              </m:r>
              <m:r>
                <m:t>2.52</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SiamUNet-conc</w:t>
            </w:r>
          </w:p>
        </w:tc>
        <w:tc>
          <w:tcPr>
            <w:vAlign w:val="center"/>
          </w:tcPr>
          <w:p>
            <w:pPr>
              <w:pStyle w:val="Compact"/>
              <w:spacing w:line="240" w:lineRule="auto" w:after="0"/>
              <w:jc w:val="right"/>
            </w:pPr>
            <m:oMath>
              <m:r>
                <m:t>78.92</m:t>
              </m:r>
              <m:r>
                <m:rPr>
                  <m:sty m:val="p"/>
                </m:rPr>
                <m:t>±</m:t>
              </m:r>
              <m:r>
                <m:t>1.07</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47.34</m:t>
              </m:r>
              <m:r>
                <m:rPr>
                  <m:sty m:val="p"/>
                </m:rPr>
                <m:t>±</m:t>
              </m:r>
              <m:r>
                <m:t>0.70</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63.13</m:t>
              </m:r>
              <m:r>
                <m:rPr>
                  <m:sty m:val="p"/>
                </m:rPr>
                <m:t>±</m:t>
              </m:r>
              <m:r>
                <m:t>0.79</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82.62</m:t>
              </m:r>
              <m:r>
                <m:rPr>
                  <m:sty m:val="p"/>
                </m:rPr>
                <m:t>±</m:t>
              </m:r>
              <m:r>
                <m:t>1.07</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ResU-Net</w:t>
            </w:r>
          </w:p>
        </w:tc>
        <w:tc>
          <w:tcPr>
            <w:vAlign w:val="center"/>
          </w:tcPr>
          <w:p>
            <w:pPr>
              <w:pStyle w:val="Compact"/>
              <w:spacing w:line="240" w:lineRule="auto" w:after="0"/>
              <w:jc w:val="right"/>
            </w:pPr>
            <m:oMath>
              <m:r>
                <m:t>76.60</m:t>
              </m:r>
              <m:r>
                <m:rPr>
                  <m:sty m:val="p"/>
                </m:rPr>
                <m:t>±</m:t>
              </m:r>
              <m:r>
                <m:t>1.30</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49.25</m:t>
              </m:r>
              <m:r>
                <m:rPr>
                  <m:sty m:val="p"/>
                </m:rPr>
                <m:t>±</m:t>
              </m:r>
              <m:r>
                <m:t>3.39</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62.92</m:t>
              </m:r>
              <m:r>
                <m:rPr>
                  <m:sty m:val="p"/>
                </m:rPr>
                <m:t>±</m:t>
              </m:r>
              <m:r>
                <m:t>1.42</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76.92</m:t>
              </m:r>
              <m:r>
                <m:rPr>
                  <m:sty m:val="p"/>
                </m:rPr>
                <m:t>±</m:t>
              </m:r>
              <m:r>
                <m:t>4.83</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Self-attention U-Net</w:t>
            </w:r>
          </w:p>
        </w:tc>
        <w:tc>
          <w:tcPr>
            <w:vAlign w:val="center"/>
          </w:tcPr>
          <w:p>
            <w:pPr>
              <w:pStyle w:val="Compact"/>
              <w:spacing w:line="240" w:lineRule="auto" w:after="0"/>
              <w:jc w:val="right"/>
            </w:pPr>
            <m:oMath>
              <m:r>
                <m:t>78.09</m:t>
              </m:r>
              <m:r>
                <m:rPr>
                  <m:sty m:val="p"/>
                </m:rPr>
                <m:t>±</m:t>
              </m:r>
              <m:r>
                <m:t>0.99</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48.73</m:t>
              </m:r>
              <m:r>
                <m:rPr>
                  <m:sty m:val="p"/>
                </m:rPr>
                <m:t>±</m:t>
              </m:r>
              <m:r>
                <m:t>2.74</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63.41</m:t>
              </m:r>
              <m:r>
                <m:rPr>
                  <m:sty m:val="p"/>
                </m:rPr>
                <m:t>±</m:t>
              </m:r>
              <m:r>
                <m:t>1.03</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79.20</m:t>
              </m:r>
              <m:r>
                <m:rPr>
                  <m:sty m:val="p"/>
                </m:rPr>
                <m:t>±</m:t>
              </m:r>
              <m:r>
                <m:t>2.45</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TopoRadar-Net</w:t>
            </w:r>
          </w:p>
        </w:tc>
        <w:tc>
          <w:tcPr>
            <w:vAlign w:val="center"/>
          </w:tcPr>
          <w:p>
            <w:pPr>
              <w:pStyle w:val="Compact"/>
              <w:spacing w:line="240" w:lineRule="auto" w:after="0"/>
              <w:jc w:val="right"/>
            </w:pPr>
            <m:oMath>
              <m:r>
                <m:t>77.40</m:t>
              </m:r>
              <m:r>
                <m:rPr>
                  <m:sty m:val="p"/>
                </m:rPr>
                <m:t>±</m:t>
              </m:r>
              <m:r>
                <m:t>1.86</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50.18</m:t>
              </m:r>
              <m:r>
                <m:rPr>
                  <m:sty m:val="p"/>
                </m:rPr>
                <m:t>±</m:t>
              </m:r>
              <m:r>
                <m:t>4.40</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63.79</m:t>
              </m:r>
              <m:r>
                <m:rPr>
                  <m:sty m:val="p"/>
                </m:rPr>
                <m:t>±</m:t>
              </m:r>
              <m:r>
                <m:t>1.88</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75.50</m:t>
              </m:r>
              <m:r>
                <m:rPr>
                  <m:sty m:val="p"/>
                </m:rPr>
                <m:t>±</m:t>
              </m:r>
              <m:r>
                <m:t>1.61</m:t>
              </m:r>
            </m:oMath>
            <w:r>
              <w:rPr>
                <w:rFonts w:ascii="Times New Roman" w:hAnsi="Times New Roman" w:eastAsia="Times New Roman"/>
                <w:sz w:val="18"/>
              </w:rPr>
              <w:t xml:space="preserve">​</w:t>
            </w:r>
          </w:p>
        </w:tc>
      </w:tr>
    </w:tbl>
    <w:bookmarkEnd w:id="20"/>
    <w:bookmarkStart w:id="24" w:name="fig:performance"/>
    <w:p>
      <w:pPr>
        <w:pStyle w:val="CaptionedFigure"/>
        <w:spacing w:line="480" w:lineRule="auto" w:after="0"/>
      </w:pPr>
      <w:r>
        <w:rPr>
          <w:rFonts w:ascii="Times New Roman" w:hAnsi="Times New Roman" w:eastAsia="Times New Roman"/>
          <w:sz w:val="24"/>
        </w:rPr>
        <w:drawing>
          <wp:inline>
            <wp:extent cx="6120000" cy="3659319"/>
            <wp:effectExtent b="0" l="0" r="0" t="0"/>
            <wp:docPr descr="" title="" id="22" name="Picture"/>
            <a:graphic>
              <a:graphicData uri="http://schemas.openxmlformats.org/drawingml/2006/picture">
                <pic:pic>
                  <pic:nvPicPr>
                    <pic:cNvPr descr="Fig2.png" id="23" name="Picture"/>
                    <pic:cNvPicPr>
                      <a:picLocks noChangeArrowheads="1" noChangeAspect="1"/>
                    </pic:cNvPicPr>
                  </pic:nvPicPr>
                  <pic:blipFill>
                    <a:blip r:embed="rId21"/>
                    <a:stretch>
                      <a:fillRect/>
                    </a:stretch>
                  </pic:blipFill>
                  <pic:spPr bwMode="auto">
                    <a:xfrm>
                      <a:off x="0" y="0"/>
                      <a:ext cx="6120000" cy="3659319"/>
                    </a:xfrm>
                    <a:prstGeom prst="rect">
                      <a:avLst/>
                    </a:prstGeom>
                    <a:noFill/>
                    <a:ln w="9525">
                      <a:noFill/>
                      <a:headEnd/>
                      <a:tailEnd/>
                    </a:ln>
                  </pic:spPr>
                </pic:pic>
              </a:graphicData>
            </a:graphic>
          </wp:inline>
        </w:drawing>
      </w:r>
    </w:p>
    <w:p>
      <w:pPr>
        <w:pStyle w:val="ImageCaption"/>
        <w:spacing w:line="480" w:lineRule="auto" w:after="0"/>
      </w:pPr>
      <w:r>
        <w:rPr>
          <w:rFonts w:ascii="Times New Roman" w:hAnsi="Times New Roman" w:eastAsia="Times New Roman"/>
          <w:b/>
          <w:sz w:val="24"/>
        </w:rPr>
        <w:t xml:space="preserve">Fig. 2. </w:t>
      </w:r>
      <w:r>
        <w:rPr>
          <w:rFonts w:ascii="Times New Roman" w:hAnsi="Times New Roman" w:eastAsia="Times New Roman"/>
          <w:sz w:val="24"/>
        </w:rPr>
        <w:t>Zero-shot pixel F1 across held-out Tromsø, Pish, and their macro average. Error bars show descriptive population standard deviation over three fixed training seeds</w:t>
      </w:r>
    </w:p>
    <w:bookmarkEnd w:id="24"/>
    <w:p>
      <w:pPr>
        <w:pStyle w:val="BodyText"/>
        <w:spacing w:line="480" w:lineRule="auto" w:after="0"/>
      </w:pPr>
      <w:r>
        <w:rPr>
          <w:rFonts w:ascii="Times New Roman" w:hAnsi="Times New Roman" w:eastAsia="Times New Roman"/>
          <w:sz w:val="24"/>
        </w:rPr>
        <w:t xml:space="preserve">The 339-block seed-42 bootstrap gives a</w:t>
      </w:r>
      <w:r>
        <w:rPr>
          <w:rFonts w:ascii="Times New Roman" w:hAnsi="Times New Roman" w:eastAsia="Times New Roman"/>
          <w:sz w:val="24"/>
        </w:rPr>
        <w:t xml:space="preserve"> </w:t>
      </w:r>
      <m:oMath>
        <m:r>
          <m:rPr>
            <m:sty m:val="p"/>
          </m:rPr>
          <m:t>+</m:t>
        </m:r>
        <m:r>
          <m:t>3.27</m:t>
        </m:r>
      </m:oMath>
      <w:r>
        <w:rPr>
          <w:rFonts w:ascii="Times New Roman" w:hAnsi="Times New Roman" w:eastAsia="Times New Roman"/>
          <w:sz w:val="24"/>
        </w:rPr>
        <w:t xml:space="preserve">-percentage-point micro-F1 difference from the self-attention U-Net (95% CI</w:t>
      </w:r>
      <w:r>
        <w:rPr>
          <w:rFonts w:ascii="Times New Roman" w:hAnsi="Times New Roman" w:eastAsia="Times New Roman"/>
          <w:sz w:val="24"/>
        </w:rPr>
        <w:t xml:space="preserve"> </w:t>
      </w:r>
      <m:oMath>
        <m:r>
          <m:rPr>
            <m:sty m:val="p"/>
          </m:rPr>
          <m:t>+</m:t>
        </m:r>
        <m:r>
          <m:t>1.12</m:t>
        </m:r>
      </m:oMath>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m:oMath>
        <m:r>
          <m:rPr>
            <m:sty m:val="p"/>
          </m:rPr>
          <m:t>+</m:t>
        </m:r>
        <m:r>
          <m:t>5.37</m:t>
        </m:r>
      </m:oMath>
      <w:r>
        <w:rPr>
          <w:rFonts w:ascii="Times New Roman" w:hAnsi="Times New Roman" w:eastAsia="Times New Roman"/>
          <w:sz w:val="24"/>
        </w:rPr>
        <w:t xml:space="preserve">,</w:t>
      </w:r>
      <w:r>
        <w:rPr>
          <w:rFonts w:ascii="Times New Roman" w:hAnsi="Times New Roman" w:eastAsia="Times New Roman"/>
          <w:sz w:val="24"/>
        </w:rPr>
        <w:t xml:space="preserve"> </w:t>
      </w:r>
      <m:oMath>
        <m:r>
          <m:t>p</m:t>
        </m:r>
        <m:r>
          <m:rPr>
            <m:sty m:val="p"/>
          </m:rPr>
          <m:t>=</m:t>
        </m:r>
        <m:r>
          <m:t>0.010</m:t>
        </m:r>
      </m:oMath>
      <w:r>
        <w:rPr>
          <w:rFonts w:ascii="Times New Roman" w:hAnsi="Times New Roman" w:eastAsia="Times New Roman"/>
          <w:sz w:val="24"/>
        </w:rPr>
        <w:t xml:space="preserve">), but repeating the bootstrap by training seed yields</w:t>
      </w:r>
      <w:r>
        <w:rPr>
          <w:rFonts w:ascii="Times New Roman" w:hAnsi="Times New Roman" w:eastAsia="Times New Roman"/>
          <w:sz w:val="24"/>
        </w:rPr>
        <w:t xml:space="preserve"> </w:t>
      </w:r>
      <m:oMath>
        <m:r>
          <m:rPr>
            <m:sty m:val="p"/>
          </m:rPr>
          <m:t>+</m:t>
        </m:r>
        <m:r>
          <m:t>3.26</m:t>
        </m:r>
      </m:oMath>
      <w:r>
        <w:rPr>
          <w:rFonts w:ascii="Times New Roman" w:hAnsi="Times New Roman" w:eastAsia="Times New Roman"/>
          <w:sz w:val="24"/>
        </w:rPr>
        <w:t xml:space="preserve">,</w:t>
      </w:r>
      <w:r>
        <w:rPr>
          <w:rFonts w:ascii="Times New Roman" w:hAnsi="Times New Roman" w:eastAsia="Times New Roman"/>
          <w:sz w:val="24"/>
        </w:rPr>
        <w:t xml:space="preserve"> </w:t>
      </w:r>
      <m:oMath>
        <m:r>
          <m:rPr>
            <m:sty m:val="p"/>
          </m:rPr>
          <m:t>−</m:t>
        </m:r>
        <m:r>
          <m:t>2.99</m:t>
        </m:r>
      </m:oMath>
      <w:r>
        <w:rPr>
          <w:rFonts w:ascii="Times New Roman" w:hAnsi="Times New Roman" w:eastAsia="Times New Roman"/>
          <w:sz w:val="24"/>
        </w:rPr>
        <w:t xml:space="preserve">, and</w:t>
      </w:r>
      <w:r>
        <w:rPr>
          <w:rFonts w:ascii="Times New Roman" w:hAnsi="Times New Roman" w:eastAsia="Times New Roman"/>
          <w:sz w:val="24"/>
        </w:rPr>
        <w:t xml:space="preserve"> </w:t>
      </w:r>
      <m:oMath>
        <m:r>
          <m:rPr>
            <m:sty m:val="p"/>
          </m:rPr>
          <m:t>+</m:t>
        </m:r>
        <m:r>
          <m:t>4.16</m:t>
        </m:r>
      </m:oMath>
      <w:r>
        <w:rPr>
          <w:rFonts w:ascii="Times New Roman" w:hAnsi="Times New Roman" w:eastAsia="Times New Roman"/>
          <w:sz w:val="24"/>
        </w:rPr>
        <w:t xml:space="preserve"> </w:t>
      </w:r>
      <w:r>
        <w:rPr>
          <w:rFonts w:ascii="Times New Roman" w:hAnsi="Times New Roman" w:eastAsia="Times New Roman"/>
          <w:sz w:val="24"/>
        </w:rPr>
        <w:t xml:space="preserve">percentage points. Thus a conditional spatial interval is not a substitute for training uncertainty. On the Nuuk validation scene, all modern architectures lie within 0.63 F1 percentage points, providing additional evidence of parity rather than uniform dominance.</w:t>
      </w:r>
    </w:p>
    <w:p>
      <w:pPr>
        <w:pStyle w:val="BodyText"/>
        <w:spacing w:line="480" w:lineRule="auto" w:after="0"/>
      </w:pPr>
      <w:r>
        <w:rPr>
          <w:rFonts w:ascii="Times New Roman" w:hAnsi="Times New Roman" w:eastAsia="Times New Roman"/>
          <w:sz w:val="24"/>
        </w:rPr>
        <w:t xml:space="preserve">Online Resource 1 reports polygon completeness by European Avalanche Warning Services destructive-size classes</w:t>
      </w:r>
      <w:r>
        <w:rPr>
          <w:rFonts w:ascii="Times New Roman" w:hAnsi="Times New Roman" w:eastAsia="Times New Roman"/>
          <w:sz w:val="24"/>
        </w:rPr>
        <w:t xml:space="preserve"> </w:t>
      </w:r>
      <w:r>
        <w:rPr>
          <w:rFonts w:ascii="Times New Roman" w:hAnsi="Times New Roman" w:eastAsia="Times New Roman"/>
          <w:sz w:val="24"/>
        </w:rPr>
        <w:t xml:space="preserve">(European Avalanche Warning Services, 2022)</w:t>
      </w:r>
      <w:r>
        <w:rPr>
          <w:rFonts w:ascii="Times New Roman" w:hAnsi="Times New Roman" w:eastAsia="Times New Roman"/>
          <w:sz w:val="24"/>
        </w:rPr>
        <w:t xml:space="preserve">; these classes are available for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but not Pish.</w:t>
      </w:r>
    </w:p>
    <w:bookmarkEnd w:id="25"/>
    <w:bookmarkStart w:id="27" w:name="X59b969f7ea594581a142449d115d87b081662e6"/>
    <w:p>
      <w:pPr>
        <w:pStyle w:val="Heading2"/>
        <w:spacing w:line="480" w:lineRule="auto" w:after="0"/>
      </w:pPr>
      <w:r>
        <w:rPr>
          <w:rFonts w:ascii="Times New Roman" w:hAnsi="Times New Roman" w:eastAsia="Times New Roman"/>
          <w:sz w:val="24"/>
        </w:rPr>
        <w:t xml:space="preserve">Component sensitivity and failure boundaries</w:t>
      </w:r>
    </w:p>
    <w:p>
      <w:pPr>
        <w:pStyle w:val="FirstParagraph"/>
        <w:spacing w:line="480" w:lineRule="auto" w:after="0"/>
      </w:pPr>
      <w:r>
        <w:rPr>
          <w:rFonts w:ascii="Times New Roman" w:hAnsi="Times New Roman" w:eastAsia="Times New Roman"/>
          <w:sz w:val="24"/>
        </w:rPr>
        <w:t xml:space="preserve">The full architecture is not the best pooled configuration (Table </w:t>
      </w:r>
      <w:hyperlink w:anchor="tab:ablation">
        <w:r>
          <w:rPr>
            <w:rStyle w:val="Hyperlink"/>
          </w:rPr>
          <w:t xml:space="preserve">3</w:t>
        </w:r>
      </w:hyperlink>
      <w:r>
        <w:rPr>
          <w:rFonts w:ascii="Times New Roman" w:hAnsi="Times New Roman" w:eastAsia="Times New Roman"/>
          <w:sz w:val="24"/>
        </w:rPr>
        <w:t xml:space="preserve">). Removing aspect and its fixed-reference coordinate or removing cross-attention increases pooled macro F1 to</w:t>
      </w:r>
      <w:r>
        <w:rPr>
          <w:rFonts w:ascii="Times New Roman" w:hAnsi="Times New Roman" w:eastAsia="Times New Roman"/>
          <w:sz w:val="24"/>
        </w:rPr>
        <w:t xml:space="preserve"> </w:t>
      </w:r>
      <m:oMath>
        <m:r>
          <m:t>65.35</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65.07</m:t>
        </m:r>
        <m:r>
          <m:rPr>
            <m:sty m:val="p"/>
          </m:rPr>
          <m:t>%</m:t>
        </m:r>
      </m:oMath>
      <w:r>
        <w:rPr>
          <w:rFonts w:ascii="Times New Roman" w:hAnsi="Times New Roman" w:eastAsia="Times New Roman"/>
          <w:sz w:val="24"/>
        </w:rPr>
        <w:t xml:space="preserve">, respectively, mainly through gains in Pish. In Troms</w:t>
      </w:r>
      <w:r>
        <w:rPr>
          <w:rFonts w:ascii="Times New Roman" w:hAnsi="Times New Roman" w:eastAsia="Times New Roman"/>
          <w:sz w:val="24"/>
        </w:rPr>
        <w:t xml:space="preserve">ø</w:t>
      </w:r>
      <w:r>
        <w:rPr>
          <w:rFonts w:ascii="Times New Roman" w:hAnsi="Times New Roman" w:eastAsia="Times New Roman"/>
          <w:sz w:val="24"/>
        </w:rPr>
        <w:t xml:space="preserve">, seed-42 paired block tests favour the full model over No-LIA by</w:t>
      </w:r>
      <w:r>
        <w:rPr>
          <w:rFonts w:ascii="Times New Roman" w:hAnsi="Times New Roman" w:eastAsia="Times New Roman"/>
          <w:sz w:val="24"/>
        </w:rPr>
        <w:t xml:space="preserve"> </w:t>
      </w:r>
      <m:oMath>
        <m:r>
          <m:t>2.04</m:t>
        </m:r>
      </m:oMath>
      <w:r>
        <w:rPr>
          <w:rFonts w:ascii="Times New Roman" w:hAnsi="Times New Roman" w:eastAsia="Times New Roman"/>
          <w:sz w:val="24"/>
        </w:rPr>
        <w:t xml:space="preserve"> </w:t>
      </w:r>
      <w:r>
        <w:rPr>
          <w:rFonts w:ascii="Times New Roman" w:hAnsi="Times New Roman" w:eastAsia="Times New Roman"/>
          <w:sz w:val="24"/>
        </w:rPr>
        <w:t xml:space="preserve">percentage points (</w:t>
      </w:r>
      <m:oMath>
        <m:r>
          <m:t>p</m:t>
        </m:r>
        <m:r>
          <m:rPr>
            <m:sty m:val="p"/>
          </m:rPr>
          <m:t>&lt;</m:t>
        </m:r>
        <m:r>
          <m:t>0.001</m:t>
        </m:r>
      </m:oMath>
      <w:r>
        <w:rPr>
          <w:rFonts w:ascii="Times New Roman" w:hAnsi="Times New Roman" w:eastAsia="Times New Roman"/>
          <w:sz w:val="24"/>
        </w:rPr>
        <w:t xml:space="preserve">) and No-CrossAttn by</w:t>
      </w:r>
      <w:r>
        <w:rPr>
          <w:rFonts w:ascii="Times New Roman" w:hAnsi="Times New Roman" w:eastAsia="Times New Roman"/>
          <w:sz w:val="24"/>
        </w:rPr>
        <w:t xml:space="preserve"> </w:t>
      </w:r>
      <m:oMath>
        <m:r>
          <m:t>1.42</m:t>
        </m:r>
      </m:oMath>
      <w:r>
        <w:rPr>
          <w:rFonts w:ascii="Times New Roman" w:hAnsi="Times New Roman" w:eastAsia="Times New Roman"/>
          <w:sz w:val="24"/>
        </w:rPr>
        <w:t xml:space="preserve"> </w:t>
      </w:r>
      <w:r>
        <w:rPr>
          <w:rFonts w:ascii="Times New Roman" w:hAnsi="Times New Roman" w:eastAsia="Times New Roman"/>
          <w:sz w:val="24"/>
        </w:rPr>
        <w:t xml:space="preserve">percentage points (</w:t>
      </w:r>
      <m:oMath>
        <m:r>
          <m:t>p</m:t>
        </m:r>
        <m:r>
          <m:rPr>
            <m:sty m:val="p"/>
          </m:rPr>
          <m:t>=</m:t>
        </m:r>
        <m:r>
          <m:t>0.010</m:t>
        </m:r>
      </m:oMath>
      <w:r>
        <w:rPr>
          <w:rFonts w:ascii="Times New Roman" w:hAnsi="Times New Roman" w:eastAsia="Times New Roman"/>
          <w:sz w:val="24"/>
        </w:rPr>
        <w:t xml:space="preserve">). These comparisons establish component sensitivity, not a causal terrain-correction mechanism.</w:t>
      </w:r>
    </w:p>
    <w:bookmarkStart w:id="26" w:name="tab:ablation"/>
    <w:p>
      <w:pPr>
        <w:pStyle w:val="TableCaption"/>
        <w:spacing w:line="480" w:lineRule="auto" w:after="0"/>
      </w:pPr>
      <w:r>
        <w:rPr>
          <w:rFonts w:ascii="Times New Roman" w:hAnsi="Times New Roman" w:eastAsia="Times New Roman"/>
          <w:b/>
          <w:sz w:val="24"/>
        </w:rPr>
        <w:t xml:space="preserve">Table 3. </w:t>
      </w:r>
      <w:r>
        <w:rPr>
          <w:rFonts w:ascii="Times New Roman" w:hAnsi="Times New Roman" w:eastAsia="Times New Roman"/>
          <w:sz w:val="24"/>
        </w:rPr>
        <w:t>Ablation performance across three seeds. The highest pooled value is obtained without aspect and its fixed-reference coordinate</w:t>
      </w:r>
    </w:p>
    <w:tbl>
      <w:tblPr>
        <w:tblStyle w:val="Table"/>
        <w:tblW w:type="auto" w:w="0"/>
        <w:tblLayout w:type="autofit"/>
        <w:tblLook w:firstRow="1" w:lastRow="0" w:firstColumn="0" w:lastColumn="0" w:noHBand="0" w:noVBand="0" w:val="0020"/>
        <w:tblCaption w:val="Ablation performance across three seeds. The highest pooled value is obtained without aspect and its fixed-reference coordinate"/>
      </w:tblPr>
      <w:tblGrid>
        <w:gridCol w:w="1980"/>
        <w:gridCol w:w="1980"/>
        <w:gridCol w:w="1980"/>
        <w:gridCol w:w="1980"/>
      </w:tblGrid>
      <w:tr>
        <w:trPr>
          <w:tblHeader w:val="on"/>
          <w:cantSplit/>
          <w:tblHeader w:val="true"/>
        </w:trPr>
        <w:tc>
          <w:tcPr>
            <w:vAlign w:val="center"/>
          </w:tcPr>
          <w:p>
            <w:pPr>
              <w:pStyle w:val="Compact"/>
              <w:spacing w:line="240" w:lineRule="auto" w:after="0"/>
              <w:jc w:val="left"/>
            </w:pPr>
            <w:r>
              <w:rPr>
                <w:rFonts w:ascii="Times New Roman" w:hAnsi="Times New Roman" w:eastAsia="Times New Roman"/>
                <w:sz w:val="18"/>
              </w:rPr>
              <w:t xml:space="preserve">Configuration</w:t>
            </w:r>
          </w:p>
        </w:tc>
        <w:tc>
          <w:tcPr>
            <w:vAlign w:val="center"/>
          </w:tcPr>
          <w:p>
            <w:pPr>
              <w:pStyle w:val="Compact"/>
              <w:spacing w:line="240" w:lineRule="auto" w:after="0"/>
              <w:jc w:val="right"/>
            </w:pPr>
            <w:r>
              <w:rPr>
                <w:rFonts w:ascii="Times New Roman" w:hAnsi="Times New Roman" w:eastAsia="Times New Roman"/>
                <w:sz w:val="18"/>
              </w:rPr>
              <w:t xml:space="preserve">Troms</w:t>
            </w:r>
            <w:r>
              <w:rPr>
                <w:rFonts w:ascii="Times New Roman" w:hAnsi="Times New Roman" w:eastAsia="Times New Roman"/>
                <w:sz w:val="18"/>
              </w:rPr>
              <w:t xml:space="preserve">ø</w:t>
            </w:r>
            <w:r>
              <w:rPr>
                <w:rFonts w:ascii="Times New Roman" w:hAnsi="Times New Roman" w:eastAsia="Times New Roman"/>
                <w:sz w:val="18"/>
              </w:rPr>
              <w:t xml:space="preserve"> </w:t>
            </w:r>
            <w:r>
              <w:rPr>
                <w:rFonts w:ascii="Times New Roman" w:hAnsi="Times New Roman" w:eastAsia="Times New Roman"/>
                <w:sz w:val="18"/>
              </w:rPr>
              <w:t xml:space="preserve">F1</w:t>
            </w:r>
          </w:p>
        </w:tc>
        <w:tc>
          <w:tcPr>
            <w:vAlign w:val="center"/>
          </w:tcPr>
          <w:p>
            <w:pPr>
              <w:pStyle w:val="Compact"/>
              <w:spacing w:line="240" w:lineRule="auto" w:after="0"/>
              <w:jc w:val="right"/>
            </w:pPr>
            <w:r>
              <w:rPr>
                <w:rFonts w:ascii="Times New Roman" w:hAnsi="Times New Roman" w:eastAsia="Times New Roman"/>
                <w:sz w:val="18"/>
              </w:rPr>
              <w:t xml:space="preserve">Pish F1</w:t>
            </w:r>
          </w:p>
        </w:tc>
        <w:tc>
          <w:tcPr>
            <w:vAlign w:val="center"/>
          </w:tcPr>
          <w:p>
            <w:pPr>
              <w:pStyle w:val="Compact"/>
              <w:spacing w:line="240" w:lineRule="auto" w:after="0"/>
              <w:jc w:val="right"/>
            </w:pPr>
            <w:r>
              <w:rPr>
                <w:rFonts w:ascii="Times New Roman" w:hAnsi="Times New Roman" w:eastAsia="Times New Roman"/>
                <w:sz w:val="18"/>
              </w:rPr>
              <w:t xml:space="preserve">Pooled F1</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Full</w:t>
            </w:r>
          </w:p>
        </w:tc>
        <w:tc>
          <w:tcPr>
            <w:vAlign w:val="center"/>
          </w:tcPr>
          <w:p>
            <w:pPr>
              <w:pStyle w:val="Compact"/>
              <w:spacing w:line="240" w:lineRule="auto" w:after="0"/>
              <w:jc w:val="right"/>
            </w:pPr>
            <m:oMath>
              <m:r>
                <m:t>77.40</m:t>
              </m:r>
              <m:r>
                <m:rPr>
                  <m:sty m:val="p"/>
                </m:rPr>
                <m:t>±</m:t>
              </m:r>
              <m:r>
                <m:t>1.86</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50.18</m:t>
              </m:r>
              <m:r>
                <m:rPr>
                  <m:sty m:val="p"/>
                </m:rPr>
                <m:t>±</m:t>
              </m:r>
              <m:r>
                <m:t>4.40</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63.79</m:t>
              </m:r>
              <m:r>
                <m:rPr>
                  <m:sty m:val="p"/>
                </m:rPr>
                <m:t>±</m:t>
              </m:r>
              <m:r>
                <m:t>1.88</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No local incidence angle</w:t>
            </w:r>
          </w:p>
        </w:tc>
        <w:tc>
          <w:tcPr>
            <w:vAlign w:val="center"/>
          </w:tcPr>
          <w:p>
            <w:pPr>
              <w:pStyle w:val="Compact"/>
              <w:spacing w:line="240" w:lineRule="auto" w:after="0"/>
              <w:jc w:val="right"/>
            </w:pPr>
            <m:oMath>
              <m:r>
                <m:t>75.67</m:t>
              </m:r>
              <m:r>
                <m:rPr>
                  <m:sty m:val="p"/>
                </m:rPr>
                <m:t>±</m:t>
              </m:r>
              <m:r>
                <m:t>1.76</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52.13</m:t>
              </m:r>
              <m:r>
                <m:rPr>
                  <m:sty m:val="p"/>
                </m:rPr>
                <m:t>±</m:t>
              </m:r>
              <m:r>
                <m:t>1.11</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63.90</m:t>
              </m:r>
              <m:r>
                <m:rPr>
                  <m:sty m:val="p"/>
                </m:rPr>
                <m:t>±</m:t>
              </m:r>
              <m:r>
                <m:t>1.37</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No cross-attention</w:t>
            </w:r>
          </w:p>
        </w:tc>
        <w:tc>
          <w:tcPr>
            <w:vAlign w:val="center"/>
          </w:tcPr>
          <w:p>
            <w:pPr>
              <w:pStyle w:val="Compact"/>
              <w:spacing w:line="240" w:lineRule="auto" w:after="0"/>
              <w:jc w:val="right"/>
            </w:pPr>
            <m:oMath>
              <m:r>
                <m:t>76.85</m:t>
              </m:r>
              <m:r>
                <m:rPr>
                  <m:sty m:val="p"/>
                </m:rPr>
                <m:t>±</m:t>
              </m:r>
              <m:r>
                <m:t>0.80</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53.30</m:t>
              </m:r>
              <m:r>
                <m:rPr>
                  <m:sty m:val="p"/>
                </m:rPr>
                <m:t>±</m:t>
              </m:r>
              <m:r>
                <m:t>0.93</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65.07</m:t>
              </m:r>
              <m:r>
                <m:rPr>
                  <m:sty m:val="p"/>
                </m:rPr>
                <m:t>±</m:t>
              </m:r>
              <m:r>
                <m:t>0.53</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No slope prior</w:t>
            </w:r>
          </w:p>
        </w:tc>
        <w:tc>
          <w:tcPr>
            <w:vAlign w:val="center"/>
          </w:tcPr>
          <w:p>
            <w:pPr>
              <w:pStyle w:val="Compact"/>
              <w:spacing w:line="240" w:lineRule="auto" w:after="0"/>
              <w:jc w:val="right"/>
            </w:pPr>
            <m:oMath>
              <m:r>
                <m:t>76.70</m:t>
              </m:r>
              <m:r>
                <m:rPr>
                  <m:sty m:val="p"/>
                </m:rPr>
                <m:t>±</m:t>
              </m:r>
              <m:r>
                <m:t>0.91</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51.99</m:t>
              </m:r>
              <m:r>
                <m:rPr>
                  <m:sty m:val="p"/>
                </m:rPr>
                <m:t>±</m:t>
              </m:r>
              <m:r>
                <m:t>1.31</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64.35</m:t>
              </m:r>
              <m:r>
                <m:rPr>
                  <m:sty m:val="p"/>
                </m:rPr>
                <m:t>±</m:t>
              </m:r>
              <m:r>
                <m:t>1.05</m:t>
              </m:r>
            </m:oMath>
            <w:r>
              <w:rPr>
                <w:rFonts w:ascii="Times New Roman" w:hAnsi="Times New Roman" w:eastAsia="Times New Roman"/>
                <w:sz w:val="18"/>
              </w:rPr>
              <w:t xml:space="preserve">​</w:t>
            </w:r>
          </w:p>
        </w:tc>
      </w:tr>
      <w:tr>
        <w:trPr>
          <w:cantSplit/>
        </w:trPr>
        <w:tc>
          <w:tcPr>
            <w:vAlign w:val="center"/>
          </w:tcPr>
          <w:p>
            <w:pPr>
              <w:pStyle w:val="Compact"/>
              <w:spacing w:line="240" w:lineRule="auto" w:after="0"/>
              <w:jc w:val="left"/>
            </w:pPr>
            <w:r>
              <w:rPr>
                <w:rFonts w:ascii="Times New Roman" w:hAnsi="Times New Roman" w:eastAsia="Times New Roman"/>
                <w:sz w:val="18"/>
              </w:rPr>
              <w:t xml:space="preserve">No aspect/reference coordinate</w:t>
            </w:r>
          </w:p>
        </w:tc>
        <w:tc>
          <w:tcPr>
            <w:vAlign w:val="center"/>
          </w:tcPr>
          <w:p>
            <w:pPr>
              <w:pStyle w:val="Compact"/>
              <w:spacing w:line="240" w:lineRule="auto" w:after="0"/>
              <w:jc w:val="right"/>
            </w:pPr>
            <m:oMath>
              <m:r>
                <m:t>77.38</m:t>
              </m:r>
              <m:r>
                <m:rPr>
                  <m:sty m:val="p"/>
                </m:rPr>
                <m:t>±</m:t>
              </m:r>
              <m:r>
                <m:t>2.66</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53.32</m:t>
              </m:r>
              <m:r>
                <m:rPr>
                  <m:sty m:val="p"/>
                </m:rPr>
                <m:t>±</m:t>
              </m:r>
              <m:r>
                <m:t>0.42</m:t>
              </m:r>
            </m:oMath>
            <w:r>
              <w:rPr>
                <w:rFonts w:ascii="Times New Roman" w:hAnsi="Times New Roman" w:eastAsia="Times New Roman"/>
                <w:sz w:val="18"/>
              </w:rPr>
              <w:t xml:space="preserve">​</w:t>
            </w:r>
          </w:p>
        </w:tc>
        <w:tc>
          <w:tcPr>
            <w:vAlign w:val="center"/>
          </w:tcPr>
          <w:p>
            <w:pPr>
              <w:pStyle w:val="Compact"/>
              <w:spacing w:line="240" w:lineRule="auto" w:after="0"/>
              <w:jc w:val="right"/>
            </w:pPr>
            <m:oMath>
              <m:r>
                <m:t>65.35</m:t>
              </m:r>
              <m:r>
                <m:rPr>
                  <m:sty m:val="p"/>
                </m:rPr>
                <m:t>±</m:t>
              </m:r>
              <m:r>
                <m:t>1.54</m:t>
              </m:r>
            </m:oMath>
            <w:r>
              <w:rPr>
                <w:rFonts w:ascii="Times New Roman" w:hAnsi="Times New Roman" w:eastAsia="Times New Roman"/>
                <w:sz w:val="18"/>
              </w:rPr>
              <w:t xml:space="preserve">​</w:t>
            </w:r>
          </w:p>
        </w:tc>
      </w:tr>
    </w:tbl>
    <w:bookmarkEnd w:id="26"/>
    <w:p>
      <w:pPr>
        <w:pStyle w:val="BodyText"/>
        <w:spacing w:line="480" w:lineRule="auto" w:after="0"/>
      </w:pPr>
      <w:r>
        <w:rPr>
          <w:rFonts w:ascii="Times New Roman" w:hAnsi="Times New Roman" w:eastAsia="Times New Roman"/>
          <w:sz w:val="24"/>
        </w:rPr>
        <w:t xml:space="preserve">The slope-prior mask contains</w:t>
      </w:r>
      <w:r>
        <w:rPr>
          <w:rFonts w:ascii="Times New Roman" w:hAnsi="Times New Roman" w:eastAsia="Times New Roman"/>
          <w:sz w:val="24"/>
        </w:rPr>
        <w:t xml:space="preserve"> </w:t>
      </w:r>
      <m:oMath>
        <m:r>
          <m:t>18.47</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of valid training positives,</w:t>
      </w:r>
      <w:r>
        <w:rPr>
          <w:rFonts w:ascii="Times New Roman" w:hAnsi="Times New Roman" w:eastAsia="Times New Roman"/>
          <w:sz w:val="24"/>
        </w:rPr>
        <w:t xml:space="preserve"> </w:t>
      </w:r>
      <m:oMath>
        <m:r>
          <m:t>0.95</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of validation positives, and</w:t>
      </w:r>
      <w:r>
        <w:rPr>
          <w:rFonts w:ascii="Times New Roman" w:hAnsi="Times New Roman" w:eastAsia="Times New Roman"/>
          <w:sz w:val="24"/>
        </w:rPr>
        <w:t xml:space="preserve"> </w:t>
      </w:r>
      <m:oMath>
        <m:r>
          <m:t>0.87</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of held-out positives. Within the held-out penalty stratum, the full model has lower three-seed positive recall than No-GeoLoss in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w:t>
      </w:r>
      <m:oMath>
        <m:r>
          <m:t>50.47</m:t>
        </m:r>
        <m:r>
          <m:rPr>
            <m:sty m:val="p"/>
          </m:rPr>
          <m:t>%</m:t>
        </m:r>
        <m:r>
          <m:rPr>
            <m:sty m:val="p"/>
          </m:rPr>
          <m:t>±</m:t>
        </m:r>
        <m:r>
          <m:t>3.18</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versus</w:t>
      </w:r>
      <w:r>
        <w:rPr>
          <w:rFonts w:ascii="Times New Roman" w:hAnsi="Times New Roman" w:eastAsia="Times New Roman"/>
          <w:sz w:val="24"/>
        </w:rPr>
        <w:t xml:space="preserve"> </w:t>
      </w:r>
      <m:oMath>
        <m:r>
          <m:t>71.29</m:t>
        </m:r>
        <m:r>
          <m:rPr>
            <m:sty m:val="p"/>
          </m:rPr>
          <m:t>%</m:t>
        </m:r>
        <m:r>
          <m:rPr>
            <m:sty m:val="p"/>
          </m:rPr>
          <m:t>±</m:t>
        </m:r>
        <m:r>
          <m:t>6.39</m:t>
        </m:r>
        <m:r>
          <m:rPr>
            <m:sty m:val="p"/>
          </m:rPr>
          <m:t>%</m:t>
        </m:r>
      </m:oMath>
      <w:r>
        <w:rPr>
          <w:rFonts w:ascii="Times New Roman" w:hAnsi="Times New Roman" w:eastAsia="Times New Roman"/>
          <w:sz w:val="24"/>
        </w:rPr>
        <w:t xml:space="preserve">) and Pish (</w:t>
      </w:r>
      <m:oMath>
        <m:r>
          <m:t>1.08</m:t>
        </m:r>
        <m:r>
          <m:rPr>
            <m:sty m:val="p"/>
          </m:rPr>
          <m:t>%</m:t>
        </m:r>
        <m:r>
          <m:rPr>
            <m:sty m:val="p"/>
          </m:rPr>
          <m:t>±</m:t>
        </m:r>
        <m:r>
          <m:t>1.52</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versus</w:t>
      </w:r>
      <w:r>
        <w:rPr>
          <w:rFonts w:ascii="Times New Roman" w:hAnsi="Times New Roman" w:eastAsia="Times New Roman"/>
          <w:sz w:val="24"/>
        </w:rPr>
        <w:t xml:space="preserve"> </w:t>
      </w:r>
      <m:oMath>
        <m:r>
          <m:t>6.45</m:t>
        </m:r>
        <m:r>
          <m:rPr>
            <m:sty m:val="p"/>
          </m:rPr>
          <m:t>%</m:t>
        </m:r>
        <m:r>
          <m:rPr>
            <m:sty m:val="p"/>
          </m:rPr>
          <m:t>±</m:t>
        </m:r>
        <m:r>
          <m:t>6.97</m:t>
        </m:r>
        <m:r>
          <m:rPr>
            <m:sty m:val="p"/>
          </m:rPr>
          <m:t>%</m:t>
        </m:r>
      </m:oMath>
      <w:r>
        <w:rPr>
          <w:rFonts w:ascii="Times New Roman" w:hAnsi="Times New Roman" w:eastAsia="Times New Roman"/>
          <w:sz w:val="24"/>
        </w:rPr>
        <w:t xml:space="preserve">). The term is therefore a precision–recall prior, not a physical-admissibility rule.</w:t>
      </w:r>
    </w:p>
    <w:p>
      <w:pPr>
        <w:pStyle w:val="BodyText"/>
        <w:spacing w:line="480" w:lineRule="auto" w:after="0"/>
      </w:pPr>
      <w:r>
        <w:rPr>
          <w:rFonts w:ascii="Times New Roman" w:hAnsi="Times New Roman" w:eastAsia="Times New Roman"/>
          <w:sz w:val="24"/>
        </w:rPr>
        <w:t xml:space="preserve">Seed-42 terrain strata initially suggest positive backslope differences, but these do not persist across seeds: TopoRadar-Net minus the self-attention U-Net averages</w:t>
      </w:r>
      <w:r>
        <w:rPr>
          <w:rFonts w:ascii="Times New Roman" w:hAnsi="Times New Roman" w:eastAsia="Times New Roman"/>
          <w:sz w:val="24"/>
        </w:rPr>
        <w:t xml:space="preserve"> </w:t>
      </w:r>
      <m:oMath>
        <m:r>
          <m:rPr>
            <m:sty m:val="p"/>
          </m:rPr>
          <m:t>−</m:t>
        </m:r>
        <m:r>
          <m:t>0.34</m:t>
        </m:r>
        <m:r>
          <m:rPr>
            <m:sty m:val="p"/>
          </m:rPr>
          <m:t>%</m:t>
        </m:r>
        <m:r>
          <m:rPr>
            <m:sty m:val="p"/>
          </m:rPr>
          <m:t>±</m:t>
        </m:r>
        <m:r>
          <m:t>6.28</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in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rPr>
            <m:sty m:val="p"/>
          </m:rPr>
          <m:t>+</m:t>
        </m:r>
        <m:r>
          <m:t>1.20</m:t>
        </m:r>
        <m:r>
          <m:rPr>
            <m:sty m:val="p"/>
          </m:rPr>
          <m:t>%</m:t>
        </m:r>
        <m:r>
          <m:rPr>
            <m:sty m:val="p"/>
          </m:rPr>
          <m:t>±</m:t>
        </m:r>
        <m:r>
          <m:t>7.73</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in Pish. Extreme-steep terrain is highly variable and both models perform poorly in the small Pish shadow stratum. Complete stratum results are in Online Resource 1.</w:t>
      </w:r>
    </w:p>
    <w:bookmarkEnd w:id="27"/>
    <w:bookmarkStart w:id="28" w:name="retrospective-corridor-proxy"/>
    <w:p>
      <w:pPr>
        <w:pStyle w:val="Heading2"/>
        <w:spacing w:line="480" w:lineRule="auto" w:after="0"/>
      </w:pPr>
      <w:r>
        <w:rPr>
          <w:rFonts w:ascii="Times New Roman" w:hAnsi="Times New Roman" w:eastAsia="Times New Roman"/>
          <w:sz w:val="24"/>
        </w:rPr>
        <w:t xml:space="preserve">Retrospective corridor proxy</w:t>
      </w:r>
    </w:p>
    <w:p>
      <w:pPr>
        <w:pStyle w:val="FirstParagraph"/>
        <w:spacing w:line="480" w:lineRule="auto" w:after="0"/>
      </w:pPr>
      <w:r>
        <w:rPr>
          <w:rFonts w:ascii="Times New Roman" w:hAnsi="Times New Roman" w:eastAsia="Times New Roman"/>
          <w:sz w:val="24"/>
        </w:rPr>
        <w:t xml:space="preserve">The affine valid-mask area is</w:t>
      </w:r>
      <w:r>
        <w:rPr>
          <w:rFonts w:ascii="Times New Roman" w:hAnsi="Times New Roman" w:eastAsia="Times New Roman"/>
          <w:sz w:val="24"/>
        </w:rPr>
        <w:t xml:space="preserve"> </w:t>
      </w:r>
      <m:oMath>
        <m:r>
          <m:t>196.820</m:t>
        </m:r>
        <m:r>
          <m:t> </m:t>
        </m:r>
        <m:sSup>
          <m:e>
            <m:r>
              <m:rPr>
                <m:sty m:val="p"/>
              </m:rPr>
              <m:t>k</m:t>
            </m:r>
            <m:r>
              <m:rPr>
                <m:sty m:val="p"/>
              </m:rPr>
              <m:t>m</m:t>
            </m:r>
          </m:e>
          <m:sup>
            <m:r>
              <m:t>2</m:t>
            </m:r>
          </m:sup>
        </m:sSup>
      </m:oMath>
      <w:r>
        <w:rPr>
          <w:rFonts w:ascii="Times New Roman" w:hAnsi="Times New Roman" w:eastAsia="Times New Roman"/>
          <w:sz w:val="24"/>
        </w:rPr>
        <w:t xml:space="preserve"> </w:t>
      </w:r>
      <w:r>
        <w:rPr>
          <w:rFonts w:ascii="Times New Roman" w:hAnsi="Times New Roman" w:eastAsia="Times New Roman"/>
          <w:sz w:val="24"/>
        </w:rPr>
        <w:t xml:space="preserve">in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267.435</m:t>
        </m:r>
        <m:r>
          <m:t> </m:t>
        </m:r>
        <m:sSup>
          <m:e>
            <m:r>
              <m:rPr>
                <m:sty m:val="p"/>
              </m:rPr>
              <m:t>k</m:t>
            </m:r>
            <m:r>
              <m:rPr>
                <m:sty m:val="p"/>
              </m:rPr>
              <m:t>m</m:t>
            </m:r>
          </m:e>
          <m:sup>
            <m:r>
              <m:t>2</m:t>
            </m:r>
          </m:sup>
        </m:sSup>
      </m:oMath>
      <w:r>
        <w:rPr>
          <w:rFonts w:ascii="Times New Roman" w:hAnsi="Times New Roman" w:eastAsia="Times New Roman"/>
          <w:sz w:val="24"/>
        </w:rPr>
        <w:t xml:space="preserve"> </w:t>
      </w:r>
      <w:r>
        <w:rPr>
          <w:rFonts w:ascii="Times New Roman" w:hAnsi="Times New Roman" w:eastAsia="Times New Roman"/>
          <w:sz w:val="24"/>
        </w:rPr>
        <w:t xml:space="preserve">in Pish. In Troms</w:t>
      </w:r>
      <w:r>
        <w:rPr>
          <w:rFonts w:ascii="Times New Roman" w:hAnsi="Times New Roman" w:eastAsia="Times New Roman"/>
          <w:sz w:val="24"/>
        </w:rPr>
        <w:t xml:space="preserve">ø</w:t>
      </w:r>
      <w:r>
        <w:rPr>
          <w:rFonts w:ascii="Times New Roman" w:hAnsi="Times New Roman" w:eastAsia="Times New Roman"/>
          <w:sz w:val="24"/>
        </w:rPr>
        <w:t xml:space="preserve">, TopoRadar-Net produces</w:t>
      </w:r>
      <w:r>
        <w:rPr>
          <w:rFonts w:ascii="Times New Roman" w:hAnsi="Times New Roman" w:eastAsia="Times New Roman"/>
          <w:sz w:val="24"/>
        </w:rPr>
        <w:t xml:space="preserve"> </w:t>
      </w:r>
      <m:oMath>
        <m:r>
          <m:t>74.77</m:t>
        </m:r>
      </m:oMath>
      <w:r>
        <w:rPr>
          <w:rFonts w:ascii="Times New Roman" w:hAnsi="Times New Roman" w:eastAsia="Times New Roman"/>
          <w:sz w:val="24"/>
        </w:rPr>
        <w:t xml:space="preserve"> </w:t>
      </w:r>
      <w:r>
        <w:rPr>
          <w:rFonts w:ascii="Times New Roman" w:hAnsi="Times New Roman" w:eastAsia="Times New Roman"/>
          <w:sz w:val="24"/>
        </w:rPr>
        <w:t xml:space="preserve">ha of false positives at</w:t>
      </w:r>
      <w:r>
        <w:rPr>
          <w:rFonts w:ascii="Times New Roman" w:hAnsi="Times New Roman" w:eastAsia="Times New Roman"/>
          <w:sz w:val="24"/>
        </w:rPr>
        <w:t xml:space="preserve"> </w:t>
      </w:r>
      <m:oMath>
        <m:r>
          <m:t>0.38</m:t>
        </m:r>
        <m:r>
          <m:t> </m:t>
        </m:r>
        <m:sSup>
          <m:e>
            <m:r>
              <m:rPr>
                <m:sty m:val="p"/>
              </m:rPr>
              <m:t>h</m:t>
            </m:r>
            <m:r>
              <m:rPr>
                <m:sty m:val="p"/>
              </m:rPr>
              <m:t>a</m:t>
            </m:r>
            <m:r>
              <m:rPr>
                <m:sty m:val="p"/>
              </m:rPr>
              <m:t> </m:t>
            </m:r>
            <m:r>
              <m:rPr>
                <m:sty m:val="p"/>
              </m:rPr>
              <m:t>k</m:t>
            </m:r>
            <m:r>
              <m:rPr>
                <m:sty m:val="p"/>
              </m:rPr>
              <m:t>m</m:t>
            </m:r>
          </m:e>
          <m:sup>
            <m:r>
              <m:rPr>
                <m:sty m:val="p"/>
              </m:rPr>
              <m:t>−</m:t>
            </m:r>
            <m:r>
              <m:t>2</m:t>
            </m:r>
          </m:sup>
        </m:sSup>
      </m:oMath>
      <w:r>
        <w:rPr>
          <w:rFonts w:ascii="Times New Roman" w:hAnsi="Times New Roman" w:eastAsia="Times New Roman"/>
          <w:sz w:val="24"/>
        </w:rPr>
        <w:t xml:space="preserve">. In Pish, it produces</w:t>
      </w:r>
      <w:r>
        <w:rPr>
          <w:rFonts w:ascii="Times New Roman" w:hAnsi="Times New Roman" w:eastAsia="Times New Roman"/>
          <w:sz w:val="24"/>
        </w:rPr>
        <w:t xml:space="preserve"> </w:t>
      </w:r>
      <m:oMath>
        <m:r>
          <m:t>129.69</m:t>
        </m:r>
      </m:oMath>
      <w:r>
        <w:rPr>
          <w:rFonts w:ascii="Times New Roman" w:hAnsi="Times New Roman" w:eastAsia="Times New Roman"/>
          <w:sz w:val="24"/>
        </w:rPr>
        <w:t xml:space="preserve"> </w:t>
      </w:r>
      <w:r>
        <w:rPr>
          <w:rFonts w:ascii="Times New Roman" w:hAnsi="Times New Roman" w:eastAsia="Times New Roman"/>
          <w:sz w:val="24"/>
        </w:rPr>
        <w:t xml:space="preserve">ha at</w:t>
      </w:r>
      <w:r>
        <w:rPr>
          <w:rFonts w:ascii="Times New Roman" w:hAnsi="Times New Roman" w:eastAsia="Times New Roman"/>
          <w:sz w:val="24"/>
        </w:rPr>
        <w:t xml:space="preserve"> </w:t>
      </w:r>
      <m:oMath>
        <m:r>
          <m:t>0.48</m:t>
        </m:r>
        <m:r>
          <m:t> </m:t>
        </m:r>
        <m:sSup>
          <m:e>
            <m:r>
              <m:rPr>
                <m:sty m:val="p"/>
              </m:rPr>
              <m:t>h</m:t>
            </m:r>
            <m:r>
              <m:rPr>
                <m:sty m:val="p"/>
              </m:rPr>
              <m:t>a</m:t>
            </m:r>
            <m:r>
              <m:rPr>
                <m:sty m:val="p"/>
              </m:rPr>
              <m:t> </m:t>
            </m:r>
            <m:r>
              <m:rPr>
                <m:sty m:val="p"/>
              </m:rPr>
              <m:t>k</m:t>
            </m:r>
            <m:r>
              <m:rPr>
                <m:sty m:val="p"/>
              </m:rPr>
              <m:t>m</m:t>
            </m:r>
          </m:e>
          <m:sup>
            <m:r>
              <m:rPr>
                <m:sty m:val="p"/>
              </m:rPr>
              <m:t>−</m:t>
            </m:r>
            <m:r>
              <m:t>2</m:t>
            </m:r>
          </m:sup>
        </m:sSup>
      </m:oMath>
      <w:r>
        <w:rPr>
          <w:rFonts w:ascii="Times New Roman" w:hAnsi="Times New Roman" w:eastAsia="Times New Roman"/>
          <w:sz w:val="24"/>
        </w:rPr>
        <w:t xml:space="preserve">. Relative to the self-attention U-Net, this is a 30.0% reduction in Pish (129.69 versus 185.32 ha) but a 28.5% increase in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(74.77 versus 58.19 ha). Validation-calibrated road-corridor alerts achieve</w:t>
      </w:r>
      <w:r>
        <w:rPr>
          <w:rFonts w:ascii="Times New Roman" w:hAnsi="Times New Roman" w:eastAsia="Times New Roman"/>
          <w:sz w:val="24"/>
        </w:rPr>
        <w:t xml:space="preserve"> </w:t>
      </w:r>
      <m:oMath>
        <m:r>
          <m:t>83.0</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precision and</w:t>
      </w:r>
      <w:r>
        <w:rPr>
          <w:rFonts w:ascii="Times New Roman" w:hAnsi="Times New Roman" w:eastAsia="Times New Roman"/>
          <w:sz w:val="24"/>
        </w:rPr>
        <w:t xml:space="preserve"> </w:t>
      </w:r>
      <m:oMath>
        <m:r>
          <m:t>62.5</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recall in Pish. The single road-intersecting reference avalanche in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is missed by every TopoRadar-Net seed. All cached complete-scene runs are below 5 s on Apple MPS hardware, but timing excludes upstream acquisition and human review.</w:t>
      </w:r>
    </w:p>
    <w:bookmarkEnd w:id="28"/>
    <w:bookmarkEnd w:id="29"/>
    <w:bookmarkStart w:id="30" w:name="discussion"/>
    <w:p>
      <w:pPr>
        <w:pStyle w:val="Heading1"/>
        <w:spacing w:line="480" w:lineRule="auto" w:after="0"/>
      </w:pPr>
      <w:r>
        <w:rPr>
          <w:rFonts w:ascii="Times New Roman" w:hAnsi="Times New Roman" w:eastAsia="Times New Roman"/>
          <w:sz w:val="24"/>
        </w:rPr>
        <w:t xml:space="preserve">Discussion</w:t>
      </w:r>
    </w:p>
    <w:p>
      <w:pPr>
        <w:pStyle w:val="FirstParagraph"/>
        <w:spacing w:line="480" w:lineRule="auto" w:after="0"/>
      </w:pPr>
      <w:r>
        <w:rPr>
          <w:rFonts w:ascii="Times New Roman" w:hAnsi="Times New Roman" w:eastAsia="Times New Roman"/>
          <w:sz w:val="24"/>
        </w:rPr>
        <w:t xml:space="preserve">TopoRadar-Net is competitive across unseen mountain systems, but the strongest baselines are statistically indistinguishable across three seeds. This result is important for remote-sensing model design: adding physically interpretable variables does not guarantee a better predictor. Recent hazard-mapping studies similarly motivate multiscale or attention modules across diverse environments</w:t>
      </w:r>
      <w:r>
        <w:rPr>
          <w:rFonts w:ascii="Times New Roman" w:hAnsi="Times New Roman" w:eastAsia="Times New Roman"/>
          <w:sz w:val="24"/>
        </w:rPr>
        <w:t xml:space="preserve"> </w:t>
      </w:r>
      <w:r>
        <w:rPr>
          <w:rFonts w:ascii="Times New Roman" w:hAnsi="Times New Roman" w:eastAsia="Times New Roman"/>
          <w:sz w:val="24"/>
        </w:rPr>
        <w:t xml:space="preserve">(Chandra et al., 2025; Nguyen et al., 2025)</w:t>
      </w:r>
      <w:r>
        <w:rPr>
          <w:rFonts w:ascii="Times New Roman" w:hAnsi="Times New Roman" w:eastAsia="Times New Roman"/>
          <w:sz w:val="24"/>
        </w:rPr>
        <w:t xml:space="preserve">, while our cross-region ablations show that auxiliary geometry can reverse model ordering. The contribution is therefore the controlled characterization of terrain conditioning under geographic shift, including evidence against a uniform advantage.</w:t>
      </w:r>
    </w:p>
    <w:p>
      <w:pPr>
        <w:pStyle w:val="BodyText"/>
        <w:spacing w:line="480" w:lineRule="auto" w:after="0"/>
      </w:pPr>
      <w:r>
        <w:rPr>
          <w:rFonts w:ascii="Times New Roman" w:hAnsi="Times New Roman" w:eastAsia="Times New Roman"/>
          <w:sz w:val="24"/>
        </w:rPr>
        <w:t xml:space="preserve">The construct audit changes the interpretation of the slope loss. Genuine positives inside the penalty mask arise through runout, raster alignment, and terrain-model uncertainty; suppressing them can increase precision while reducing recall. A hard</w:t>
      </w:r>
      <w:r>
        <w:rPr>
          <w:rFonts w:ascii="Times New Roman" w:hAnsi="Times New Roman" w:eastAsia="Times New Roman"/>
          <w:sz w:val="24"/>
        </w:rPr>
        <w:t xml:space="preserve"> </w:t>
      </w:r>
      <w:r>
        <w:rPr>
          <w:rFonts w:ascii="Times New Roman" w:hAnsi="Times New Roman" w:eastAsia="Times New Roman"/>
          <w:sz w:val="24"/>
        </w:rPr>
        <w:t xml:space="preserve">“impossible terrain”</w:t>
      </w:r>
      <w:r>
        <w:rPr>
          <w:rFonts w:ascii="Times New Roman" w:hAnsi="Times New Roman" w:eastAsia="Times New Roman"/>
          <w:sz w:val="24"/>
        </w:rPr>
        <w:t xml:space="preserve"> </w:t>
      </w:r>
      <w:r>
        <w:rPr>
          <w:rFonts w:ascii="Times New Roman" w:hAnsi="Times New Roman" w:eastAsia="Times New Roman"/>
          <w:sz w:val="24"/>
        </w:rPr>
        <w:t xml:space="preserve">label would be unsupported. Likewise, seed-42 terrain-stratum differences are descriptive because seed repetition does not preserve their magnitude or sign.</w:t>
      </w:r>
    </w:p>
    <w:p>
      <w:pPr>
        <w:pStyle w:val="BodyText"/>
        <w:spacing w:line="480" w:lineRule="auto" w:after="0"/>
      </w:pPr>
      <w:r>
        <w:rPr>
          <w:rFonts w:ascii="Times New Roman" w:hAnsi="Times New Roman" w:eastAsia="Times New Roman"/>
          <w:sz w:val="24"/>
        </w:rPr>
        <w:t xml:space="preserve">Operationally, the component and corridor analyses resemble recent efforts to connect mapped debris with transport access</w:t>
      </w:r>
      <w:r>
        <w:rPr>
          <w:rFonts w:ascii="Times New Roman" w:hAnsi="Times New Roman" w:eastAsia="Times New Roman"/>
          <w:sz w:val="24"/>
        </w:rPr>
        <w:t xml:space="preserve"> </w:t>
      </w:r>
      <w:r>
        <w:rPr>
          <w:rFonts w:ascii="Times New Roman" w:hAnsi="Times New Roman" w:eastAsia="Times New Roman"/>
          <w:sz w:val="24"/>
        </w:rPr>
        <w:t xml:space="preserve">(Bayat et al., 2026)</w:t>
      </w:r>
      <w:r>
        <w:rPr>
          <w:rFonts w:ascii="Times New Roman" w:hAnsi="Times New Roman" w:eastAsia="Times New Roman"/>
          <w:sz w:val="24"/>
        </w:rPr>
        <w:t xml:space="preserve">, but they remain retrospective. The Pish corridor result is encouraging; the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miss falsifies any claim of region-independent completeness. Prospective evaluation with warning services or road authorities must measure acquisition delay, review burden, missed-event cost, and decision outcomes before deployment.</w:t>
      </w:r>
    </w:p>
    <w:p>
      <w:pPr>
        <w:pStyle w:val="BodyText"/>
        <w:spacing w:line="480" w:lineRule="auto" w:after="0"/>
      </w:pPr>
      <w:r>
        <w:rPr>
          <w:rFonts w:ascii="Times New Roman" w:hAnsi="Times New Roman" w:eastAsia="Times New Roman"/>
          <w:sz w:val="24"/>
        </w:rPr>
        <w:t xml:space="preserve">Limitations include seven events from one benchmark, three training seeds, correlated spatial blocks, threshold calibration on only two scenes, incomplete event metadata for size analysis outside Troms</w:t>
      </w:r>
      <w:r>
        <w:rPr>
          <w:rFonts w:ascii="Times New Roman" w:hAnsi="Times New Roman" w:eastAsia="Times New Roman"/>
          <w:sz w:val="24"/>
        </w:rPr>
        <w:t xml:space="preserve">ø</w:t>
      </w:r>
      <w:r>
        <w:rPr>
          <w:rFonts w:ascii="Times New Roman" w:hAnsi="Times New Roman" w:eastAsia="Times New Roman"/>
          <w:sz w:val="24"/>
        </w:rPr>
        <w:t xml:space="preserve">, and the non-equivariant directional augmentation inherited by the released checkpoints. Sentinel-1 C-band also has an irreducible shadow boundary in very steep relief. Future validation in the Indian Himalaya would be valuable, but this study contains no Indian test data and makes no India-specific accuracy claim. Application to RISAT or NISAR would require sensor-specific calibration and independent Himalayan labels.</w:t>
      </w:r>
    </w:p>
    <w:bookmarkEnd w:id="30"/>
    <w:bookmarkStart w:id="31" w:name="conclusion"/>
    <w:p>
      <w:pPr>
        <w:pStyle w:val="Heading1"/>
        <w:spacing w:line="480" w:lineRule="auto" w:after="0"/>
      </w:pPr>
      <w:r>
        <w:rPr>
          <w:rFonts w:ascii="Times New Roman" w:hAnsi="Times New Roman" w:eastAsia="Times New Roman"/>
          <w:sz w:val="24"/>
        </w:rPr>
        <w:t xml:space="preserve">Conclusion</w:t>
      </w:r>
    </w:p>
    <w:p>
      <w:pPr>
        <w:pStyle w:val="FirstParagraph"/>
        <w:spacing w:line="480" w:lineRule="auto" w:after="0"/>
      </w:pPr>
      <w:r>
        <w:rPr>
          <w:rFonts w:ascii="Times New Roman" w:hAnsi="Times New Roman" w:eastAsia="Times New Roman"/>
          <w:sz w:val="24"/>
        </w:rPr>
        <w:t xml:space="preserve">Terrain-conditioned cross-attention provides competitive Sentinel-1 avalanche-debris segmentation and useful failure diagnostics, but it is not uniformly superior to standard change networks. TopoRadar-Net reaches</w:t>
      </w:r>
      <w:r>
        <w:rPr>
          <w:rFonts w:ascii="Times New Roman" w:hAnsi="Times New Roman" w:eastAsia="Times New Roman"/>
          <w:sz w:val="24"/>
        </w:rPr>
        <w:t xml:space="preserve"> </w:t>
      </w:r>
      <m:oMath>
        <m:r>
          <m:t>63.79</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pooled macro F1 across two unseen mountain systems; only its margin over SiamUNet-diff is significant across seeds. Aspect and cross-attention ablations improve pooled F1, and the slope prior suppresses genuine positives. The corridor proxy succeeds in Pish but fails on the only Troms</w:t>
      </w:r>
      <w:r>
        <w:rPr>
          <w:rFonts w:ascii="Times New Roman" w:hAnsi="Times New Roman" w:eastAsia="Times New Roman"/>
          <w:sz w:val="24"/>
        </w:rPr>
        <w:t xml:space="preserve">ø</w:t>
      </w:r>
      <w:r>
        <w:rPr>
          <w:rFonts w:ascii="Times New Roman" w:hAnsi="Times New Roman" w:eastAsia="Times New Roman"/>
          <w:sz w:val="24"/>
        </w:rPr>
        <w:t xml:space="preserve"> </w:t>
      </w:r>
      <w:r>
        <w:rPr>
          <w:rFonts w:ascii="Times New Roman" w:hAnsi="Times New Roman" w:eastAsia="Times New Roman"/>
          <w:sz w:val="24"/>
        </w:rPr>
        <w:t xml:space="preserve">corridor event. The defensible conclusion is therefore bounded: radar-topographic conditioning can alter regional precision and recall, while cross-region reliability still requires explicit validation.</w:t>
      </w:r>
    </w:p>
    <w:bookmarkEnd w:id="31"/>
    <w:bookmarkStart w:id="33" w:name="Xa289a65e6ec38d749b9a3a048b9f8b122819b0a"/>
    <w:p>
      <w:pPr>
        <w:pStyle w:val="Heading1"/>
        <w:spacing w:line="480" w:lineRule="auto" w:after="0"/>
      </w:pPr>
      <w:r>
        <w:rPr>
          <w:rFonts w:ascii="Times New Roman" w:hAnsi="Times New Roman" w:eastAsia="Times New Roman"/>
          <w:sz w:val="24"/>
        </w:rPr>
        <w:t xml:space="preserve">Data Availability/Supplementary Information</w:t>
      </w:r>
    </w:p>
    <w:p>
      <w:pPr>
        <w:pStyle w:val="FirstParagraph"/>
        <w:spacing w:line="480" w:lineRule="auto" w:after="0"/>
      </w:pPr>
      <w:r>
        <w:rPr>
          <w:rFonts w:ascii="Times New Roman" w:hAnsi="Times New Roman" w:eastAsia="Times New Roman"/>
          <w:sz w:val="24"/>
        </w:rPr>
        <w:t xml:space="preserve">The AvalCD benchmark is publicly available at</w:t>
      </w:r>
      <w:r>
        <w:rPr>
          <w:rFonts w:ascii="Times New Roman" w:hAnsi="Times New Roman" w:eastAsia="Times New Roman"/>
          <w:sz w:val="24"/>
        </w:rPr>
        <w:t xml:space="preserve"> </w:t>
      </w:r>
      <w:hyperlink r:id="rId32">
        <w:r>
          <w:rPr>
            <w:rStyle w:val="Hyperlink"/>
          </w:rPr>
          <w:t xml:space="preserve">https://doi.org/10.5281/zenodo.15863589</w:t>
        </w:r>
      </w:hyperlink>
      <w:r>
        <w:rPr>
          <w:rFonts w:ascii="Times New Roman" w:hAnsi="Times New Roman" w:eastAsia="Times New Roman"/>
          <w:sz w:val="24"/>
        </w:rPr>
        <w:t xml:space="preserve">. Online Resource 1 contains extended methods, complete statistical and subgroup results, and reproducibility identifiers. Code and checkpoint files are publicly archived; the identifying repository URL is withheld from the anonymous manuscript and supplied separately to the editorial office for double-blind review.</w:t>
      </w:r>
    </w:p>
    <w:bookmarkEnd w:id="33"/>
    <w:bookmarkStart w:id="68" w:name="statements-and-declarations"/>
    <w:p>
      <w:pPr>
        <w:pStyle w:val="Heading1"/>
        <w:spacing w:line="480" w:lineRule="auto" w:after="0"/>
      </w:pPr>
      <w:r>
        <w:rPr>
          <w:rFonts w:ascii="Times New Roman" w:hAnsi="Times New Roman" w:eastAsia="Times New Roman"/>
          <w:sz w:val="24"/>
        </w:rPr>
        <w:t xml:space="preserve">Statements and Declarations</w:t>
      </w:r>
    </w:p>
    <w:p>
      <w:pPr>
        <w:pStyle w:val="FirstParagraph"/>
        <w:spacing w:line="480" w:lineRule="auto" w:after="0"/>
      </w:pPr>
      <w:r>
        <w:rPr>
          <w:rFonts w:ascii="Times New Roman" w:hAnsi="Times New Roman" w:eastAsia="Times New Roman"/>
          <w:b/>
          <w:bCs/>
          <w:sz w:val="24"/>
        </w:rPr>
        <w:t xml:space="preserve">Funding.</w:t>
      </w:r>
      <w:r>
        <w:rPr>
          <w:rFonts w:ascii="Times New Roman" w:hAnsi="Times New Roman" w:eastAsia="Times New Roman"/>
          <w:sz w:val="24"/>
        </w:rPr>
        <w:t xml:space="preserve"> </w:t>
      </w:r>
      <w:r>
        <w:rPr>
          <w:rFonts w:ascii="Times New Roman" w:hAnsi="Times New Roman" w:eastAsia="Times New Roman"/>
          <w:sz w:val="24"/>
        </w:rPr>
        <w:t xml:space="preserve">No external grant funding was received for this study.</w:t>
      </w:r>
    </w:p>
    <w:p>
      <w:pPr>
        <w:pStyle w:val="BodyText"/>
        <w:spacing w:line="480" w:lineRule="auto" w:after="0"/>
      </w:pPr>
      <w:r>
        <w:rPr>
          <w:rFonts w:ascii="Times New Roman" w:hAnsi="Times New Roman" w:eastAsia="Times New Roman"/>
          <w:b/>
          <w:bCs/>
          <w:sz w:val="24"/>
        </w:rPr>
        <w:t xml:space="preserve">Competing interests.</w:t>
      </w:r>
      <w:r>
        <w:rPr>
          <w:rFonts w:ascii="Times New Roman" w:hAnsi="Times New Roman" w:eastAsia="Times New Roman"/>
          <w:sz w:val="24"/>
        </w:rPr>
        <w:t xml:space="preserve"> </w:t>
      </w:r>
      <w:r>
        <w:rPr>
          <w:rFonts w:ascii="Times New Roman" w:hAnsi="Times New Roman" w:eastAsia="Times New Roman"/>
          <w:sz w:val="24"/>
        </w:rPr>
        <w:t xml:space="preserve">The authors declare no competing financial or non-financial interests.</w:t>
      </w:r>
    </w:p>
    <w:p>
      <w:pPr>
        <w:pStyle w:val="BodyText"/>
        <w:spacing w:line="480" w:lineRule="auto" w:after="0"/>
      </w:pPr>
      <w:r>
        <w:rPr>
          <w:rFonts w:ascii="Times New Roman" w:hAnsi="Times New Roman" w:eastAsia="Times New Roman"/>
          <w:b/>
          <w:bCs/>
          <w:sz w:val="24"/>
        </w:rPr>
        <w:t xml:space="preserve">Ethics approval and consent.</w:t>
      </w:r>
      <w:r>
        <w:rPr>
          <w:rFonts w:ascii="Times New Roman" w:hAnsi="Times New Roman" w:eastAsia="Times New Roman"/>
          <w:sz w:val="24"/>
        </w:rPr>
        <w:t xml:space="preserve"> </w:t>
      </w:r>
      <w:r>
        <w:rPr>
          <w:rFonts w:ascii="Times New Roman" w:hAnsi="Times New Roman" w:eastAsia="Times New Roman"/>
          <w:sz w:val="24"/>
        </w:rPr>
        <w:t xml:space="preserve">Not applicable; the study uses public remote-sensing data and contains no human participants or animals.</w:t>
      </w:r>
    </w:p>
    <w:p>
      <w:pPr>
        <w:pStyle w:val="BodyText"/>
        <w:spacing w:line="480" w:lineRule="auto" w:after="0"/>
      </w:pPr>
      <w:r>
        <w:rPr>
          <w:rFonts w:ascii="Times New Roman" w:hAnsi="Times New Roman" w:eastAsia="Times New Roman"/>
          <w:b/>
          <w:bCs/>
          <w:sz w:val="24"/>
        </w:rPr>
        <w:t xml:space="preserve">Consent for publication.</w:t>
      </w:r>
      <w:r>
        <w:rPr>
          <w:rFonts w:ascii="Times New Roman" w:hAnsi="Times New Roman" w:eastAsia="Times New Roman"/>
          <w:sz w:val="24"/>
        </w:rPr>
        <w:t xml:space="preserve"> </w:t>
      </w:r>
      <w:r>
        <w:rPr>
          <w:rFonts w:ascii="Times New Roman" w:hAnsi="Times New Roman" w:eastAsia="Times New Roman"/>
          <w:sz w:val="24"/>
        </w:rPr>
        <w:t xml:space="preserve">Not applicable.</w:t>
      </w:r>
    </w:p>
    <w:p>
      <w:pPr>
        <w:pStyle w:val="BodyText"/>
        <w:spacing w:line="480" w:lineRule="auto" w:after="0"/>
      </w:pPr>
      <w:r>
        <w:rPr>
          <w:rFonts w:ascii="Times New Roman" w:hAnsi="Times New Roman" w:eastAsia="Times New Roman"/>
          <w:b/>
          <w:bCs/>
          <w:sz w:val="24"/>
        </w:rPr>
        <w:t xml:space="preserve">Author contributions.</w:t>
      </w:r>
      <w:r>
        <w:rPr>
          <w:rFonts w:ascii="Times New Roman" w:hAnsi="Times New Roman" w:eastAsia="Times New Roman"/>
          <w:sz w:val="24"/>
        </w:rPr>
        <w:t xml:space="preserve"> </w:t>
      </w:r>
      <w:r>
        <w:rPr>
          <w:rFonts w:ascii="Times New Roman" w:hAnsi="Times New Roman" w:eastAsia="Times New Roman"/>
          <w:sz w:val="24"/>
        </w:rPr>
        <w:t xml:space="preserve">The complete CRediT statement is provided on the separate title page.</w:t>
      </w:r>
    </w:p>
    <w:p>
      <w:pPr>
        <w:pStyle w:val="BodyText"/>
        <w:spacing w:line="480" w:lineRule="auto" w:after="0"/>
      </w:pPr>
      <w:r>
        <w:rPr>
          <w:rFonts w:ascii="Times New Roman" w:hAnsi="Times New Roman" w:eastAsia="Times New Roman"/>
          <w:b/>
          <w:bCs/>
          <w:sz w:val="24"/>
        </w:rPr>
        <w:t xml:space="preserve">AI disclosure.</w:t>
      </w:r>
      <w:r>
        <w:rPr>
          <w:rFonts w:ascii="Times New Roman" w:hAnsi="Times New Roman" w:eastAsia="Times New Roman"/>
          <w:sz w:val="24"/>
        </w:rPr>
        <w:t xml:space="preserve"> </w:t>
      </w:r>
      <w:r>
        <w:rPr>
          <w:rFonts w:ascii="Times New Roman" w:hAnsi="Times New Roman" w:eastAsia="Times New Roman"/>
          <w:sz w:val="24"/>
        </w:rPr>
        <w:t xml:space="preserve">Generative AI assistance is documented in the Methods section. The authors retain responsibility for all code, analyses, citations, and text.</w:t>
      </w:r>
    </w:p>
    <w:bookmarkStart w:id="67" w:name="refs"/>
    <w:bookmarkStart w:id="35" w:name="ref-ahmad2026avalanche"/>
    <w:p>
      <w:pPr>
        <w:pStyle w:val="Bibliography"/>
        <w:spacing w:line="480" w:lineRule="auto" w:after="0"/>
      </w:pPr>
      <w:r>
        <w:rPr>
          <w:rFonts w:ascii="Times New Roman" w:hAnsi="Times New Roman" w:eastAsia="Times New Roman"/>
          <w:sz w:val="24"/>
        </w:rPr>
        <w:t xml:space="preserve">Ahmad, I., Mallick, J., Hang, H. T., Rihan, M., &amp; Bakshi, A. (2026). An explainable bayesian-optimized hybrid deep learning framework with attention mechanisms for modeling snow avalanche susceptibility.</w:t>
      </w:r>
      <w:r>
        <w:rPr>
          <w:rFonts w:ascii="Times New Roman" w:hAnsi="Times New Roman" w:eastAsia="Times New Roman"/>
          <w:sz w:val="24"/>
        </w:rPr>
        <w:t xml:space="preserve"> </w:t>
      </w:r>
      <w:r>
        <w:rPr>
          <w:rFonts w:ascii="Times New Roman" w:hAnsi="Times New Roman" w:eastAsia="Times New Roman"/>
          <w:i/>
          <w:iCs/>
          <w:sz w:val="24"/>
        </w:rPr>
        <w:t xml:space="preserve">Journal of the Indian Society of Remote Sensing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54</w:t>
      </w:r>
      <w:r>
        <w:rPr>
          <w:rFonts w:ascii="Times New Roman" w:hAnsi="Times New Roman" w:eastAsia="Times New Roman"/>
          <w:sz w:val="24"/>
        </w:rPr>
        <w:t xml:space="preserve">(7), 2749–2773.</w:t>
      </w:r>
      <w:r>
        <w:rPr>
          <w:rFonts w:ascii="Times New Roman" w:hAnsi="Times New Roman" w:eastAsia="Times New Roman"/>
          <w:sz w:val="24"/>
        </w:rPr>
        <w:t xml:space="preserve"> </w:t>
      </w:r>
      <w:hyperlink r:id="rId34">
        <w:r>
          <w:rPr>
            <w:rStyle w:val="Hyperlink"/>
          </w:rPr>
          <w:t xml:space="preserve">https://doi.org/10.1007/s12524-026-02459-1</w:t>
        </w:r>
      </w:hyperlink>
    </w:p>
    <w:bookmarkEnd w:id="35"/>
    <w:bookmarkStart w:id="37" w:name="ref-arjasakusuma2024sar"/>
    <w:p>
      <w:pPr>
        <w:pStyle w:val="Bibliography"/>
        <w:spacing w:line="480" w:lineRule="auto" w:after="0"/>
      </w:pPr>
      <w:r>
        <w:rPr>
          <w:rFonts w:ascii="Times New Roman" w:hAnsi="Times New Roman" w:eastAsia="Times New Roman"/>
          <w:sz w:val="24"/>
        </w:rPr>
        <w:t xml:space="preserve">Arjasakusuma, S., &amp; Kusuma, S. S. (2025). Assessment of deep learning based image segmentation for identifying floating net cages from very high-resolution capella synthetic aperture radar (</w:t>
      </w:r>
      <w:r>
        <w:rPr>
          <w:rFonts w:ascii="Times New Roman" w:hAnsi="Times New Roman" w:eastAsia="Times New Roman"/>
          <w:sz w:val="24"/>
        </w:rPr>
        <w:t xml:space="preserve">SAR</w:t>
      </w:r>
      <w:r>
        <w:rPr>
          <w:rFonts w:ascii="Times New Roman" w:hAnsi="Times New Roman" w:eastAsia="Times New Roman"/>
          <w:sz w:val="24"/>
        </w:rPr>
        <w:t xml:space="preserve">) data.</w:t>
      </w:r>
      <w:r>
        <w:rPr>
          <w:rFonts w:ascii="Times New Roman" w:hAnsi="Times New Roman" w:eastAsia="Times New Roman"/>
          <w:sz w:val="24"/>
        </w:rPr>
        <w:t xml:space="preserve"> </w:t>
      </w:r>
      <w:r>
        <w:rPr>
          <w:rFonts w:ascii="Times New Roman" w:hAnsi="Times New Roman" w:eastAsia="Times New Roman"/>
          <w:i/>
          <w:iCs/>
          <w:sz w:val="24"/>
        </w:rPr>
        <w:t xml:space="preserve">Journal of the Indian Society of Remote Sensing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53</w:t>
      </w:r>
      <w:r>
        <w:rPr>
          <w:rFonts w:ascii="Times New Roman" w:hAnsi="Times New Roman" w:eastAsia="Times New Roman"/>
          <w:sz w:val="24"/>
        </w:rPr>
        <w:t xml:space="preserve">(2), 485–499.</w:t>
      </w:r>
      <w:r>
        <w:rPr>
          <w:rFonts w:ascii="Times New Roman" w:hAnsi="Times New Roman" w:eastAsia="Times New Roman"/>
          <w:sz w:val="24"/>
        </w:rPr>
        <w:t xml:space="preserve"> </w:t>
      </w:r>
      <w:hyperlink r:id="rId36">
        <w:r>
          <w:rPr>
            <w:rStyle w:val="Hyperlink"/>
          </w:rPr>
          <w:t xml:space="preserve">https://doi.org/10.1007/s12524-024-02022-w</w:t>
        </w:r>
      </w:hyperlink>
    </w:p>
    <w:bookmarkEnd w:id="37"/>
    <w:bookmarkStart w:id="39" w:name="ref-bayat2026debris"/>
    <w:p>
      <w:pPr>
        <w:pStyle w:val="Bibliography"/>
        <w:spacing w:line="480" w:lineRule="auto" w:after="0"/>
      </w:pPr>
      <w:r>
        <w:rPr>
          <w:rFonts w:ascii="Times New Roman" w:hAnsi="Times New Roman" w:eastAsia="Times New Roman"/>
          <w:sz w:val="24"/>
        </w:rPr>
        <w:t xml:space="preserve">Bayat, Z., Dindar, S., &amp; Erkal, B. G. (2026). Deep learning for post-earthquake road blockage and debris detection in resource-limited contexts.</w:t>
      </w:r>
      <w:r>
        <w:rPr>
          <w:rFonts w:ascii="Times New Roman" w:hAnsi="Times New Roman" w:eastAsia="Times New Roman"/>
          <w:sz w:val="24"/>
        </w:rPr>
        <w:t xml:space="preserve"> </w:t>
      </w:r>
      <w:r>
        <w:rPr>
          <w:rFonts w:ascii="Times New Roman" w:hAnsi="Times New Roman" w:eastAsia="Times New Roman"/>
          <w:i/>
          <w:iCs/>
          <w:sz w:val="24"/>
        </w:rPr>
        <w:t xml:space="preserve">Journal of the Indian Society of Remote Sensing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54</w:t>
      </w:r>
      <w:r>
        <w:rPr>
          <w:rFonts w:ascii="Times New Roman" w:hAnsi="Times New Roman" w:eastAsia="Times New Roman"/>
          <w:sz w:val="24"/>
        </w:rPr>
        <w:t xml:space="preserve">(3), 1257–1285.</w:t>
      </w:r>
      <w:r>
        <w:rPr>
          <w:rFonts w:ascii="Times New Roman" w:hAnsi="Times New Roman" w:eastAsia="Times New Roman"/>
          <w:sz w:val="24"/>
        </w:rPr>
        <w:t xml:space="preserve"> </w:t>
      </w:r>
      <w:hyperlink r:id="rId38">
        <w:r>
          <w:rPr>
            <w:rStyle w:val="Hyperlink"/>
          </w:rPr>
          <w:t xml:space="preserve">https://doi.org/10.1007/s12524-025-02394-7</w:t>
        </w:r>
      </w:hyperlink>
    </w:p>
    <w:bookmarkEnd w:id="39"/>
    <w:bookmarkStart w:id="41" w:name="ref-bianchi2021snow"/>
    <w:p>
      <w:pPr>
        <w:pStyle w:val="Bibliography"/>
        <w:spacing w:line="480" w:lineRule="auto" w:after="0"/>
      </w:pPr>
      <w:r>
        <w:rPr>
          <w:rFonts w:ascii="Times New Roman" w:hAnsi="Times New Roman" w:eastAsia="Times New Roman"/>
          <w:sz w:val="24"/>
        </w:rPr>
        <w:t xml:space="preserve">Bianchi, F. M., Grahn, J., Eckerstorfer, M., Malnes, E., &amp; Vickers, H. (2021). Snow avalanche segmentation in</w:t>
      </w:r>
      <w:r>
        <w:rPr>
          <w:rFonts w:ascii="Times New Roman" w:hAnsi="Times New Roman" w:eastAsia="Times New Roman"/>
          <w:sz w:val="24"/>
        </w:rPr>
        <w:t xml:space="preserve"> </w:t>
      </w:r>
      <w:r>
        <w:rPr>
          <w:rFonts w:ascii="Times New Roman" w:hAnsi="Times New Roman" w:eastAsia="Times New Roman"/>
          <w:sz w:val="24"/>
        </w:rPr>
        <w:t xml:space="preserve">SAR</w:t>
      </w:r>
      <w:r>
        <w:rPr>
          <w:rFonts w:ascii="Times New Roman" w:hAnsi="Times New Roman" w:eastAsia="Times New Roman"/>
          <w:sz w:val="24"/>
        </w:rPr>
        <w:t xml:space="preserve"> </w:t>
      </w:r>
      <w:r>
        <w:rPr>
          <w:rFonts w:ascii="Times New Roman" w:hAnsi="Times New Roman" w:eastAsia="Times New Roman"/>
          <w:sz w:val="24"/>
        </w:rPr>
        <w:t xml:space="preserve">images with fully convolutional neural networks.</w:t>
      </w:r>
      <w:r>
        <w:rPr>
          <w:rFonts w:ascii="Times New Roman" w:hAnsi="Times New Roman" w:eastAsia="Times New Roman"/>
          <w:sz w:val="24"/>
        </w:rPr>
        <w:t xml:space="preserve"> </w:t>
      </w:r>
      <w:r>
        <w:rPr>
          <w:rFonts w:ascii="Times New Roman" w:hAnsi="Times New Roman" w:eastAsia="Times New Roman"/>
          <w:i/>
          <w:iCs/>
          <w:sz w:val="24"/>
        </w:rPr>
        <w:t xml:space="preserve">IEEE Journal of Selected Topics in Applied Earth Observations and Remote Sensing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14</w:t>
      </w:r>
      <w:r>
        <w:rPr>
          <w:rFonts w:ascii="Times New Roman" w:hAnsi="Times New Roman" w:eastAsia="Times New Roman"/>
          <w:sz w:val="24"/>
        </w:rPr>
        <w:t xml:space="preserve">, 75–82.</w:t>
      </w:r>
      <w:r>
        <w:rPr>
          <w:rFonts w:ascii="Times New Roman" w:hAnsi="Times New Roman" w:eastAsia="Times New Roman"/>
          <w:sz w:val="24"/>
        </w:rPr>
        <w:t xml:space="preserve"> </w:t>
      </w:r>
      <w:hyperlink r:id="rId40">
        <w:r>
          <w:rPr>
            <w:rStyle w:val="Hyperlink"/>
          </w:rPr>
          <w:t xml:space="preserve">https://doi.org/10.1109/JSTARS.2020.3036914</w:t>
        </w:r>
      </w:hyperlink>
    </w:p>
    <w:bookmarkEnd w:id="41"/>
    <w:bookmarkStart w:id="43" w:name="ref-daudt2018fully"/>
    <w:p>
      <w:pPr>
        <w:pStyle w:val="Bibliography"/>
        <w:spacing w:line="480" w:lineRule="auto" w:after="0"/>
      </w:pPr>
      <w:r>
        <w:rPr>
          <w:rFonts w:ascii="Times New Roman" w:hAnsi="Times New Roman" w:eastAsia="Times New Roman"/>
          <w:sz w:val="24"/>
        </w:rPr>
        <w:t xml:space="preserve">Caye Daudt, R., Le Saux, B., &amp; Boulch, A. (2018). Fully convolutional siamese networks for change detection.</w:t>
      </w:r>
      <w:r>
        <w:rPr>
          <w:rFonts w:ascii="Times New Roman" w:hAnsi="Times New Roman" w:eastAsia="Times New Roman"/>
          <w:sz w:val="24"/>
        </w:rPr>
        <w:t xml:space="preserve"> </w:t>
      </w:r>
      <w:r>
        <w:rPr>
          <w:rFonts w:ascii="Times New Roman" w:hAnsi="Times New Roman" w:eastAsia="Times New Roman"/>
          <w:i/>
          <w:iCs/>
          <w:sz w:val="24"/>
        </w:rPr>
        <w:t xml:space="preserve">2018 25th IEEE International Conference on Image Processing (ICIP)</w:t>
      </w:r>
      <w:r>
        <w:rPr>
          <w:rFonts w:ascii="Times New Roman" w:hAnsi="Times New Roman" w:eastAsia="Times New Roman"/>
          <w:sz w:val="24"/>
        </w:rPr>
        <w:t xml:space="preserve">, 4063–4067.</w:t>
      </w:r>
      <w:r>
        <w:rPr>
          <w:rFonts w:ascii="Times New Roman" w:hAnsi="Times New Roman" w:eastAsia="Times New Roman"/>
          <w:sz w:val="24"/>
        </w:rPr>
        <w:t xml:space="preserve"> </w:t>
      </w:r>
      <w:hyperlink r:id="rId42">
        <w:r>
          <w:rPr>
            <w:rStyle w:val="Hyperlink"/>
          </w:rPr>
          <w:t xml:space="preserve">https://doi.org/10.1109/ICIP.2018.8451652</w:t>
        </w:r>
      </w:hyperlink>
    </w:p>
    <w:bookmarkEnd w:id="43"/>
    <w:bookmarkStart w:id="45" w:name="ref-chandra2025landslide"/>
    <w:p>
      <w:pPr>
        <w:pStyle w:val="Bibliography"/>
        <w:spacing w:line="480" w:lineRule="auto" w:after="0"/>
      </w:pPr>
      <w:r>
        <w:rPr>
          <w:rFonts w:ascii="Times New Roman" w:hAnsi="Times New Roman" w:eastAsia="Times New Roman"/>
          <w:sz w:val="24"/>
        </w:rPr>
        <w:t xml:space="preserve">Chandra, N., Vaidya, H., Chauhan, P., &amp; Shaw, R. (2025).</w:t>
      </w:r>
      <w:r>
        <w:rPr>
          <w:rFonts w:ascii="Times New Roman" w:hAnsi="Times New Roman" w:eastAsia="Times New Roman"/>
          <w:sz w:val="24"/>
        </w:rPr>
        <w:t xml:space="preserve"> </w:t>
      </w:r>
      <w:r>
        <w:rPr>
          <w:rFonts w:ascii="Times New Roman" w:hAnsi="Times New Roman" w:eastAsia="Times New Roman"/>
          <w:sz w:val="24"/>
        </w:rPr>
        <w:t xml:space="preserve">YOLOv5</w:t>
      </w:r>
      <w:r>
        <w:rPr>
          <w:rFonts w:ascii="Times New Roman" w:hAnsi="Times New Roman" w:eastAsia="Times New Roman"/>
          <w:sz w:val="24"/>
        </w:rPr>
        <w:t xml:space="preserve"> </w:t>
      </w:r>
      <w:r>
        <w:rPr>
          <w:rFonts w:ascii="Times New Roman" w:hAnsi="Times New Roman" w:eastAsia="Times New Roman"/>
          <w:sz w:val="24"/>
        </w:rPr>
        <w:t xml:space="preserve">based on attention mechanism for landslide information extraction from multi-source remote sensing images of diverse geological environments.</w:t>
      </w:r>
      <w:r>
        <w:rPr>
          <w:rFonts w:ascii="Times New Roman" w:hAnsi="Times New Roman" w:eastAsia="Times New Roman"/>
          <w:sz w:val="24"/>
        </w:rPr>
        <w:t xml:space="preserve"> </w:t>
      </w:r>
      <w:r>
        <w:rPr>
          <w:rFonts w:ascii="Times New Roman" w:hAnsi="Times New Roman" w:eastAsia="Times New Roman"/>
          <w:i/>
          <w:iCs/>
          <w:sz w:val="24"/>
        </w:rPr>
        <w:t xml:space="preserve">Journal of the Indian Society of Remote Sensing</w:t>
      </w:r>
      <w:r>
        <w:rPr>
          <w:rFonts w:ascii="Times New Roman" w:hAnsi="Times New Roman" w:eastAsia="Times New Roman"/>
          <w:sz w:val="24"/>
        </w:rPr>
        <w:t xml:space="preserve">.</w:t>
      </w:r>
      <w:r>
        <w:rPr>
          <w:rFonts w:ascii="Times New Roman" w:hAnsi="Times New Roman" w:eastAsia="Times New Roman"/>
          <w:sz w:val="24"/>
        </w:rPr>
        <w:t xml:space="preserve"> </w:t>
      </w:r>
      <w:hyperlink r:id="rId44">
        <w:r>
          <w:rPr>
            <w:rStyle w:val="Hyperlink"/>
          </w:rPr>
          <w:t xml:space="preserve">https://doi.org/10.1007/s12524-025-02251-7</w:t>
        </w:r>
      </w:hyperlink>
    </w:p>
    <w:bookmarkEnd w:id="45"/>
    <w:bookmarkStart w:id="47" w:name="ref-eckerstorfer2017remote"/>
    <w:p>
      <w:pPr>
        <w:pStyle w:val="Bibliography"/>
        <w:spacing w:line="480" w:lineRule="auto" w:after="0"/>
      </w:pPr>
      <w:r>
        <w:rPr>
          <w:rFonts w:ascii="Times New Roman" w:hAnsi="Times New Roman" w:eastAsia="Times New Roman"/>
          <w:sz w:val="24"/>
        </w:rPr>
        <w:t xml:space="preserve">Eckerstorfer, M., Malnes, E., &amp; Müller, K. (2017). A complete snow avalanche activity record from a norwegian forecasting region using</w:t>
      </w:r>
      <w:r>
        <w:rPr>
          <w:rFonts w:ascii="Times New Roman" w:hAnsi="Times New Roman" w:eastAsia="Times New Roman"/>
          <w:sz w:val="24"/>
        </w:rPr>
        <w:t xml:space="preserve"> </w:t>
      </w:r>
      <w:r>
        <w:rPr>
          <w:rFonts w:ascii="Times New Roman" w:hAnsi="Times New Roman" w:eastAsia="Times New Roman"/>
          <w:sz w:val="24"/>
        </w:rPr>
        <w:t xml:space="preserve">Sentinel-1</w:t>
      </w:r>
      <w:r>
        <w:rPr>
          <w:rFonts w:ascii="Times New Roman" w:hAnsi="Times New Roman" w:eastAsia="Times New Roman"/>
          <w:sz w:val="24"/>
        </w:rPr>
        <w:t xml:space="preserve"> </w:t>
      </w:r>
      <w:r>
        <w:rPr>
          <w:rFonts w:ascii="Times New Roman" w:hAnsi="Times New Roman" w:eastAsia="Times New Roman"/>
          <w:sz w:val="24"/>
        </w:rPr>
        <w:t xml:space="preserve">satellite-radar data.</w:t>
      </w:r>
      <w:r>
        <w:rPr>
          <w:rFonts w:ascii="Times New Roman" w:hAnsi="Times New Roman" w:eastAsia="Times New Roman"/>
          <w:sz w:val="24"/>
        </w:rPr>
        <w:t xml:space="preserve"> </w:t>
      </w:r>
      <w:r>
        <w:rPr>
          <w:rFonts w:ascii="Times New Roman" w:hAnsi="Times New Roman" w:eastAsia="Times New Roman"/>
          <w:i/>
          <w:iCs/>
          <w:sz w:val="24"/>
        </w:rPr>
        <w:t xml:space="preserve">Cold Regions Science and Technology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144</w:t>
      </w:r>
      <w:r>
        <w:rPr>
          <w:rFonts w:ascii="Times New Roman" w:hAnsi="Times New Roman" w:eastAsia="Times New Roman"/>
          <w:sz w:val="24"/>
        </w:rPr>
        <w:t xml:space="preserve">, 39–51.</w:t>
      </w:r>
      <w:r>
        <w:rPr>
          <w:rFonts w:ascii="Times New Roman" w:hAnsi="Times New Roman" w:eastAsia="Times New Roman"/>
          <w:sz w:val="24"/>
        </w:rPr>
        <w:t xml:space="preserve"> </w:t>
      </w:r>
      <w:hyperlink r:id="rId46">
        <w:r>
          <w:rPr>
            <w:rStyle w:val="Hyperlink"/>
          </w:rPr>
          <w:t xml:space="preserve">https://doi.org/10.1016/j.coldregions.2017.08.004</w:t>
        </w:r>
      </w:hyperlink>
    </w:p>
    <w:bookmarkEnd w:id="47"/>
    <w:bookmarkStart w:id="49" w:name="ref-muller2021synthetic"/>
    <w:p>
      <w:pPr>
        <w:pStyle w:val="Bibliography"/>
        <w:spacing w:line="480" w:lineRule="auto" w:after="0"/>
      </w:pPr>
      <w:r>
        <w:rPr>
          <w:rFonts w:ascii="Times New Roman" w:hAnsi="Times New Roman" w:eastAsia="Times New Roman"/>
          <w:sz w:val="24"/>
        </w:rPr>
        <w:t xml:space="preserve">Eckerstorfer, M., Müller, K., Malnes, E., &amp; Oterhals, H. D. (2021). Manual and automatic detection of dry snow avalanches in</w:t>
      </w:r>
      <w:r>
        <w:rPr>
          <w:rFonts w:ascii="Times New Roman" w:hAnsi="Times New Roman" w:eastAsia="Times New Roman"/>
          <w:sz w:val="24"/>
        </w:rPr>
        <w:t xml:space="preserve"> </w:t>
      </w:r>
      <w:r>
        <w:rPr>
          <w:rFonts w:ascii="Times New Roman" w:hAnsi="Times New Roman" w:eastAsia="Times New Roman"/>
          <w:sz w:val="24"/>
        </w:rPr>
        <w:t xml:space="preserve">Sentinel-1</w:t>
      </w:r>
      <w:r>
        <w:rPr>
          <w:rFonts w:ascii="Times New Roman" w:hAnsi="Times New Roman" w:eastAsia="Times New Roman"/>
          <w:sz w:val="24"/>
        </w:rPr>
        <w:t xml:space="preserve"> </w:t>
      </w:r>
      <w:r>
        <w:rPr>
          <w:rFonts w:ascii="Times New Roman" w:hAnsi="Times New Roman" w:eastAsia="Times New Roman"/>
          <w:sz w:val="24"/>
        </w:rPr>
        <w:t xml:space="preserve">SAR</w:t>
      </w:r>
      <w:r>
        <w:rPr>
          <w:rFonts w:ascii="Times New Roman" w:hAnsi="Times New Roman" w:eastAsia="Times New Roman"/>
          <w:sz w:val="24"/>
        </w:rPr>
        <w:t xml:space="preserve"> </w:t>
      </w:r>
      <w:r>
        <w:rPr>
          <w:rFonts w:ascii="Times New Roman" w:hAnsi="Times New Roman" w:eastAsia="Times New Roman"/>
          <w:sz w:val="24"/>
        </w:rPr>
        <w:t xml:space="preserve">images.</w:t>
      </w:r>
      <w:r>
        <w:rPr>
          <w:rFonts w:ascii="Times New Roman" w:hAnsi="Times New Roman" w:eastAsia="Times New Roman"/>
          <w:sz w:val="24"/>
        </w:rPr>
        <w:t xml:space="preserve"> </w:t>
      </w:r>
      <w:r>
        <w:rPr>
          <w:rFonts w:ascii="Times New Roman" w:hAnsi="Times New Roman" w:eastAsia="Times New Roman"/>
          <w:i/>
          <w:iCs/>
          <w:sz w:val="24"/>
        </w:rPr>
        <w:t xml:space="preserve">IEEE International Geoscience and Remote Sensing Symposium (IGARSS)</w:t>
      </w:r>
      <w:r>
        <w:rPr>
          <w:rFonts w:ascii="Times New Roman" w:hAnsi="Times New Roman" w:eastAsia="Times New Roman"/>
          <w:sz w:val="24"/>
        </w:rPr>
        <w:t xml:space="preserve">, 247–250.</w:t>
      </w:r>
      <w:r>
        <w:rPr>
          <w:rFonts w:ascii="Times New Roman" w:hAnsi="Times New Roman" w:eastAsia="Times New Roman"/>
          <w:sz w:val="24"/>
        </w:rPr>
        <w:t xml:space="preserve"> </w:t>
      </w:r>
      <w:hyperlink r:id="rId48">
        <w:r>
          <w:rPr>
            <w:rStyle w:val="Hyperlink"/>
          </w:rPr>
          <w:t xml:space="preserve">https://doi.org/10.1109/IGARSS47720.2021.9554370</w:t>
        </w:r>
      </w:hyperlink>
    </w:p>
    <w:bookmarkEnd w:id="49"/>
    <w:bookmarkStart w:id="51" w:name="ref-eckerstorfer2019near"/>
    <w:p>
      <w:pPr>
        <w:pStyle w:val="Bibliography"/>
        <w:spacing w:line="480" w:lineRule="auto" w:after="0"/>
      </w:pPr>
      <w:r>
        <w:rPr>
          <w:rFonts w:ascii="Times New Roman" w:hAnsi="Times New Roman" w:eastAsia="Times New Roman"/>
          <w:sz w:val="24"/>
        </w:rPr>
        <w:t xml:space="preserve">Eckerstorfer, M., Vickers, H., Malnes, E., &amp; Grahn, J. (2019). Near-real time automatic snow avalanche activity monitoring system using</w:t>
      </w:r>
      <w:r>
        <w:rPr>
          <w:rFonts w:ascii="Times New Roman" w:hAnsi="Times New Roman" w:eastAsia="Times New Roman"/>
          <w:sz w:val="24"/>
        </w:rPr>
        <w:t xml:space="preserve"> </w:t>
      </w:r>
      <w:r>
        <w:rPr>
          <w:rFonts w:ascii="Times New Roman" w:hAnsi="Times New Roman" w:eastAsia="Times New Roman"/>
          <w:sz w:val="24"/>
        </w:rPr>
        <w:t xml:space="preserve">Sentinel-1</w:t>
      </w:r>
      <w:r>
        <w:rPr>
          <w:rFonts w:ascii="Times New Roman" w:hAnsi="Times New Roman" w:eastAsia="Times New Roman"/>
          <w:sz w:val="24"/>
        </w:rPr>
        <w:t xml:space="preserve"> </w:t>
      </w:r>
      <w:r>
        <w:rPr>
          <w:rFonts w:ascii="Times New Roman" w:hAnsi="Times New Roman" w:eastAsia="Times New Roman"/>
          <w:sz w:val="24"/>
        </w:rPr>
        <w:t xml:space="preserve">SAR</w:t>
      </w:r>
      <w:r>
        <w:rPr>
          <w:rFonts w:ascii="Times New Roman" w:hAnsi="Times New Roman" w:eastAsia="Times New Roman"/>
          <w:sz w:val="24"/>
        </w:rPr>
        <w:t xml:space="preserve"> </w:t>
      </w:r>
      <w:r>
        <w:rPr>
          <w:rFonts w:ascii="Times New Roman" w:hAnsi="Times New Roman" w:eastAsia="Times New Roman"/>
          <w:sz w:val="24"/>
        </w:rPr>
        <w:t xml:space="preserve">data in</w:t>
      </w:r>
      <w:r>
        <w:rPr>
          <w:rFonts w:ascii="Times New Roman" w:hAnsi="Times New Roman" w:eastAsia="Times New Roman"/>
          <w:sz w:val="24"/>
        </w:rPr>
        <w:t xml:space="preserve"> </w:t>
      </w:r>
      <w:r>
        <w:rPr>
          <w:rFonts w:ascii="Times New Roman" w:hAnsi="Times New Roman" w:eastAsia="Times New Roman"/>
          <w:sz w:val="24"/>
        </w:rPr>
        <w:t xml:space="preserve">Norway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Remote Sensing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11</w:t>
      </w:r>
      <w:r>
        <w:rPr>
          <w:rFonts w:ascii="Times New Roman" w:hAnsi="Times New Roman" w:eastAsia="Times New Roman"/>
          <w:sz w:val="24"/>
        </w:rPr>
        <w:t xml:space="preserve">(23), 2863.</w:t>
      </w:r>
      <w:r>
        <w:rPr>
          <w:rFonts w:ascii="Times New Roman" w:hAnsi="Times New Roman" w:eastAsia="Times New Roman"/>
          <w:sz w:val="24"/>
        </w:rPr>
        <w:t xml:space="preserve"> </w:t>
      </w:r>
      <w:hyperlink r:id="rId50">
        <w:r>
          <w:rPr>
            <w:rStyle w:val="Hyperlink"/>
          </w:rPr>
          <w:t xml:space="preserve">https://doi.org/10.3390/rs11232863</w:t>
        </w:r>
      </w:hyperlink>
    </w:p>
    <w:bookmarkEnd w:id="51"/>
    <w:bookmarkStart w:id="53" w:name="ref-eaws2022size"/>
    <w:p>
      <w:pPr>
        <w:pStyle w:val="Bibliography"/>
        <w:spacing w:line="480" w:lineRule="auto" w:after="0"/>
      </w:pPr>
      <w:r>
        <w:rPr>
          <w:rFonts w:ascii="Times New Roman" w:hAnsi="Times New Roman" w:eastAsia="Times New Roman"/>
          <w:sz w:val="24"/>
        </w:rPr>
        <w:t xml:space="preserve">European Avalanche Warning Services. (2022).</w:t>
      </w:r>
      <w:r>
        <w:rPr>
          <w:rFonts w:ascii="Times New Roman" w:hAnsi="Times New Roman" w:eastAsia="Times New Roman"/>
          <w:sz w:val="24"/>
        </w:rPr>
        <w:t xml:space="preserve"> </w:t>
      </w:r>
      <w:r>
        <w:rPr>
          <w:rFonts w:ascii="Times New Roman" w:hAnsi="Times New Roman" w:eastAsia="Times New Roman"/>
          <w:i/>
          <w:iCs/>
          <w:sz w:val="24"/>
        </w:rPr>
        <w:t xml:space="preserve">Avalanche size classification standards (classes</w:t>
      </w:r>
      <w:r>
        <w:rPr>
          <w:rFonts w:ascii="Times New Roman" w:hAnsi="Times New Roman" w:eastAsia="Times New Roman"/>
          <w:i/>
          <w:iCs/>
          <w:sz w:val="24"/>
        </w:rPr>
        <w:t xml:space="preserve"> </w:t>
      </w:r>
      <w:r>
        <w:rPr>
          <w:rFonts w:ascii="Times New Roman" w:hAnsi="Times New Roman" w:eastAsia="Times New Roman"/>
          <w:i/>
          <w:iCs/>
          <w:sz w:val="24"/>
        </w:rPr>
        <w:t xml:space="preserve">D1</w:t>
      </w:r>
      <w:r>
        <w:rPr>
          <w:rFonts w:ascii="Times New Roman" w:hAnsi="Times New Roman" w:eastAsia="Times New Roman"/>
          <w:i/>
          <w:iCs/>
          <w:sz w:val="24"/>
        </w:rPr>
        <w:t xml:space="preserve"> </w:t>
      </w:r>
      <w:r>
        <w:rPr>
          <w:rFonts w:ascii="Times New Roman" w:hAnsi="Times New Roman" w:eastAsia="Times New Roman"/>
          <w:i/>
          <w:iCs/>
          <w:sz w:val="24"/>
        </w:rPr>
        <w:t xml:space="preserve">through</w:t>
      </w:r>
      <w:r>
        <w:rPr>
          <w:rFonts w:ascii="Times New Roman" w:hAnsi="Times New Roman" w:eastAsia="Times New Roman"/>
          <w:i/>
          <w:iCs/>
          <w:sz w:val="24"/>
        </w:rPr>
        <w:t xml:space="preserve"> </w:t>
      </w:r>
      <w:r>
        <w:rPr>
          <w:rFonts w:ascii="Times New Roman" w:hAnsi="Times New Roman" w:eastAsia="Times New Roman"/>
          <w:i/>
          <w:iCs/>
          <w:sz w:val="24"/>
        </w:rPr>
        <w:t xml:space="preserve">D5</w:t>
      </w:r>
      <w:r>
        <w:rPr>
          <w:rFonts w:ascii="Times New Roman" w:hAnsi="Times New Roman" w:eastAsia="Times New Roman"/>
          <w:i/>
          <w:iCs/>
          <w:sz w:val="24"/>
        </w:rPr>
        <w:t xml:space="preserve">)</w:t>
      </w:r>
      <w:r>
        <w:rPr>
          <w:rFonts w:ascii="Times New Roman" w:hAnsi="Times New Roman" w:eastAsia="Times New Roman"/>
          <w:sz w:val="24"/>
        </w:rPr>
        <w:t xml:space="preserve">.</w:t>
      </w:r>
      <w:r>
        <w:rPr>
          <w:rFonts w:ascii="Times New Roman" w:hAnsi="Times New Roman" w:eastAsia="Times New Roman"/>
          <w:sz w:val="24"/>
        </w:rPr>
        <w:t xml:space="preserve"> </w:t>
      </w:r>
      <w:hyperlink r:id="rId52">
        <w:r>
          <w:rPr>
            <w:rStyle w:val="Hyperlink"/>
          </w:rPr>
          <w:t xml:space="preserve">https://www.avalanches.org/standards/avalanche-size/</w:t>
        </w:r>
      </w:hyperlink>
      <w:r>
        <w:rPr>
          <w:rFonts w:ascii="Times New Roman" w:hAnsi="Times New Roman" w:eastAsia="Times New Roman"/>
          <w:sz w:val="24"/>
        </w:rPr>
        <w:t xml:space="preserve">.</w:t>
      </w:r>
    </w:p>
    <w:bookmarkEnd w:id="53"/>
    <w:bookmarkStart w:id="54" w:name="ref-avalcd_dataset"/>
    <w:p>
      <w:pPr>
        <w:pStyle w:val="Bibliography"/>
        <w:spacing w:line="480" w:lineRule="auto" w:after="0"/>
      </w:pPr>
      <w:r>
        <w:rPr>
          <w:rFonts w:ascii="Times New Roman" w:hAnsi="Times New Roman" w:eastAsia="Times New Roman"/>
          <w:sz w:val="24"/>
        </w:rPr>
        <w:t xml:space="preserve">Gatti, M. (2026).</w:t>
      </w:r>
      <w:r>
        <w:rPr>
          <w:rFonts w:ascii="Times New Roman" w:hAnsi="Times New Roman" w:eastAsia="Times New Roman"/>
          <w:sz w:val="24"/>
        </w:rPr>
        <w:t xml:space="preserve"> </w:t>
      </w:r>
      <w:r>
        <w:rPr>
          <w:rFonts w:ascii="Times New Roman" w:hAnsi="Times New Roman" w:eastAsia="Times New Roman"/>
          <w:i/>
          <w:iCs/>
          <w:sz w:val="24"/>
        </w:rPr>
        <w:t xml:space="preserve">AvalCD</w:t>
      </w:r>
      <w:r>
        <w:rPr>
          <w:rFonts w:ascii="Times New Roman" w:hAnsi="Times New Roman" w:eastAsia="Times New Roman"/>
          <w:sz w:val="24"/>
        </w:rPr>
        <w:t xml:space="preserve"> </w:t>
      </w:r>
      <w:r>
        <w:rPr>
          <w:rFonts w:ascii="Times New Roman" w:hAnsi="Times New Roman" w:eastAsia="Times New Roman"/>
          <w:sz w:val="24"/>
        </w:rPr>
        <w:t xml:space="preserve">[Dataset]. Zenodo.</w:t>
      </w:r>
      <w:r>
        <w:rPr>
          <w:rFonts w:ascii="Times New Roman" w:hAnsi="Times New Roman" w:eastAsia="Times New Roman"/>
          <w:sz w:val="24"/>
        </w:rPr>
        <w:t xml:space="preserve"> </w:t>
      </w:r>
      <w:hyperlink r:id="rId32">
        <w:r>
          <w:rPr>
            <w:rStyle w:val="Hyperlink"/>
          </w:rPr>
          <w:t xml:space="preserve">https://doi.org/10.5281/zenodo.15863589</w:t>
        </w:r>
      </w:hyperlink>
    </w:p>
    <w:bookmarkEnd w:id="54"/>
    <w:bookmarkStart w:id="56" w:name="ref-gatti2026avalanche"/>
    <w:p>
      <w:pPr>
        <w:pStyle w:val="Bibliography"/>
        <w:spacing w:line="480" w:lineRule="auto" w:after="0"/>
      </w:pPr>
      <w:r>
        <w:rPr>
          <w:rFonts w:ascii="Times New Roman" w:hAnsi="Times New Roman" w:eastAsia="Times New Roman"/>
          <w:sz w:val="24"/>
        </w:rPr>
        <w:t xml:space="preserve">Gatti, M., Mariani, A., Gallo, I., &amp; Monti, F. (2026). Large-scale avalanche mapping from</w:t>
      </w:r>
      <w:r>
        <w:rPr>
          <w:rFonts w:ascii="Times New Roman" w:hAnsi="Times New Roman" w:eastAsia="Times New Roman"/>
          <w:sz w:val="24"/>
        </w:rPr>
        <w:t xml:space="preserve"> </w:t>
      </w:r>
      <w:r>
        <w:rPr>
          <w:rFonts w:ascii="Times New Roman" w:hAnsi="Times New Roman" w:eastAsia="Times New Roman"/>
          <w:sz w:val="24"/>
        </w:rPr>
        <w:t xml:space="preserve">SAR</w:t>
      </w:r>
      <w:r>
        <w:rPr>
          <w:rFonts w:ascii="Times New Roman" w:hAnsi="Times New Roman" w:eastAsia="Times New Roman"/>
          <w:sz w:val="24"/>
        </w:rPr>
        <w:t xml:space="preserve"> </w:t>
      </w:r>
      <w:r>
        <w:rPr>
          <w:rFonts w:ascii="Times New Roman" w:hAnsi="Times New Roman" w:eastAsia="Times New Roman"/>
          <w:sz w:val="24"/>
        </w:rPr>
        <w:t xml:space="preserve">images with deep learning-based change detection.</w:t>
      </w:r>
      <w:r>
        <w:rPr>
          <w:rFonts w:ascii="Times New Roman" w:hAnsi="Times New Roman" w:eastAsia="Times New Roman"/>
          <w:sz w:val="24"/>
        </w:rPr>
        <w:t xml:space="preserve"> </w:t>
      </w:r>
      <w:r>
        <w:rPr>
          <w:rFonts w:ascii="Times New Roman" w:hAnsi="Times New Roman" w:eastAsia="Times New Roman"/>
          <w:i/>
          <w:iCs/>
          <w:sz w:val="24"/>
        </w:rPr>
        <w:t xml:space="preserve">arXiv Preprint arXiv:2603.22658</w:t>
      </w:r>
      <w:r>
        <w:rPr>
          <w:rFonts w:ascii="Times New Roman" w:hAnsi="Times New Roman" w:eastAsia="Times New Roman"/>
          <w:sz w:val="24"/>
        </w:rPr>
        <w:t xml:space="preserve">.</w:t>
      </w:r>
      <w:r>
        <w:rPr>
          <w:rFonts w:ascii="Times New Roman" w:hAnsi="Times New Roman" w:eastAsia="Times New Roman"/>
          <w:sz w:val="24"/>
        </w:rPr>
        <w:t xml:space="preserve"> </w:t>
      </w:r>
      <w:hyperlink r:id="rId55">
        <w:r>
          <w:rPr>
            <w:rStyle w:val="Hyperlink"/>
          </w:rPr>
          <w:t xml:space="preserve">https://arxiv.org/abs/2603.22658</w:t>
        </w:r>
      </w:hyperlink>
    </w:p>
    <w:bookmarkEnd w:id="56"/>
    <w:bookmarkStart w:id="58" w:name="ref-nguyen2025landslide"/>
    <w:p>
      <w:pPr>
        <w:pStyle w:val="Bibliography"/>
        <w:spacing w:line="480" w:lineRule="auto" w:after="0"/>
      </w:pPr>
      <w:r>
        <w:rPr>
          <w:rFonts w:ascii="Times New Roman" w:hAnsi="Times New Roman" w:eastAsia="Times New Roman"/>
          <w:sz w:val="24"/>
        </w:rPr>
        <w:t xml:space="preserve">Nguyen, H., Dang, K. B., Giang, T. L., Dang, V. B., Dang, N. V., &amp; Dao, M. D. (2025). Exploring various deep learning models for high-precision landslide tracing in very-high resolution remote sensing imagery.</w:t>
      </w:r>
      <w:r>
        <w:rPr>
          <w:rFonts w:ascii="Times New Roman" w:hAnsi="Times New Roman" w:eastAsia="Times New Roman"/>
          <w:sz w:val="24"/>
        </w:rPr>
        <w:t xml:space="preserve"> </w:t>
      </w:r>
      <w:r>
        <w:rPr>
          <w:rFonts w:ascii="Times New Roman" w:hAnsi="Times New Roman" w:eastAsia="Times New Roman"/>
          <w:i/>
          <w:iCs/>
          <w:sz w:val="24"/>
        </w:rPr>
        <w:t xml:space="preserve">Journal of the Indian Society of Remote Sensing</w:t>
      </w:r>
      <w:r>
        <w:rPr>
          <w:rFonts w:ascii="Times New Roman" w:hAnsi="Times New Roman" w:eastAsia="Times New Roman"/>
          <w:sz w:val="24"/>
        </w:rPr>
        <w:t xml:space="preserve">.</w:t>
      </w:r>
      <w:r>
        <w:rPr>
          <w:rFonts w:ascii="Times New Roman" w:hAnsi="Times New Roman" w:eastAsia="Times New Roman"/>
          <w:sz w:val="24"/>
        </w:rPr>
        <w:t xml:space="preserve"> </w:t>
      </w:r>
      <w:hyperlink r:id="rId57">
        <w:r>
          <w:rPr>
            <w:rStyle w:val="Hyperlink"/>
          </w:rPr>
          <w:t xml:space="preserve">https://doi.org/10.1007/s12524-025-02267-z</w:t>
        </w:r>
      </w:hyperlink>
    </w:p>
    <w:bookmarkEnd w:id="58"/>
    <w:bookmarkStart w:id="60" w:name="ref-openstreetmap2026"/>
    <w:p>
      <w:pPr>
        <w:pStyle w:val="Bibliography"/>
        <w:spacing w:line="480" w:lineRule="auto" w:after="0"/>
      </w:pPr>
      <w:r>
        <w:rPr>
          <w:rFonts w:ascii="Times New Roman" w:hAnsi="Times New Roman" w:eastAsia="Times New Roman"/>
          <w:sz w:val="24"/>
        </w:rPr>
        <w:t xml:space="preserve">OpenStreetMap contributors. (2026).</w:t>
      </w:r>
      <w:r>
        <w:rPr>
          <w:rFonts w:ascii="Times New Roman" w:hAnsi="Times New Roman" w:eastAsia="Times New Roman"/>
          <w:sz w:val="24"/>
        </w:rPr>
        <w:t xml:space="preserve"> </w:t>
      </w:r>
      <w:r>
        <w:rPr>
          <w:rFonts w:ascii="Times New Roman" w:hAnsi="Times New Roman" w:eastAsia="Times New Roman"/>
          <w:i/>
          <w:iCs/>
          <w:sz w:val="24"/>
        </w:rPr>
        <w:t xml:space="preserve">OpenStreetMap</w:t>
      </w:r>
      <w:r>
        <w:rPr>
          <w:rFonts w:ascii="Times New Roman" w:hAnsi="Times New Roman" w:eastAsia="Times New Roman"/>
          <w:sz w:val="24"/>
        </w:rPr>
        <w:t xml:space="preserve">.</w:t>
      </w:r>
      <w:r>
        <w:rPr>
          <w:rFonts w:ascii="Times New Roman" w:hAnsi="Times New Roman" w:eastAsia="Times New Roman"/>
          <w:sz w:val="24"/>
        </w:rPr>
        <w:t xml:space="preserve"> </w:t>
      </w:r>
      <w:hyperlink r:id="rId59">
        <w:r>
          <w:rPr>
            <w:rStyle w:val="Hyperlink"/>
          </w:rPr>
          <w:t xml:space="preserve">https://www.openstreetmap.org/copyright</w:t>
        </w:r>
      </w:hyperlink>
      <w:r>
        <w:rPr>
          <w:rFonts w:ascii="Times New Roman" w:hAnsi="Times New Roman" w:eastAsia="Times New Roman"/>
          <w:sz w:val="24"/>
        </w:rPr>
        <w:t xml:space="preserve">.</w:t>
      </w:r>
    </w:p>
    <w:bookmarkEnd w:id="60"/>
    <w:bookmarkStart w:id="62" w:name="ref-tompkin2021backscatter"/>
    <w:p>
      <w:pPr>
        <w:pStyle w:val="Bibliography"/>
        <w:spacing w:line="480" w:lineRule="auto" w:after="0"/>
      </w:pPr>
      <w:r>
        <w:rPr>
          <w:rFonts w:ascii="Times New Roman" w:hAnsi="Times New Roman" w:eastAsia="Times New Roman"/>
          <w:sz w:val="24"/>
        </w:rPr>
        <w:t xml:space="preserve">Tompkin, C., &amp; Leinss, S. (2021). Backscatter characteristics of snow avalanches for mapping with local resolution weighting.</w:t>
      </w:r>
      <w:r>
        <w:rPr>
          <w:rFonts w:ascii="Times New Roman" w:hAnsi="Times New Roman" w:eastAsia="Times New Roman"/>
          <w:sz w:val="24"/>
        </w:rPr>
        <w:t xml:space="preserve"> </w:t>
      </w:r>
      <w:r>
        <w:rPr>
          <w:rFonts w:ascii="Times New Roman" w:hAnsi="Times New Roman" w:eastAsia="Times New Roman"/>
          <w:i/>
          <w:iCs/>
          <w:sz w:val="24"/>
        </w:rPr>
        <w:t xml:space="preserve">IEEE Journal of Selected Topics in Applied Earth Observations and Remote Sensing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14</w:t>
      </w:r>
      <w:r>
        <w:rPr>
          <w:rFonts w:ascii="Times New Roman" w:hAnsi="Times New Roman" w:eastAsia="Times New Roman"/>
          <w:sz w:val="24"/>
        </w:rPr>
        <w:t xml:space="preserve">, 4452–4464.</w:t>
      </w:r>
      <w:r>
        <w:rPr>
          <w:rFonts w:ascii="Times New Roman" w:hAnsi="Times New Roman" w:eastAsia="Times New Roman"/>
          <w:sz w:val="24"/>
        </w:rPr>
        <w:t xml:space="preserve"> </w:t>
      </w:r>
      <w:hyperlink r:id="rId61">
        <w:r>
          <w:rPr>
            <w:rStyle w:val="Hyperlink"/>
          </w:rPr>
          <w:t xml:space="preserve">https://doi.org/10.1109/JSTARS.2021.3074418</w:t>
        </w:r>
      </w:hyperlink>
    </w:p>
    <w:bookmarkEnd w:id="62"/>
    <w:bookmarkStart w:id="64" w:name="ref-wang2025change"/>
    <w:p>
      <w:pPr>
        <w:pStyle w:val="Bibliography"/>
        <w:spacing w:line="480" w:lineRule="auto" w:after="0"/>
      </w:pPr>
      <w:r>
        <w:rPr>
          <w:rFonts w:ascii="Times New Roman" w:hAnsi="Times New Roman" w:eastAsia="Times New Roman"/>
          <w:sz w:val="24"/>
        </w:rPr>
        <w:t xml:space="preserve">Wang, S., Wang, D., Shi, J., Zhang, Z., Wang, H., Li, X., &amp; Guo, Y. (2025). Unsupervised</w:t>
      </w:r>
      <w:r>
        <w:rPr>
          <w:rFonts w:ascii="Times New Roman" w:hAnsi="Times New Roman" w:eastAsia="Times New Roman"/>
          <w:sz w:val="24"/>
        </w:rPr>
        <w:t xml:space="preserve"> </w:t>
      </w:r>
      <w:r>
        <w:rPr>
          <w:rFonts w:ascii="Times New Roman" w:hAnsi="Times New Roman" w:eastAsia="Times New Roman"/>
          <w:sz w:val="24"/>
        </w:rPr>
        <w:t xml:space="preserve">SAR</w:t>
      </w:r>
      <w:r>
        <w:rPr>
          <w:rFonts w:ascii="Times New Roman" w:hAnsi="Times New Roman" w:eastAsia="Times New Roman"/>
          <w:sz w:val="24"/>
        </w:rPr>
        <w:t xml:space="preserve"> </w:t>
      </w:r>
      <w:r>
        <w:rPr>
          <w:rFonts w:ascii="Times New Roman" w:hAnsi="Times New Roman" w:eastAsia="Times New Roman"/>
          <w:sz w:val="24"/>
        </w:rPr>
        <w:t xml:space="preserve">image change detection method based on fused difference images.</w:t>
      </w:r>
      <w:r>
        <w:rPr>
          <w:rFonts w:ascii="Times New Roman" w:hAnsi="Times New Roman" w:eastAsia="Times New Roman"/>
          <w:sz w:val="24"/>
        </w:rPr>
        <w:t xml:space="preserve"> </w:t>
      </w:r>
      <w:r>
        <w:rPr>
          <w:rFonts w:ascii="Times New Roman" w:hAnsi="Times New Roman" w:eastAsia="Times New Roman"/>
          <w:i/>
          <w:iCs/>
          <w:sz w:val="24"/>
        </w:rPr>
        <w:t xml:space="preserve">Journal of the Indian Society of Remote Sensing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53</w:t>
      </w:r>
      <w:r>
        <w:rPr>
          <w:rFonts w:ascii="Times New Roman" w:hAnsi="Times New Roman" w:eastAsia="Times New Roman"/>
          <w:sz w:val="24"/>
        </w:rPr>
        <w:t xml:space="preserve">(12), 4373–4382.</w:t>
      </w:r>
      <w:r>
        <w:rPr>
          <w:rFonts w:ascii="Times New Roman" w:hAnsi="Times New Roman" w:eastAsia="Times New Roman"/>
          <w:sz w:val="24"/>
        </w:rPr>
        <w:t xml:space="preserve"> </w:t>
      </w:r>
      <w:hyperlink r:id="rId63">
        <w:r>
          <w:rPr>
            <w:rStyle w:val="Hyperlink"/>
          </w:rPr>
          <w:t xml:space="preserve">https://doi.org/10.1007/s12524-025-02259-z</w:t>
        </w:r>
      </w:hyperlink>
    </w:p>
    <w:bookmarkEnd w:id="64"/>
    <w:bookmarkStart w:id="66" w:name="ref-zhang2018road"/>
    <w:p>
      <w:pPr>
        <w:pStyle w:val="Bibliography"/>
        <w:spacing w:line="480" w:lineRule="auto" w:after="0"/>
      </w:pPr>
      <w:r>
        <w:rPr>
          <w:rFonts w:ascii="Times New Roman" w:hAnsi="Times New Roman" w:eastAsia="Times New Roman"/>
          <w:sz w:val="24"/>
        </w:rPr>
        <w:t xml:space="preserve">Zhang, Z., Liu, Q., &amp; Wang, Y. (2018). Road extraction by deep residual</w:t>
      </w:r>
      <w:r>
        <w:rPr>
          <w:rFonts w:ascii="Times New Roman" w:hAnsi="Times New Roman" w:eastAsia="Times New Roman"/>
          <w:sz w:val="24"/>
        </w:rPr>
        <w:t xml:space="preserve"> </w:t>
      </w:r>
      <w:r>
        <w:rPr>
          <w:rFonts w:ascii="Times New Roman" w:hAnsi="Times New Roman" w:eastAsia="Times New Roman"/>
          <w:sz w:val="24"/>
        </w:rPr>
        <w:t xml:space="preserve">U-Net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IEEE Geoscience and Remote Sensing Letters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15</w:t>
      </w:r>
      <w:r>
        <w:rPr>
          <w:rFonts w:ascii="Times New Roman" w:hAnsi="Times New Roman" w:eastAsia="Times New Roman"/>
          <w:sz w:val="24"/>
        </w:rPr>
        <w:t xml:space="preserve">(5), 749–753.</w:t>
      </w:r>
      <w:r>
        <w:rPr>
          <w:rFonts w:ascii="Times New Roman" w:hAnsi="Times New Roman" w:eastAsia="Times New Roman"/>
          <w:sz w:val="24"/>
        </w:rPr>
        <w:t xml:space="preserve"> </w:t>
      </w:r>
      <w:hyperlink r:id="rId65">
        <w:r>
          <w:rPr>
            <w:rStyle w:val="Hyperlink"/>
          </w:rPr>
          <w:t xml:space="preserve">https://doi.org/10.1109/LGRS.2018.2802944</w:t>
        </w:r>
      </w:hyperlink>
    </w:p>
    <w:bookmarkEnd w:id="66"/>
    <w:bookmarkEnd w:id="67"/>
    <w:bookmarkEnd w:id="68"/>
    <w:sectPr>
      <w:footnotePr>
        <w:numRestart w:val="eachSect"/>
      </w:footnotePr>
      <w:pgSz w:w="11906" w:h="16838"/>
      <w:pgMar w:top="1134" w:bottom="1134" w:left="1134" w:right="1134"/>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0" w:line="480" w:lineRule="auto" w:before="120"/>
      <w:contextualSpacing/>
      <w:jc w:val="center"/>
    </w:pPr>
    <w:rPr>
      <w:rFonts w:asciiTheme="majorHAnsi" w:cstheme="majorBidi" w:eastAsiaTheme="majorEastAsia" w:hAnsiTheme="majorHAnsi" w:ascii="Times New Roman" w:hAnsi="Times New Roman" w:eastAsia="Times New Roman"/>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120" w:line="480" w:lineRule="auto"/>
      <w:outlineLvl w:val="0"/>
    </w:pPr>
    <w:rPr>
      <w:rFonts w:asciiTheme="majorHAnsi" w:cstheme="majorBidi" w:eastAsiaTheme="majorEastAsia" w:hAnsiTheme="majorHAnsi" w:ascii="Times New Roman" w:hAnsi="Times New Roman" w:eastAsia="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480" w:lineRule="auto"/>
      <w:outlineLvl w:val="1"/>
    </w:pPr>
    <w:rPr>
      <w:rFonts w:asciiTheme="majorHAnsi" w:cstheme="majorBidi" w:eastAsiaTheme="majorEastAsia" w:hAnsiTheme="majorHAnsi" w:ascii="Times New Roman" w:hAnsi="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480" w:lineRule="auto"/>
      <w:outlineLvl w:val="2"/>
    </w:pPr>
    <w:rPr>
      <w:rFonts w:cstheme="majorBidi" w:eastAsiaTheme="majorEastAsia" w:ascii="Times New Roman" w:hAnsi="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1" Type="http://schemas.openxmlformats.org/officeDocument/2006/relationships/image" Target="media/rId21.png"/><Relationship Id="rId55" Type="http://schemas.openxmlformats.org/officeDocument/2006/relationships/hyperlink" Target="https://arxiv.org/abs/2603.22658" TargetMode="External"/><Relationship Id="rId36" Type="http://schemas.openxmlformats.org/officeDocument/2006/relationships/hyperlink" Target="https://doi.org/10.1007/s12524-024-02022-w" TargetMode="External"/><Relationship Id="rId44" Type="http://schemas.openxmlformats.org/officeDocument/2006/relationships/hyperlink" Target="https://doi.org/10.1007/s12524-025-02251-7" TargetMode="External"/><Relationship Id="rId63" Type="http://schemas.openxmlformats.org/officeDocument/2006/relationships/hyperlink" Target="https://doi.org/10.1007/s12524-025-02259-z" TargetMode="External"/><Relationship Id="rId57" Type="http://schemas.openxmlformats.org/officeDocument/2006/relationships/hyperlink" Target="https://doi.org/10.1007/s12524-025-02267-z" TargetMode="External"/><Relationship Id="rId38" Type="http://schemas.openxmlformats.org/officeDocument/2006/relationships/hyperlink" Target="https://doi.org/10.1007/s12524-025-02394-7" TargetMode="External"/><Relationship Id="rId34" Type="http://schemas.openxmlformats.org/officeDocument/2006/relationships/hyperlink" Target="https://doi.org/10.1007/s12524-026-02459-1" TargetMode="External"/><Relationship Id="rId46" Type="http://schemas.openxmlformats.org/officeDocument/2006/relationships/hyperlink" Target="https://doi.org/10.1016/j.coldregions.2017.08.004" TargetMode="External"/><Relationship Id="rId42" Type="http://schemas.openxmlformats.org/officeDocument/2006/relationships/hyperlink" Target="https://doi.org/10.1109/ICIP.2018.8451652" TargetMode="External"/><Relationship Id="rId48" Type="http://schemas.openxmlformats.org/officeDocument/2006/relationships/hyperlink" Target="https://doi.org/10.1109/IGARSS47720.2021.9554370" TargetMode="External"/><Relationship Id="rId40" Type="http://schemas.openxmlformats.org/officeDocument/2006/relationships/hyperlink" Target="https://doi.org/10.1109/JSTARS.2020.3036914" TargetMode="External"/><Relationship Id="rId61" Type="http://schemas.openxmlformats.org/officeDocument/2006/relationships/hyperlink" Target="https://doi.org/10.1109/JSTARS.2021.3074418" TargetMode="External"/><Relationship Id="rId65" Type="http://schemas.openxmlformats.org/officeDocument/2006/relationships/hyperlink" Target="https://doi.org/10.1109/LGRS.2018.2802944" TargetMode="External"/><Relationship Id="rId50" Type="http://schemas.openxmlformats.org/officeDocument/2006/relationships/hyperlink" Target="https://doi.org/10.3390/rs11232863" TargetMode="External"/><Relationship Id="rId32" Type="http://schemas.openxmlformats.org/officeDocument/2006/relationships/hyperlink" Target="https://doi.org/10.5281/zenodo.15863589" TargetMode="External"/><Relationship Id="rId52" Type="http://schemas.openxmlformats.org/officeDocument/2006/relationships/hyperlink" Target="https://www.avalanches.org/standards/avalanche-size/" TargetMode="External"/><Relationship Id="rId59" Type="http://schemas.openxmlformats.org/officeDocument/2006/relationships/hyperlink" Target="https://www.openstreetmap.org/copyright"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arxiv.org/abs/2603.22658" TargetMode="External"/><Relationship Id="rId36" Type="http://schemas.openxmlformats.org/officeDocument/2006/relationships/hyperlink" Target="https://doi.org/10.1007/s12524-024-02022-w" TargetMode="External"/><Relationship Id="rId44" Type="http://schemas.openxmlformats.org/officeDocument/2006/relationships/hyperlink" Target="https://doi.org/10.1007/s12524-025-02251-7" TargetMode="External"/><Relationship Id="rId63" Type="http://schemas.openxmlformats.org/officeDocument/2006/relationships/hyperlink" Target="https://doi.org/10.1007/s12524-025-02259-z" TargetMode="External"/><Relationship Id="rId57" Type="http://schemas.openxmlformats.org/officeDocument/2006/relationships/hyperlink" Target="https://doi.org/10.1007/s12524-025-02267-z" TargetMode="External"/><Relationship Id="rId38" Type="http://schemas.openxmlformats.org/officeDocument/2006/relationships/hyperlink" Target="https://doi.org/10.1007/s12524-025-02394-7" TargetMode="External"/><Relationship Id="rId34" Type="http://schemas.openxmlformats.org/officeDocument/2006/relationships/hyperlink" Target="https://doi.org/10.1007/s12524-026-02459-1" TargetMode="External"/><Relationship Id="rId46" Type="http://schemas.openxmlformats.org/officeDocument/2006/relationships/hyperlink" Target="https://doi.org/10.1016/j.coldregions.2017.08.004" TargetMode="External"/><Relationship Id="rId42" Type="http://schemas.openxmlformats.org/officeDocument/2006/relationships/hyperlink" Target="https://doi.org/10.1109/ICIP.2018.8451652" TargetMode="External"/><Relationship Id="rId48" Type="http://schemas.openxmlformats.org/officeDocument/2006/relationships/hyperlink" Target="https://doi.org/10.1109/IGARSS47720.2021.9554370" TargetMode="External"/><Relationship Id="rId40" Type="http://schemas.openxmlformats.org/officeDocument/2006/relationships/hyperlink" Target="https://doi.org/10.1109/JSTARS.2020.3036914" TargetMode="External"/><Relationship Id="rId61" Type="http://schemas.openxmlformats.org/officeDocument/2006/relationships/hyperlink" Target="https://doi.org/10.1109/JSTARS.2021.3074418" TargetMode="External"/><Relationship Id="rId65" Type="http://schemas.openxmlformats.org/officeDocument/2006/relationships/hyperlink" Target="https://doi.org/10.1109/LGRS.2018.2802944" TargetMode="External"/><Relationship Id="rId50" Type="http://schemas.openxmlformats.org/officeDocument/2006/relationships/hyperlink" Target="https://doi.org/10.3390/rs11232863" TargetMode="External"/><Relationship Id="rId32" Type="http://schemas.openxmlformats.org/officeDocument/2006/relationships/hyperlink" Target="https://doi.org/10.5281/zenodo.15863589" TargetMode="External"/><Relationship Id="rId52" Type="http://schemas.openxmlformats.org/officeDocument/2006/relationships/hyperlink" Target="https://www.avalanches.org/standards/avalanche-size/" TargetMode="External"/><Relationship Id="rId59" Type="http://schemas.openxmlformats.org/officeDocument/2006/relationships/hyperlink" Target="https://www.openstreetmap.org/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Terrain-Conditioned Cross-Attention for Cross-Region Avalanche Debris Mapping with Sentinel-1 SAR</dc:title>
  <dc:creator/>
  <cp:keywords/>
  <dcterms:created xsi:type="dcterms:W3CDTF">2026-09-20T14:29:08Z</dcterms:created>
  <dcterms:modified xsi:type="dcterms:W3CDTF">2026-09-20T14:29:08Z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submission-jisrs/apa.csl</vt:lpwstr>
  </property>
</Properties>
</file>