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Acquisition Date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3 Apr 2024</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29 Jan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18 Mar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13 Apr 2016</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11 Apr 2021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21 Feb 2023</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20 Dec 2024</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5120640" cy="2566416"/>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5120640" cy="256641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 This simplified training schematic omits the ground-truth target input to Geo-Loss for clarity.</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2268"/>
        <w:gridCol w:w="680"/>
        <w:gridCol w:w="1020"/>
        <w:gridCol w:w="1020"/>
        <w:gridCol w:w="1020"/>
        <w:gridCol w:w="1020"/>
        <w:gridCol w:w="964"/>
        <w:gridCol w:w="964"/>
      </w:tblGrid>
      <w:tr>
        <w:trPr>
          <w:cantSplit w:val="true"/>
          <w:tblHeader w:val="true"/>
        </w:trPr>
        <w:tc>
          <w:tcPr>
            <w:tcW w:type="dxa" w:w="2268"/>
            <w:vMerge w:val="restart"/>
            <w:vAlign w:val="center"/>
          </w:tcPr>
          <w:p>
            <w:pPr>
              <w:pStyle w:val="Compact"/>
              <w:spacing w:before="0" w:after="0" w:line="240" w:lineRule="auto"/>
              <w:jc w:val="left"/>
            </w:pPr>
            <w:r>
              <w:rPr>
                <w:rFonts w:ascii="Times New Roman" w:hAnsi="Times New Roman" w:eastAsia="Times New Roman"/>
                <w:b/>
                <w:bCs/>
                <w:sz w:val="16"/>
              </w:rPr>
              <w:t xml:space="preserve">Method</w:t>
            </w:r>
          </w:p>
        </w:tc>
        <w:tc>
          <w:tcPr>
            <w:tcW w:type="dxa" w:w="680"/>
            <w:vMerge w:val="restart"/>
            <w:vAlign w:val="center"/>
          </w:tcPr>
          <w:p>
            <w:pPr>
              <w:pStyle w:val="Compact"/>
              <w:spacing w:before="0" w:after="0" w:line="240" w:lineRule="auto"/>
              <w:jc w:val="center"/>
            </w:pPr>
            <w:r>
              <w:rPr>
                <w:rFonts w:ascii="Times New Roman" w:hAnsi="Times New Roman" w:eastAsia="Times New Roman"/>
                <w:b/>
                <w:bCs/>
                <w:sz w:val="16"/>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gridSpan w:val="1"/>
            <w:vMerge w:val="continue"/>
          </w:tcPr>
          <w:p>
            <w:pP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HR@0.3</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SiamUNet-diff</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63.25 ± 2.52</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37.11 ± 2.44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22.81 ± 1.86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54.87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SiamUNet-conc</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2.36M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82.62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47.34 ± 0.70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31.02 ± 0.60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63.13 ± 0.79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ResU-Net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76.92 ± 4.83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49.25 ± 3.39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32.74 ± 2.96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62.92 ± 1.42</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Attention 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2.29M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79.20 ± 2.45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48.73 ± 2.74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32.26 ± 2.38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63.41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S42)</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74.36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34.44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65.29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Mean)</w:t>
            </w:r>
          </w:p>
        </w:tc>
        <w:tc>
          <w:tcPr>
            <w:tcW w:type="dxa" w:w="680"/>
            <w:vAlign w:val="center"/>
          </w:tcPr>
          <w:p>
            <w:pPr>
              <w:pStyle w:val="Compact"/>
              <w:spacing w:before="0" w:after="0" w:line="240" w:lineRule="auto"/>
              <w:jc w:val="center"/>
            </w:pPr>
            <w:r>
              <w:rPr>
                <w:rFonts w:ascii="Times New Roman" w:hAnsi="Times New Roman" w:eastAsia="Times New Roman"/>
                <w:b/>
                <w:bCs/>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75.50 ± 1.61</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50.18 ± 4.40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33.61 ± 3.89</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3235236"/>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323523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the primary and seed-repeated analyses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3118499"/>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3118499"/>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2835"/>
        <w:gridCol w:w="1020"/>
        <w:gridCol w:w="1020"/>
        <w:gridCol w:w="1020"/>
        <w:gridCol w:w="1020"/>
        <w:gridCol w:w="1020"/>
        <w:gridCol w:w="1020"/>
      </w:tblGrid>
      <w:tr>
        <w:trPr>
          <w:cantSplit w:val="true"/>
          <w:tblHeader w:val="true"/>
        </w:trPr>
        <w:tc>
          <w:tcPr>
            <w:tcW w:type="dxa" w:w="2835"/>
            <w:vMerge w:val="restart"/>
            <w:vAlign w:val="center"/>
          </w:tcPr>
          <w:p>
            <w:pPr>
              <w:pStyle w:val="Compact"/>
              <w:spacing w:before="0" w:after="0" w:line="240" w:lineRule="auto"/>
              <w:jc w:val="left"/>
            </w:pPr>
            <w:r>
              <w:rPr>
                <w:rFonts w:ascii="Times New Roman" w:hAnsi="Times New Roman" w:eastAsia="Times New Roman"/>
                <w:b/>
                <w:bCs/>
                <w:sz w:val="16"/>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Full TopoRadar-Net</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75.48 ± 1.15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63.79 ± 1.88</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Local Incidence Angle (No-LIA)</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71.02 ± 2.80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63.90 ± 1.37</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Cross-Attention (No-CrossAttn)</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70.77 ± 2.20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65.07 ± 0.53</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Geomorphic Loss (No-GeoLoss)</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72.50 ± 2.15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64.35 ± 1.05</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Aspect Alignment (No-Aspect)</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71.19 ± 3.40</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3120873"/>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3120873"/>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850"/>
        <w:gridCol w:w="2551"/>
        <w:gridCol w:w="794"/>
        <w:gridCol w:w="964"/>
        <w:gridCol w:w="964"/>
        <w:gridCol w:w="964"/>
        <w:gridCol w:w="964"/>
        <w:gridCol w:w="964"/>
      </w:tblGrid>
      <w:tr>
        <w:trPr>
          <w:cantSplit w:val="true"/>
          <w:tblHeader w:val="true"/>
        </w:trPr>
        <w:tc>
          <w:tcPr>
            <w:tcW w:type="dxa" w:w="850"/>
            <w:vMerge w:val="restart"/>
            <w:vAlign w:val="center"/>
          </w:tcPr>
          <w:p>
            <w:pPr>
              <w:pStyle w:val="Compact"/>
              <w:spacing w:before="0" w:after="0" w:line="240" w:lineRule="auto"/>
              <w:jc w:val="left"/>
            </w:pPr>
            <w:r>
              <w:rPr>
                <w:rFonts w:ascii="Times New Roman" w:hAnsi="Times New Roman" w:eastAsia="Times New Roman"/>
                <w:b/>
                <w:bCs/>
                <w:sz w:val="16"/>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6"/>
              </w:rPr>
              <w:t xml:space="preserve">Topographic Stratum</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6"/>
              </w:rPr>
              <w:t xml:space="preserve">Area (px)</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TopoRadar (Ours)</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Attention U-Net</w:t>
            </w:r>
          </w:p>
        </w:tc>
        <w:tc>
          <w:tcPr>
            <w:tcW w:type="dxa" w:w="964"/>
            <w:vMerge w:val="restart"/>
            <w:vAlign w:val="center"/>
          </w:tcPr>
          <w:p>
            <w:pPr>
              <w:pStyle w:val="Compact"/>
              <w:spacing w:before="0" w:after="0" w:line="240" w:lineRule="auto"/>
              <w:jc w:val="center"/>
            </w:pPr>
            <w:r>
              <w:rPr>
                <w:rFonts w:ascii="Times New Roman" w:hAnsi="Times New Roman" w:eastAsia="Times New Roman"/>
                <w:b/>
                <w:bCs/>
                <w:sz w:val="16"/>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gridSpan w:val="1"/>
            <w:vMerge w:val="continue"/>
          </w:tcPr>
          <w:p>
            <w:pP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Troms</w:t>
            </w:r>
            <w:r>
              <w:rPr>
                <w:rFonts w:ascii="Times New Roman" w:hAnsi="Times New Roman" w:eastAsia="Times New Roman"/>
                <w:sz w:val="16"/>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15,480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79.94%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80.01%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3,113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68.93%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69.43%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73.57%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15,376</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81.08%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85.03%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75.23%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88.90%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12,360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76.76%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70.68%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21,118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81.34%</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80.94%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77.00%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85.33%</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491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67.05%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68.21%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+9.14%</w:t>
            </w: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14,743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51.27%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43.87%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42.84%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2,614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37.60%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5,222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53.42%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52.36%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48.33%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6,501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45.97%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38.22%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28.40%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15,875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55.82%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52.33%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56.25%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50.55%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 Shadow)</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16.65%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10.74%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11 April 2021 polar-maritime validation cohort in Southwest Greenland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on the 11 April 2021 polar-maritime validation scene in Southwest Greenland (used for checkpoint selection and threshold calibration; n=129 polygons, 81,595 debris pixels) across three seeds (mean ± SD).</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Overall, terrain conditioning is useful but not uniformly superior. The main contribution is a reproducible account of where it helps, where it fails, and what evidence is still required before operational use.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2026-09-19T20:48:09Z</dcterms:created>
  <dcterms:modified xsi:type="dcterms:W3CDTF">2026-09-19T20:48:09Z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