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after="0" w:line="240" w:lineRule="auto"/>
      </w:pPr>
      <w:r>
        <w:rPr>
          <w:rFonts w:ascii="Times New Roman" w:hAnsi="Times New Roman" w:eastAsia="Times New Roman"/>
          <w:sz w:val="20"/>
        </w:rPr>
        <w:t xml:space="preserve">Topographic Radar Geometry-Guided Cross-Attention for Alpine Avalanche Debris Mapping in Sentinel-1 SAR: Cross-System Generalization Across the Alps, Pamirs, and Arctic</w:t>
      </w:r>
    </w:p>
    <w:p>
      <w:pPr>
        <w:pStyle w:val="AbstractTitle"/>
        <w:spacing w:after="0" w:line="240" w:lineRule="auto"/>
      </w:pPr>
      <w:r>
        <w:rPr>
          <w:rFonts w:ascii="Times New Roman" w:hAnsi="Times New Roman" w:eastAsia="Times New Roman"/>
          <w:sz w:val="20"/>
        </w:rPr>
        <w:t xml:space="preserve">Abstract</w:t>
      </w:r>
    </w:p>
    <w:p>
      <w:pPr>
        <w:pStyle w:val="Abstract"/>
        <w:spacing w:after="0" w:line="240" w:lineRule="auto"/>
      </w:pPr>
      <w:r>
        <w:rPr>
          <w:rFonts w:ascii="Times New Roman" w:hAnsi="Times New Roman" w:eastAsia="Times New Roman"/>
          <w:sz w:val="20"/>
        </w:rPr>
        <w:t xml:space="preserve">Rapid, all-weather mapping of snow avalanche debris across rugged mountain terrain is critical for alpine civil protection, emergency response, and search-and-rescue operations. Synthetic Aperture Radar (SAR) sensors such as Sentinel-1 provide cloud-penetrating day-and-night winter monitoring, but bitemporal change detection in steep terrain suffers from foreshortening, layover, and radar shadow. We propose</w:t>
      </w:r>
      <w:r>
        <w:rPr>
          <w:rFonts w:ascii="Times New Roman" w:hAnsi="Times New Roman" w:eastAsia="Times New Roman"/>
          <w:sz w:val="20"/>
        </w:rPr>
        <w:t xml:space="preserve"> </w:t>
      </w:r>
      <w:r>
        <w:rPr>
          <w:rFonts w:ascii="Times New Roman" w:hAnsi="Times New Roman" w:eastAsia="Times New Roman"/>
          <w:b/>
          <w:bCs/>
          <w:sz w:val="20"/>
        </w:rPr>
        <w:t xml:space="preserve">TopoRadar-Net</w:t>
      </w:r>
      <w:r>
        <w:rPr>
          <w:rFonts w:ascii="Times New Roman" w:hAnsi="Times New Roman" w:eastAsia="Times New Roman"/>
          <w:sz w:val="20"/>
        </w:rPr>
        <w:t xml:space="preserve">, coupling bitemporal Sentinel-1 C-band SAR with local radar-topographic geometry through: (1) an analytical characterization of shift-invariant linear-convolution limits under non-stationary terrain projection; (2) multi-scale Radar-Topographic Cross-Attention Blocks; (3) a heuristic slope-prior loss audited for positive-label conflict; and (4) calibrated component- and corridor-level operational proxies. On AvalCD (7 events, 4 mountain systems, 993 polygons), TopoRadar-Net reaches</w:t>
      </w:r>
      <w:r>
        <w:rPr>
          <w:rFonts w:ascii="Times New Roman" w:hAnsi="Times New Roman" w:eastAsia="Times New Roman"/>
          <w:sz w:val="20"/>
        </w:rPr>
        <w:t xml:space="preserve"> </w:t>
      </w:r>
      <m:oMath>
        <m:r>
          <m:t>63.79</m:t>
        </m:r>
        <m:r>
          <m:rPr>
            <m:sty m:val="p"/>
          </m:rPr>
          <m:t>%</m:t>
        </m:r>
        <m:r>
          <m:rPr>
            <m:sty m:val="p"/>
          </m:rPr>
          <m:t>±</m:t>
        </m:r>
        <m:r>
          <m:t>1.88</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pooled macro F1, compared with Attention U-Net (</w:t>
      </w:r>
      <m:oMath>
        <m:r>
          <m:t>63.41</m:t>
        </m:r>
        <m:r>
          <m:rPr>
            <m:sty m:val="p"/>
          </m:rPr>
          <m:t>%</m:t>
        </m:r>
      </m:oMath>
      <w:r>
        <w:rPr>
          <w:rFonts w:ascii="Times New Roman" w:hAnsi="Times New Roman" w:eastAsia="Times New Roman"/>
          <w:sz w:val="20"/>
        </w:rPr>
        <w:t xml:space="preserve">), SiamUNet-conc (</w:t>
      </w:r>
      <m:oMath>
        <m:r>
          <m:t>63.13</m:t>
        </m:r>
        <m:r>
          <m:rPr>
            <m:sty m:val="p"/>
          </m:rPr>
          <m:t>%</m:t>
        </m:r>
      </m:oMath>
      <w:r>
        <w:rPr>
          <w:rFonts w:ascii="Times New Roman" w:hAnsi="Times New Roman" w:eastAsia="Times New Roman"/>
          <w:sz w:val="20"/>
        </w:rPr>
        <w:t xml:space="preserve">), ResU-Net (</w:t>
      </w:r>
      <m:oMath>
        <m:r>
          <m:t>62.92</m:t>
        </m:r>
        <m:r>
          <m:rPr>
            <m:sty m:val="p"/>
          </m:rPr>
          <m:t>%</m:t>
        </m:r>
      </m:oMath>
      <w:r>
        <w:rPr>
          <w:rFonts w:ascii="Times New Roman" w:hAnsi="Times New Roman" w:eastAsia="Times New Roman"/>
          <w:sz w:val="20"/>
        </w:rPr>
        <w:t xml:space="preserve">), and SiamUNet-diff (</w:t>
      </w:r>
      <m:oMath>
        <m:r>
          <m:t>54.87</m:t>
        </m:r>
        <m:r>
          <m:rPr>
            <m:sty m:val="p"/>
          </m:rPr>
          <m:t>%</m:t>
        </m:r>
      </m:oMath>
      <w:r>
        <w:rPr>
          <w:rFonts w:ascii="Times New Roman" w:hAnsi="Times New Roman" w:eastAsia="Times New Roman"/>
          <w:sz w:val="20"/>
        </w:rPr>
        <w:t xml:space="preserve">). Across three seeds, only the margin over SiamUNet-diff is significant (</w:t>
      </w:r>
      <m:oMath>
        <m:r>
          <m:rPr>
            <m:sty m:val="p"/>
          </m:rPr>
          <m:t>+</m:t>
        </m:r>
        <m:r>
          <m:t>8.92</m:t>
        </m:r>
        <m:r>
          <m:rPr>
            <m:sty m:val="p"/>
          </m:rPr>
          <m:t>%</m:t>
        </m:r>
      </m:oMath>
      <w:r>
        <w:rPr>
          <w:rFonts w:ascii="Times New Roman" w:hAnsi="Times New Roman" w:eastAsia="Times New Roman"/>
          <w:sz w:val="20"/>
        </w:rPr>
        <w:t xml:space="preserve">,</w:t>
      </w:r>
      <w:r>
        <w:rPr>
          <w:rFonts w:ascii="Times New Roman" w:hAnsi="Times New Roman" w:eastAsia="Times New Roman"/>
          <w:sz w:val="20"/>
        </w:rPr>
        <w:t xml:space="preserve"> </w:t>
      </w:r>
      <m:oMath>
        <m:r>
          <m:t>p</m:t>
        </m:r>
        <m:r>
          <m:rPr>
            <m:sty m:val="p"/>
          </m:rPr>
          <m:t>=</m:t>
        </m:r>
        <m:r>
          <m:t>0.021</m:t>
        </m:r>
      </m:oMath>
      <w:r>
        <w:rPr>
          <w:rFonts w:ascii="Times New Roman" w:hAnsi="Times New Roman" w:eastAsia="Times New Roman"/>
          <w:sz w:val="20"/>
        </w:rPr>
        <w:t xml:space="preserve">); the Attention U-Net difference is</w:t>
      </w:r>
      <w:r>
        <w:rPr>
          <w:rFonts w:ascii="Times New Roman" w:hAnsi="Times New Roman" w:eastAsia="Times New Roman"/>
          <w:sz w:val="20"/>
        </w:rPr>
        <w:t xml:space="preserve"> </w:t>
      </w:r>
      <m:oMath>
        <m:r>
          <m:rPr>
            <m:sty m:val="p"/>
          </m:rPr>
          <m:t>+</m:t>
        </m:r>
        <m:r>
          <m:t>0.38</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w:t>
      </w:r>
      <m:oMath>
        <m:r>
          <m:t>p</m:t>
        </m:r>
        <m:r>
          <m:rPr>
            <m:sty m:val="p"/>
          </m:rPr>
          <m:t>=</m:t>
        </m:r>
        <m:r>
          <m:t>0.869</m:t>
        </m:r>
      </m:oMath>
      <w:r>
        <w:rPr>
          <w:rFonts w:ascii="Times New Roman" w:hAnsi="Times New Roman" w:eastAsia="Times New Roman"/>
          <w:sz w:val="20"/>
        </w:rPr>
        <w:t xml:space="preserve">). Seed-42 backslope differences do not persist as stable three-seed effects (Troms</w:t>
      </w:r>
      <w:r>
        <w:rPr>
          <w:rFonts w:ascii="Times New Roman" w:hAnsi="Times New Roman" w:eastAsia="Times New Roman"/>
          <w:sz w:val="20"/>
        </w:rPr>
        <w:t xml:space="preserve">ø</w:t>
      </w:r>
      <w:r>
        <w:rPr>
          <w:rFonts w:ascii="Times New Roman" w:hAnsi="Times New Roman" w:eastAsia="Times New Roman"/>
          <w:sz w:val="20"/>
        </w:rPr>
        <w:t xml:space="preserve">:</w:t>
      </w:r>
      <w:r>
        <w:rPr>
          <w:rFonts w:ascii="Times New Roman" w:hAnsi="Times New Roman" w:eastAsia="Times New Roman"/>
          <w:sz w:val="20"/>
        </w:rPr>
        <w:t xml:space="preserve"> </w:t>
      </w:r>
      <m:oMath>
        <m:r>
          <m:rPr>
            <m:sty m:val="p"/>
          </m:rPr>
          <m:t>−</m:t>
        </m:r>
        <m:r>
          <m:t>0.34</m:t>
        </m:r>
        <m:r>
          <m:rPr>
            <m:sty m:val="p"/>
          </m:rPr>
          <m:t>%</m:t>
        </m:r>
        <m:r>
          <m:rPr>
            <m:sty m:val="p"/>
          </m:rPr>
          <m:t>±</m:t>
        </m:r>
        <m:r>
          <m:t>6.28</m:t>
        </m:r>
        <m:r>
          <m:rPr>
            <m:sty m:val="p"/>
          </m:rPr>
          <m:t>%</m:t>
        </m:r>
      </m:oMath>
      <w:r>
        <w:rPr>
          <w:rFonts w:ascii="Times New Roman" w:hAnsi="Times New Roman" w:eastAsia="Times New Roman"/>
          <w:sz w:val="20"/>
        </w:rPr>
        <w:t xml:space="preserve">; Pamir:</w:t>
      </w:r>
      <w:r>
        <w:rPr>
          <w:rFonts w:ascii="Times New Roman" w:hAnsi="Times New Roman" w:eastAsia="Times New Roman"/>
          <w:sz w:val="20"/>
        </w:rPr>
        <w:t xml:space="preserve"> </w:t>
      </w:r>
      <m:oMath>
        <m:r>
          <m:rPr>
            <m:sty m:val="p"/>
          </m:rPr>
          <m:t>+</m:t>
        </m:r>
        <m:r>
          <m:t>1.20</m:t>
        </m:r>
        <m:r>
          <m:rPr>
            <m:sty m:val="p"/>
          </m:rPr>
          <m:t>%</m:t>
        </m:r>
        <m:r>
          <m:rPr>
            <m:sty m:val="p"/>
          </m:rPr>
          <m:t>±</m:t>
        </m:r>
        <m:r>
          <m:t>7.73</m:t>
        </m:r>
        <m:r>
          <m:rPr>
            <m:sty m:val="p"/>
          </m:rPr>
          <m:t>%</m:t>
        </m:r>
      </m:oMath>
      <w:r>
        <w:rPr>
          <w:rFonts w:ascii="Times New Roman" w:hAnsi="Times New Roman" w:eastAsia="Times New Roman"/>
          <w:sz w:val="20"/>
        </w:rPr>
        <w:t xml:space="preserve">). In Pamir, the false-alarm footprint is</w:t>
      </w:r>
      <w:r>
        <w:rPr>
          <w:rFonts w:ascii="Times New Roman" w:hAnsi="Times New Roman" w:eastAsia="Times New Roman"/>
          <w:sz w:val="20"/>
        </w:rPr>
        <w:t xml:space="preserve"> </w:t>
      </w:r>
      <m:oMath>
        <m:r>
          <m:t>30.0</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lower than Attention U-Net (</w:t>
      </w:r>
      <m:oMath>
        <m:r>
          <m:t>72.9</m:t>
        </m:r>
        <m:r>
          <m:rPr>
            <m:nor/>
            <m:sty m:val="p"/>
          </m:rPr>
          <m:t> ha</m:t>
        </m:r>
      </m:oMath>
      <w:r>
        <w:rPr>
          <w:rFonts w:ascii="Times New Roman" w:hAnsi="Times New Roman" w:eastAsia="Times New Roman"/>
          <w:sz w:val="20"/>
        </w:rPr>
        <w:t xml:space="preserve"> </w:t>
      </w:r>
      <w:r>
        <w:rPr>
          <w:rFonts w:ascii="Times New Roman" w:hAnsi="Times New Roman" w:eastAsia="Times New Roman"/>
          <w:sz w:val="20"/>
        </w:rPr>
        <w:t xml:space="preserve">nominal-grid equivalent;</w:t>
      </w:r>
      <w:r>
        <w:rPr>
          <w:rFonts w:ascii="Times New Roman" w:hAnsi="Times New Roman" w:eastAsia="Times New Roman"/>
          <w:sz w:val="20"/>
        </w:rPr>
        <w:t xml:space="preserve"> </w:t>
      </w:r>
      <m:oMath>
        <m:r>
          <m:t>55.6</m:t>
        </m:r>
        <m:r>
          <m:rPr>
            <m:nor/>
            <m:sty m:val="p"/>
          </m:rPr>
          <m:t> ha</m:t>
        </m:r>
      </m:oMath>
      <w:r>
        <w:rPr>
          <w:rFonts w:ascii="Times New Roman" w:hAnsi="Times New Roman" w:eastAsia="Times New Roman"/>
          <w:sz w:val="20"/>
        </w:rPr>
        <w:t xml:space="preserve"> </w:t>
      </w:r>
      <w:r>
        <w:rPr>
          <w:rFonts w:ascii="Times New Roman" w:hAnsi="Times New Roman" w:eastAsia="Times New Roman"/>
          <w:sz w:val="20"/>
        </w:rPr>
        <w:t xml:space="preserve">affine physical difference). The slope-prior mask overlaps</w:t>
      </w:r>
      <w:r>
        <w:rPr>
          <w:rFonts w:ascii="Times New Roman" w:hAnsi="Times New Roman" w:eastAsia="Times New Roman"/>
          <w:sz w:val="20"/>
        </w:rPr>
        <w:t xml:space="preserve"> </w:t>
      </w:r>
      <m:oMath>
        <m:r>
          <m:t>18.47</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of training positives and lowers held-out positive recall inside that mask relative to No-GeoLoss. Validation-calibrated Pamir road-corridor alerts achieve</w:t>
      </w:r>
      <w:r>
        <w:rPr>
          <w:rFonts w:ascii="Times New Roman" w:hAnsi="Times New Roman" w:eastAsia="Times New Roman"/>
          <w:sz w:val="20"/>
        </w:rPr>
        <w:t xml:space="preserve"> </w:t>
      </w:r>
      <m:oMath>
        <m:r>
          <m:t>83.0</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precision and</w:t>
      </w:r>
      <w:r>
        <w:rPr>
          <w:rFonts w:ascii="Times New Roman" w:hAnsi="Times New Roman" w:eastAsia="Times New Roman"/>
          <w:sz w:val="20"/>
        </w:rPr>
        <w:t xml:space="preserve"> </w:t>
      </w:r>
      <m:oMath>
        <m:r>
          <m:t>62.5</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recall, but the single Troms</w:t>
      </w:r>
      <w:r>
        <w:rPr>
          <w:rFonts w:ascii="Times New Roman" w:hAnsi="Times New Roman" w:eastAsia="Times New Roman"/>
          <w:sz w:val="20"/>
        </w:rPr>
        <w:t xml:space="preserve">ø</w:t>
      </w:r>
      <w:r>
        <w:rPr>
          <w:rFonts w:ascii="Times New Roman" w:hAnsi="Times New Roman" w:eastAsia="Times New Roman"/>
          <w:sz w:val="20"/>
        </w:rPr>
        <w:t xml:space="preserve"> </w:t>
      </w:r>
      <w:r>
        <w:rPr>
          <w:rFonts w:ascii="Times New Roman" w:hAnsi="Times New Roman" w:eastAsia="Times New Roman"/>
          <w:sz w:val="20"/>
        </w:rPr>
        <w:t xml:space="preserve">road-intersecting avalanche is missed in all seeds. These results establish competitive pixel performance and explicit operational failure boundaries, not a component-isolated mechanism or deployment-ready system.</w:t>
      </w:r>
    </w:p>
    <w:p>
      <w:pPr>
        <w:pStyle w:val="FirstParagraph"/>
        <w:spacing w:after="0" w:line="240" w:lineRule="auto"/>
      </w:pPr>
      <w:r>
        <w:rPr>
          <w:rFonts w:ascii="Times New Roman" w:hAnsi="Times New Roman" w:eastAsia="Times New Roman"/>
          <w:b/>
          <w:bCs/>
          <w:sz w:val="20"/>
        </w:rPr>
        <w:t xml:space="preserve">Keywords:</w:t>
      </w:r>
      <w:r>
        <w:rPr>
          <w:rFonts w:ascii="Times New Roman" w:hAnsi="Times New Roman" w:eastAsia="Times New Roman"/>
          <w:sz w:val="20"/>
        </w:rPr>
        <w:t xml:space="preserve"> </w:t>
      </w:r>
      <w:r>
        <w:rPr>
          <w:rFonts w:ascii="Times New Roman" w:hAnsi="Times New Roman" w:eastAsia="Times New Roman"/>
          <w:sz w:val="20"/>
        </w:rPr>
        <w:t xml:space="preserve">Snow avalanche mapping; Sentinel-1 SAR; Mountain hazards; Radar-topographic geometry; Cross-attention network; Cross-system generalization; Disaster response</w:t>
      </w:r>
    </w:p>
    <w:bookmarkStart w:id="9" w:name="introduction"/>
    <w:p>
      <w:pPr>
        <w:pStyle w:val="Heading1"/>
        <w:spacing w:after="0" w:line="240" w:lineRule="auto"/>
      </w:pPr>
      <w:r>
        <w:rPr>
          <w:rFonts w:ascii="Times New Roman" w:hAnsi="Times New Roman" w:eastAsia="Times New Roman"/>
          <w:sz w:val="20"/>
        </w:rPr>
        <w:t xml:space="preserve">Introduction</w:t>
      </w:r>
    </w:p>
    <w:p>
      <w:pPr>
        <w:pStyle w:val="FirstParagraph"/>
        <w:spacing w:after="0" w:line="240" w:lineRule="auto"/>
      </w:pPr>
      <w:r>
        <w:rPr>
          <w:rFonts w:ascii="Times New Roman" w:hAnsi="Times New Roman" w:eastAsia="Times New Roman"/>
          <w:sz w:val="20"/>
        </w:rPr>
        <w:t xml:space="preserve">Snow avalanches represent one of the most destructive natural hazards in alpine and high-mountain environments worldwide, posing severe threats to human life, critical transportation corridors, hydropower infrastructure, and mountain settlements across major mountain systems such as the European Alps, the Pamirs, the Himalayas, and Arctic mountain belts</w:t>
      </w:r>
      <w:r>
        <w:rPr>
          <w:rFonts w:ascii="Times New Roman" w:hAnsi="Times New Roman" w:eastAsia="Times New Roman"/>
          <w:sz w:val="20"/>
        </w:rPr>
        <w:t xml:space="preserve"> </w:t>
      </w:r>
      <w:r>
        <w:rPr>
          <w:rFonts w:ascii="Times New Roman" w:hAnsi="Times New Roman" w:eastAsia="Times New Roman"/>
          <w:sz w:val="20"/>
        </w:rPr>
        <w:t xml:space="preserve">(Bühler et al. 2019; Eckerstorfer et al. 2017; European Avalanche Warning Services 2022; Techel et al. 2018)</w:t>
      </w:r>
      <w:r>
        <w:rPr>
          <w:rFonts w:ascii="Times New Roman" w:hAnsi="Times New Roman" w:eastAsia="Times New Roman"/>
          <w:sz w:val="20"/>
        </w:rPr>
        <w:t xml:space="preserve">. Rapid, systematic, and regional-scale mapping of avalanche release zones and debris deposits is vital for emergency search-and-rescue operations, hazard index updating, and retrospective validation of numerical avalanche dynamics models</w:t>
      </w:r>
      <w:r>
        <w:rPr>
          <w:rFonts w:ascii="Times New Roman" w:hAnsi="Times New Roman" w:eastAsia="Times New Roman"/>
          <w:sz w:val="20"/>
        </w:rPr>
        <w:t xml:space="preserve"> </w:t>
      </w:r>
      <w:r>
        <w:rPr>
          <w:rFonts w:ascii="Times New Roman" w:hAnsi="Times New Roman" w:eastAsia="Times New Roman"/>
          <w:sz w:val="20"/>
        </w:rPr>
        <w:t xml:space="preserve">(Tompkin and Leinss 2021; Eckerstorfer et al. 2021)</w:t>
      </w:r>
      <w:r>
        <w:rPr>
          <w:rFonts w:ascii="Times New Roman" w:hAnsi="Times New Roman" w:eastAsia="Times New Roman"/>
          <w:sz w:val="20"/>
        </w:rPr>
        <w:t xml:space="preserve">. However, conventional ground-based observations and optical satellite platforms (e.g., Sentinel-2, Landsat-8/9, PlanetScope) are frequently incapacitated during major avalanche cycles due to persistent cloud cover, winter blizzards, and polar night in high-latitude mountain regimes</w:t>
      </w:r>
      <w:r>
        <w:rPr>
          <w:rFonts w:ascii="Times New Roman" w:hAnsi="Times New Roman" w:eastAsia="Times New Roman"/>
          <w:sz w:val="20"/>
        </w:rPr>
        <w:t xml:space="preserve"> </w:t>
      </w:r>
      <w:r>
        <w:rPr>
          <w:rFonts w:ascii="Times New Roman" w:hAnsi="Times New Roman" w:eastAsia="Times New Roman"/>
          <w:sz w:val="20"/>
        </w:rPr>
        <w:t xml:space="preserve">(Eckerstorfer et al. 2019; Vickers et al. 2016)</w:t>
      </w:r>
      <w:r>
        <w:rPr>
          <w:rFonts w:ascii="Times New Roman" w:hAnsi="Times New Roman" w:eastAsia="Times New Roman"/>
          <w:sz w:val="20"/>
        </w:rPr>
        <w:t xml:space="preserve">.</w:t>
      </w:r>
    </w:p>
    <w:p>
      <w:pPr>
        <w:pStyle w:val="BodyText"/>
        <w:spacing w:after="0" w:line="240" w:lineRule="auto"/>
      </w:pPr>
      <w:r>
        <w:rPr>
          <w:rFonts w:ascii="Times New Roman" w:hAnsi="Times New Roman" w:eastAsia="Times New Roman"/>
          <w:sz w:val="20"/>
        </w:rPr>
        <w:t xml:space="preserve">Synthetic Aperture Radar (SAR), particularly spaceborne C-band radar operating on the European Space Agency’s (ESA) Sentinel-1 constellation, provides an indispensable all-weather, day-and-night observation system with a regular 6- to 12-day repeat cycle</w:t>
      </w:r>
      <w:r>
        <w:rPr>
          <w:rFonts w:ascii="Times New Roman" w:hAnsi="Times New Roman" w:eastAsia="Times New Roman"/>
          <w:sz w:val="20"/>
        </w:rPr>
        <w:t xml:space="preserve"> </w:t>
      </w:r>
      <w:r>
        <w:rPr>
          <w:rFonts w:ascii="Times New Roman" w:hAnsi="Times New Roman" w:eastAsia="Times New Roman"/>
          <w:sz w:val="20"/>
        </w:rPr>
        <w:t xml:space="preserve">(Eckerstorfer et al. 2017; Small 2011)</w:t>
      </w:r>
      <w:r>
        <w:rPr>
          <w:rFonts w:ascii="Times New Roman" w:hAnsi="Times New Roman" w:eastAsia="Times New Roman"/>
          <w:sz w:val="20"/>
        </w:rPr>
        <w:t xml:space="preserve">. When snow avalanches release, dense slab flow and turbulent powder snow transport heavy snow masses down mountain chutes, depositing rough, granulated debris mounds in runout fans. This mechanical deposition alters the snowpack surface from smooth, undisturbed snow into rough, blocky debris, markedly increasing surface and volume backscatter (</w:t>
      </w:r>
      <m:oMath>
        <m:r>
          <m:rPr>
            <m:sty m:val="p"/>
          </m:rPr>
          <m:t>Δ</m:t>
        </m:r>
        <m:sSup>
          <m:e>
            <m:r>
              <m:t>σ</m:t>
            </m:r>
          </m:e>
          <m:sup>
            <m:r>
              <m:t>0</m:t>
            </m:r>
          </m:sup>
        </m:sSup>
        <m:r>
          <m:rPr>
            <m:sty m:val="p"/>
          </m:rPr>
          <m:t>=</m:t>
        </m:r>
        <m:sSubSup>
          <m:e>
            <m:r>
              <m:t>σ</m:t>
            </m:r>
          </m:e>
          <m:sub>
            <m:r>
              <m:rPr>
                <m:nor/>
                <m:sty m:val="p"/>
              </m:rPr>
              <m:t>post</m:t>
            </m:r>
          </m:sub>
          <m:sup>
            <m:r>
              <m:t>0</m:t>
            </m:r>
          </m:sup>
        </m:sSubSup>
        <m:r>
          <m:rPr>
            <m:sty m:val="p"/>
          </m:rPr>
          <m:t>−</m:t>
        </m:r>
        <m:sSubSup>
          <m:e>
            <m:r>
              <m:t>σ</m:t>
            </m:r>
          </m:e>
          <m:sub>
            <m:r>
              <m:rPr>
                <m:nor/>
                <m:sty m:val="p"/>
              </m:rPr>
              <m:t>pre</m:t>
            </m:r>
          </m:sub>
          <m:sup>
            <m:r>
              <m:t>0</m:t>
            </m:r>
          </m:sup>
        </m:sSubSup>
        <m:r>
          <m:rPr>
            <m:sty m:val="p"/>
          </m:rPr>
          <m:t>&gt;</m:t>
        </m:r>
        <m:r>
          <m:t>0</m:t>
        </m:r>
      </m:oMath>
      <w:r>
        <w:rPr>
          <w:rFonts w:ascii="Times New Roman" w:hAnsi="Times New Roman" w:eastAsia="Times New Roman"/>
          <w:sz w:val="20"/>
        </w:rPr>
        <w:t xml:space="preserve">) in both cross-polarization (VH) and co-polarization (VV) channels</w:t>
      </w:r>
      <w:r>
        <w:rPr>
          <w:rFonts w:ascii="Times New Roman" w:hAnsi="Times New Roman" w:eastAsia="Times New Roman"/>
          <w:sz w:val="20"/>
        </w:rPr>
        <w:t xml:space="preserve"> </w:t>
      </w:r>
      <w:r>
        <w:rPr>
          <w:rFonts w:ascii="Times New Roman" w:hAnsi="Times New Roman" w:eastAsia="Times New Roman"/>
          <w:sz w:val="20"/>
        </w:rPr>
        <w:t xml:space="preserve">(Tompkin and Leinss 2021)</w:t>
      </w:r>
      <w:r>
        <w:rPr>
          <w:rFonts w:ascii="Times New Roman" w:hAnsi="Times New Roman" w:eastAsia="Times New Roman"/>
          <w:sz w:val="20"/>
        </w:rPr>
        <w:t xml:space="preserve">.</w:t>
      </w:r>
    </w:p>
    <w:p>
      <w:pPr>
        <w:pStyle w:val="BodyText"/>
        <w:spacing w:after="0" w:line="240" w:lineRule="auto"/>
      </w:pPr>
      <w:r>
        <w:rPr>
          <w:rFonts w:ascii="Times New Roman" w:hAnsi="Times New Roman" w:eastAsia="Times New Roman"/>
          <w:sz w:val="20"/>
        </w:rPr>
        <w:t xml:space="preserve">Despite these promising physical principles, automated SAR change detection in rugged alpine terrain has historically suffered from acute false alarm rates and severe geometric distortions</w:t>
      </w:r>
      <w:r>
        <w:rPr>
          <w:rFonts w:ascii="Times New Roman" w:hAnsi="Times New Roman" w:eastAsia="Times New Roman"/>
          <w:sz w:val="20"/>
        </w:rPr>
        <w:t xml:space="preserve"> </w:t>
      </w:r>
      <w:r>
        <w:rPr>
          <w:rFonts w:ascii="Times New Roman" w:hAnsi="Times New Roman" w:eastAsia="Times New Roman"/>
          <w:sz w:val="20"/>
        </w:rPr>
        <w:t xml:space="preserve">(Bianchi et al. 2021; Gatti et al. 2026)</w:t>
      </w:r>
      <w:r>
        <w:rPr>
          <w:rFonts w:ascii="Times New Roman" w:hAnsi="Times New Roman" w:eastAsia="Times New Roman"/>
          <w:sz w:val="20"/>
        </w:rPr>
        <w:t xml:space="preserve">. In steep topography, the side-looking imaging geometry of SAR creates complex radiometric distortions:</w:t>
      </w:r>
    </w:p>
    <w:p>
      <w:pPr>
        <w:numPr>
          <w:ilvl w:val="0"/>
          <w:numId w:val="1001"/>
        </w:numPr>
        <w:spacing w:after="0" w:line="240" w:lineRule="auto"/>
      </w:pPr>
      <w:r>
        <w:rPr>
          <w:rFonts w:ascii="Times New Roman" w:hAnsi="Times New Roman" w:eastAsia="Times New Roman"/>
          <w:b/>
          <w:bCs/>
          <w:sz w:val="20"/>
        </w:rPr>
        <w:t xml:space="preserve">Local Incidence Angle (LIA) Compression:</w:t>
      </w:r>
      <w:r>
        <w:rPr>
          <w:rFonts w:ascii="Times New Roman" w:hAnsi="Times New Roman" w:eastAsia="Times New Roman"/>
          <w:sz w:val="20"/>
        </w:rPr>
        <w:t xml:space="preserve"> </w:t>
      </w:r>
      <w:r>
        <w:rPr>
          <w:rFonts w:ascii="Times New Roman" w:hAnsi="Times New Roman" w:eastAsia="Times New Roman"/>
          <w:sz w:val="20"/>
        </w:rPr>
        <w:t xml:space="preserve">Mountain slopes tilted directly toward the radar antenna experience extreme ground-range compression (foreshortening) and layover, resulting in artificially high backscatter values that mimic avalanche debris. Conversely, slopes tilted away from the sensor produce high incidence angles and radar shadow, where signal-to-noise ratios collapse</w:t>
      </w:r>
      <w:r>
        <w:rPr>
          <w:rFonts w:ascii="Times New Roman" w:hAnsi="Times New Roman" w:eastAsia="Times New Roman"/>
          <w:sz w:val="20"/>
        </w:rPr>
        <w:t xml:space="preserve"> </w:t>
      </w:r>
      <w:r>
        <w:rPr>
          <w:rFonts w:ascii="Times New Roman" w:hAnsi="Times New Roman" w:eastAsia="Times New Roman"/>
          <w:sz w:val="20"/>
        </w:rPr>
        <w:t xml:space="preserve">(Small 2011; Tompkin and Leinss 2021)</w:t>
      </w:r>
      <w:r>
        <w:rPr>
          <w:rFonts w:ascii="Times New Roman" w:hAnsi="Times New Roman" w:eastAsia="Times New Roman"/>
          <w:sz w:val="20"/>
        </w:rPr>
        <w:t xml:space="preserve">.</w:t>
      </w:r>
    </w:p>
    <w:p>
      <w:pPr>
        <w:numPr>
          <w:ilvl w:val="0"/>
          <w:numId w:val="1001"/>
        </w:numPr>
        <w:spacing w:after="0" w:line="240" w:lineRule="auto"/>
      </w:pPr>
      <w:r>
        <w:rPr>
          <w:rFonts w:ascii="Times New Roman" w:hAnsi="Times New Roman" w:eastAsia="Times New Roman"/>
          <w:b/>
          <w:bCs/>
          <w:sz w:val="20"/>
        </w:rPr>
        <w:t xml:space="preserve">Directional Slope-Aspect Alignment:</w:t>
      </w:r>
      <w:r>
        <w:rPr>
          <w:rFonts w:ascii="Times New Roman" w:hAnsi="Times New Roman" w:eastAsia="Times New Roman"/>
          <w:sz w:val="20"/>
        </w:rPr>
        <w:t xml:space="preserve"> </w:t>
      </w:r>
      <w:r>
        <w:rPr>
          <w:rFonts w:ascii="Times New Roman" w:hAnsi="Times New Roman" w:eastAsia="Times New Roman"/>
          <w:sz w:val="20"/>
        </w:rPr>
        <w:t xml:space="preserve">Sentinel-1 operates in near-polar orbits with fixed ascending (look azimuth</w:t>
      </w:r>
      <w:r>
        <w:rPr>
          <w:rFonts w:ascii="Times New Roman" w:hAnsi="Times New Roman" w:eastAsia="Times New Roman"/>
          <w:sz w:val="20"/>
        </w:rPr>
        <w:t xml:space="preserve"> </w:t>
      </w:r>
      <m:oMath>
        <m:sSub>
          <m:e>
            <m:r>
              <m:t>ϕ</m:t>
            </m:r>
          </m:e>
          <m:sub>
            <m:r>
              <m:rPr>
                <m:nor/>
                <m:sty m:val="p"/>
              </m:rPr>
              <m:t>look</m:t>
            </m:r>
          </m:sub>
        </m:sSub>
        <m:r>
          <m:rPr>
            <m:sty m:val="p"/>
          </m:rPr>
          <m:t>≈</m:t>
        </m:r>
        <m:sSup>
          <m:e>
            <m:r>
              <m:t>78</m:t>
            </m:r>
          </m:e>
          <m:sup>
            <m:r>
              <m:rPr>
                <m:sty m:val="p"/>
              </m:rPr>
              <m:t>∘</m:t>
            </m:r>
          </m:sup>
        </m:sSup>
      </m:oMath>
      <w:r>
        <w:rPr>
          <w:rFonts w:ascii="Times New Roman" w:hAnsi="Times New Roman" w:eastAsia="Times New Roman"/>
          <w:sz w:val="20"/>
        </w:rPr>
        <w:t xml:space="preserve">) and descending (</w:t>
      </w:r>
      <m:oMath>
        <m:sSub>
          <m:e>
            <m:r>
              <m:t>ϕ</m:t>
            </m:r>
          </m:e>
          <m:sub>
            <m:r>
              <m:rPr>
                <m:nor/>
                <m:sty m:val="p"/>
              </m:rPr>
              <m:t>look</m:t>
            </m:r>
          </m:sub>
        </m:sSub>
        <m:r>
          <m:rPr>
            <m:sty m:val="p"/>
          </m:rPr>
          <m:t>≈</m:t>
        </m:r>
        <m:sSup>
          <m:e>
            <m:r>
              <m:t>282</m:t>
            </m:r>
          </m:e>
          <m:sup>
            <m:r>
              <m:rPr>
                <m:sty m:val="p"/>
              </m:rPr>
              <m:t>∘</m:t>
            </m:r>
          </m:sup>
        </m:sSup>
      </m:oMath>
      <w:r>
        <w:rPr>
          <w:rFonts w:ascii="Times New Roman" w:hAnsi="Times New Roman" w:eastAsia="Times New Roman"/>
          <w:sz w:val="20"/>
        </w:rPr>
        <w:t xml:space="preserve">) lines of sight. As established by</w:t>
      </w:r>
      <w:r>
        <w:rPr>
          <w:rFonts w:ascii="Times New Roman" w:hAnsi="Times New Roman" w:eastAsia="Times New Roman"/>
          <w:sz w:val="20"/>
        </w:rPr>
        <w:t xml:space="preserve"> </w:t>
      </w:r>
      <w:r>
        <w:rPr>
          <w:rFonts w:ascii="Times New Roman" w:hAnsi="Times New Roman" w:eastAsia="Times New Roman"/>
          <w:sz w:val="20"/>
        </w:rPr>
        <w:t xml:space="preserve">Tompkin and Leinss (2021)</w:t>
      </w:r>
      <w:r>
        <w:rPr>
          <w:rFonts w:ascii="Times New Roman" w:hAnsi="Times New Roman" w:eastAsia="Times New Roman"/>
          <w:sz w:val="20"/>
        </w:rPr>
        <w:t xml:space="preserve">, avalanche backscatter contrast is highly anisotropic with respect to the angle between slope aspect and radar look direction: slopes facing away from the radar exhibit the highest relative brightness anomalies (</w:t>
      </w:r>
      <m:oMath>
        <m:sSup>
          <m:e>
            <m:r>
              <m:t>55</m:t>
            </m:r>
          </m:e>
          <m:sup>
            <m:r>
              <m:rPr>
                <m:sty m:val="p"/>
              </m:rPr>
              <m:t>∘</m:t>
            </m:r>
          </m:sup>
        </m:sSup>
        <m:r>
          <m:rPr>
            <m:sty m:val="p"/>
          </m:rPr>
          <m:t>±</m:t>
        </m:r>
        <m:sSup>
          <m:e>
            <m:r>
              <m:t>20</m:t>
            </m:r>
          </m:e>
          <m:sup>
            <m:r>
              <m:rPr>
                <m:sty m:val="p"/>
              </m:rPr>
              <m:t>∘</m:t>
            </m:r>
          </m:sup>
        </m:sSup>
      </m:oMath>
      <w:r>
        <w:rPr>
          <w:rFonts w:ascii="Times New Roman" w:hAnsi="Times New Roman" w:eastAsia="Times New Roman"/>
          <w:sz w:val="20"/>
        </w:rPr>
        <w:t xml:space="preserve"> </w:t>
      </w:r>
      <w:r>
        <w:rPr>
          <w:rFonts w:ascii="Times New Roman" w:hAnsi="Times New Roman" w:eastAsia="Times New Roman"/>
          <w:sz w:val="20"/>
        </w:rPr>
        <w:t xml:space="preserve">LIA), while foreslopes generate severe topographic clutter. In complex alpine relief, steep topography also influences winter terrain roughness and snow drift accumulation</w:t>
      </w:r>
      <w:r>
        <w:rPr>
          <w:rFonts w:ascii="Times New Roman" w:hAnsi="Times New Roman" w:eastAsia="Times New Roman"/>
          <w:sz w:val="20"/>
        </w:rPr>
        <w:t xml:space="preserve"> </w:t>
      </w:r>
      <w:r>
        <w:rPr>
          <w:rFonts w:ascii="Times New Roman" w:hAnsi="Times New Roman" w:eastAsia="Times New Roman"/>
          <w:sz w:val="20"/>
        </w:rPr>
        <w:t xml:space="preserve">(Veitinger et al. 2014)</w:t>
      </w:r>
      <w:r>
        <w:rPr>
          <w:rFonts w:ascii="Times New Roman" w:hAnsi="Times New Roman" w:eastAsia="Times New Roman"/>
          <w:sz w:val="20"/>
        </w:rPr>
        <w:t xml:space="preserve">.</w:t>
      </w:r>
    </w:p>
    <w:p>
      <w:pPr>
        <w:numPr>
          <w:ilvl w:val="0"/>
          <w:numId w:val="1001"/>
        </w:numPr>
        <w:spacing w:after="0" w:line="240" w:lineRule="auto"/>
      </w:pPr>
      <w:r>
        <w:rPr>
          <w:rFonts w:ascii="Times New Roman" w:hAnsi="Times New Roman" w:eastAsia="Times New Roman"/>
          <w:b/>
          <w:bCs/>
          <w:sz w:val="20"/>
        </w:rPr>
        <w:t xml:space="preserve">Slope-Prior Sensitivity:</w:t>
      </w:r>
      <w:r>
        <w:rPr>
          <w:rFonts w:ascii="Times New Roman" w:hAnsi="Times New Roman" w:eastAsia="Times New Roman"/>
          <w:sz w:val="20"/>
        </w:rPr>
        <w:t xml:space="preserve"> </w:t>
      </w:r>
      <w:r>
        <w:rPr>
          <w:rFonts w:ascii="Times New Roman" w:hAnsi="Times New Roman" w:eastAsia="Times New Roman"/>
          <w:sz w:val="20"/>
        </w:rPr>
        <w:t xml:space="preserve">Flat valley bottoms (</w:t>
      </w:r>
      <m:oMath>
        <m:r>
          <m:rPr>
            <m:sty m:val="p"/>
          </m:rPr>
          <m:t>&lt;</m:t>
        </m:r>
        <m:sSup>
          <m:e>
            <m:r>
              <m:t>5</m:t>
            </m:r>
          </m:e>
          <m:sup>
            <m:r>
              <m:rPr>
                <m:sty m:val="p"/>
              </m:rPr>
              <m:t>∘</m:t>
            </m:r>
          </m:sup>
        </m:sSup>
      </m:oMath>
      <w:r>
        <w:rPr>
          <w:rFonts w:ascii="Times New Roman" w:hAnsi="Times New Roman" w:eastAsia="Times New Roman"/>
          <w:sz w:val="20"/>
        </w:rPr>
        <w:t xml:space="preserve">) and very steep rock faces (</w:t>
      </w:r>
      <m:oMath>
        <m:r>
          <m:rPr>
            <m:sty m:val="p"/>
          </m:rPr>
          <m:t>&gt;</m:t>
        </m:r>
        <m:sSup>
          <m:e>
            <m:r>
              <m:t>65</m:t>
            </m:r>
          </m:e>
          <m:sup>
            <m:r>
              <m:rPr>
                <m:sty m:val="p"/>
              </m:rPr>
              <m:t>∘</m:t>
            </m:r>
          </m:sup>
        </m:sSup>
      </m:oMath>
      <w:r>
        <w:rPr>
          <w:rFonts w:ascii="Times New Roman" w:hAnsi="Times New Roman" w:eastAsia="Times New Roman"/>
          <w:sz w:val="20"/>
        </w:rPr>
        <w:t xml:space="preserve">) can contain clutter, but they also contain genuine mapped debris through runout, terrain-model error, or geolocation effects. Any slope prior must therefore be treated as a heuristic rather than a physical-validity mask.</w:t>
      </w:r>
    </w:p>
    <w:p>
      <w:pPr>
        <w:pStyle w:val="FirstParagraph"/>
        <w:spacing w:after="0" w:line="240" w:lineRule="auto"/>
      </w:pPr>
      <w:r>
        <w:rPr>
          <w:rFonts w:ascii="Times New Roman" w:hAnsi="Times New Roman" w:eastAsia="Times New Roman"/>
          <w:sz w:val="20"/>
        </w:rPr>
        <w:t xml:space="preserve">Existing automated detection approaches have struggled to address these coupled physical mechanisms. Early methods relied on empirical thresholding of backscatter differences (</w:t>
      </w:r>
      <m:oMath>
        <m:r>
          <m:rPr>
            <m:sty m:val="p"/>
          </m:rPr>
          <m:t>Δ</m:t>
        </m:r>
        <m:sSup>
          <m:e>
            <m:r>
              <m:t>σ</m:t>
            </m:r>
          </m:e>
          <m:sup>
            <m:r>
              <m:t>0</m:t>
            </m:r>
          </m:sup>
        </m:sSup>
      </m:oMath>
      <w:r>
        <w:rPr>
          <w:rFonts w:ascii="Times New Roman" w:hAnsi="Times New Roman" w:eastAsia="Times New Roman"/>
          <w:sz w:val="20"/>
        </w:rPr>
        <w:t xml:space="preserve">) combined with heuristic slope filters</w:t>
      </w:r>
      <w:r>
        <w:rPr>
          <w:rFonts w:ascii="Times New Roman" w:hAnsi="Times New Roman" w:eastAsia="Times New Roman"/>
          <w:sz w:val="20"/>
        </w:rPr>
        <w:t xml:space="preserve"> </w:t>
      </w:r>
      <w:r>
        <w:rPr>
          <w:rFonts w:ascii="Times New Roman" w:hAnsi="Times New Roman" w:eastAsia="Times New Roman"/>
          <w:sz w:val="20"/>
        </w:rPr>
        <w:t xml:space="preserve">(Eckerstorfer et al. 2019; Vickers et al. 2016)</w:t>
      </w:r>
      <w:r>
        <w:rPr>
          <w:rFonts w:ascii="Times New Roman" w:hAnsi="Times New Roman" w:eastAsia="Times New Roman"/>
          <w:sz w:val="20"/>
        </w:rPr>
        <w:t xml:space="preserve">;</w:t>
      </w:r>
      <w:r>
        <w:rPr>
          <w:rFonts w:ascii="Times New Roman" w:hAnsi="Times New Roman" w:eastAsia="Times New Roman"/>
          <w:sz w:val="20"/>
        </w:rPr>
        <w:t xml:space="preserve"> </w:t>
      </w:r>
      <w:r>
        <w:rPr>
          <w:rFonts w:ascii="Times New Roman" w:hAnsi="Times New Roman" w:eastAsia="Times New Roman"/>
          <w:sz w:val="20"/>
        </w:rPr>
        <w:t xml:space="preserve">Liu et al. (2021)</w:t>
      </w:r>
      <w:r>
        <w:rPr>
          <w:rFonts w:ascii="Times New Roman" w:hAnsi="Times New Roman" w:eastAsia="Times New Roman"/>
          <w:sz w:val="20"/>
        </w:rPr>
        <w:t xml:space="preserve"> </w:t>
      </w:r>
      <w:r>
        <w:rPr>
          <w:rFonts w:ascii="Times New Roman" w:hAnsi="Times New Roman" w:eastAsia="Times New Roman"/>
          <w:sz w:val="20"/>
        </w:rPr>
        <w:t xml:space="preserve">subsequently combined object-based Sentinel-1 classification with topographic causative indices using SVM and logistic-regression mapping. Recent deep-learning work introduced Siamese convolutional networks, attention-augmented change detection</w:t>
      </w:r>
      <w:r>
        <w:rPr>
          <w:rFonts w:ascii="Times New Roman" w:hAnsi="Times New Roman" w:eastAsia="Times New Roman"/>
          <w:sz w:val="20"/>
        </w:rPr>
        <w:t xml:space="preserve"> </w:t>
      </w:r>
      <w:r>
        <w:rPr>
          <w:rFonts w:ascii="Times New Roman" w:hAnsi="Times New Roman" w:eastAsia="Times New Roman"/>
          <w:sz w:val="20"/>
        </w:rPr>
        <w:t xml:space="preserve">(Caye Daudt et al. 2018; Zhang et al. 2018; Chen et al. 2022; Bandara and Patel 2022; Gatti et al. 2026)</w:t>
      </w:r>
      <w:r>
        <w:rPr>
          <w:rFonts w:ascii="Times New Roman" w:hAnsi="Times New Roman" w:eastAsia="Times New Roman"/>
          <w:sz w:val="20"/>
        </w:rPr>
        <w:t xml:space="preserve">, and promptable foundation models</w:t>
      </w:r>
      <w:r>
        <w:rPr>
          <w:rFonts w:ascii="Times New Roman" w:hAnsi="Times New Roman" w:eastAsia="Times New Roman"/>
          <w:sz w:val="20"/>
        </w:rPr>
        <w:t xml:space="preserve"> </w:t>
      </w:r>
      <w:r>
        <w:rPr>
          <w:rFonts w:ascii="Times New Roman" w:hAnsi="Times New Roman" w:eastAsia="Times New Roman"/>
          <w:sz w:val="20"/>
        </w:rPr>
        <w:t xml:space="preserve">(Gelato et al. 2026)</w:t>
      </w:r>
      <w:r>
        <w:rPr>
          <w:rFonts w:ascii="Times New Roman" w:hAnsi="Times New Roman" w:eastAsia="Times New Roman"/>
          <w:sz w:val="20"/>
        </w:rPr>
        <w:t xml:space="preserve">.</w:t>
      </w:r>
      <w:r>
        <w:rPr>
          <w:rFonts w:ascii="Times New Roman" w:hAnsi="Times New Roman" w:eastAsia="Times New Roman"/>
          <w:sz w:val="20"/>
        </w:rPr>
        <w:t xml:space="preserve"> </w:t>
      </w:r>
      <w:r>
        <w:rPr>
          <w:rFonts w:ascii="Times New Roman" w:hAnsi="Times New Roman" w:eastAsia="Times New Roman"/>
          <w:sz w:val="20"/>
        </w:rPr>
        <w:t xml:space="preserve">Bianchi et al. (2021)</w:t>
      </w:r>
      <w:r>
        <w:rPr>
          <w:rFonts w:ascii="Times New Roman" w:hAnsi="Times New Roman" w:eastAsia="Times New Roman"/>
          <w:sz w:val="20"/>
        </w:rPr>
        <w:t xml:space="preserve"> </w:t>
      </w:r>
      <w:r>
        <w:rPr>
          <w:rFonts w:ascii="Times New Roman" w:hAnsi="Times New Roman" w:eastAsia="Times New Roman"/>
          <w:sz w:val="20"/>
        </w:rPr>
        <w:t xml:space="preserve">investigated convolutional segmentation with slope and potential-angle-of-reach masks, while</w:t>
      </w:r>
      <w:r>
        <w:rPr>
          <w:rFonts w:ascii="Times New Roman" w:hAnsi="Times New Roman" w:eastAsia="Times New Roman"/>
          <w:sz w:val="20"/>
        </w:rPr>
        <w:t xml:space="preserve"> </w:t>
      </w:r>
      <w:r>
        <w:rPr>
          <w:rFonts w:ascii="Times New Roman" w:hAnsi="Times New Roman" w:eastAsia="Times New Roman"/>
          <w:sz w:val="20"/>
        </w:rPr>
        <w:t xml:space="preserve">Gatti et al. (2026)</w:t>
      </w:r>
      <w:r>
        <w:rPr>
          <w:rFonts w:ascii="Times New Roman" w:hAnsi="Times New Roman" w:eastAsia="Times New Roman"/>
          <w:sz w:val="20"/>
        </w:rPr>
        <w:t xml:space="preserve"> </w:t>
      </w:r>
      <w:r>
        <w:rPr>
          <w:rFonts w:ascii="Times New Roman" w:hAnsi="Times New Roman" w:eastAsia="Times New Roman"/>
          <w:sz w:val="20"/>
        </w:rPr>
        <w:t xml:space="preserve">explored multimodal Swin Transformer concatenation on AvalCD. TopoRadar-Net differs from the object-based SVM/LR workflow of</w:t>
      </w:r>
      <w:r>
        <w:rPr>
          <w:rFonts w:ascii="Times New Roman" w:hAnsi="Times New Roman" w:eastAsia="Times New Roman"/>
          <w:sz w:val="20"/>
        </w:rPr>
        <w:t xml:space="preserve"> </w:t>
      </w:r>
      <w:r>
        <w:rPr>
          <w:rFonts w:ascii="Times New Roman" w:hAnsi="Times New Roman" w:eastAsia="Times New Roman"/>
          <w:sz w:val="20"/>
        </w:rPr>
        <w:t xml:space="preserve">Liu et al. (2021)</w:t>
      </w:r>
      <w:r>
        <w:rPr>
          <w:rFonts w:ascii="Times New Roman" w:hAnsi="Times New Roman" w:eastAsia="Times New Roman"/>
          <w:sz w:val="20"/>
        </w:rPr>
        <w:t xml:space="preserve"> </w:t>
      </w:r>
      <w:r>
        <w:rPr>
          <w:rFonts w:ascii="Times New Roman" w:hAnsi="Times New Roman" w:eastAsia="Times New Roman"/>
          <w:sz w:val="20"/>
        </w:rPr>
        <w:t xml:space="preserve">through learned SAR-query/topography-key-value fusion and differs from single-configuration studies through cross-system, multi-seed stability and negative-result characterization. In the wider natural-hazards literature, geomorphological assessment and deep-learning susceptibility studies show severe transfer hurdles across catchments</w:t>
      </w:r>
      <w:r>
        <w:rPr>
          <w:rFonts w:ascii="Times New Roman" w:hAnsi="Times New Roman" w:eastAsia="Times New Roman"/>
          <w:sz w:val="20"/>
        </w:rPr>
        <w:t xml:space="preserve"> </w:t>
      </w:r>
      <w:r>
        <w:rPr>
          <w:rFonts w:ascii="Times New Roman" w:hAnsi="Times New Roman" w:eastAsia="Times New Roman"/>
          <w:sz w:val="20"/>
        </w:rPr>
        <w:t xml:space="preserve">(Wang et al. 2023; Sajjad et al. 2024; Zhou et al. 2023; Guo et al. 2025; Guo et al. 2024; Garova et al. 2025; Cao et al. 2026)</w:t>
      </w:r>
      <w:r>
        <w:rPr>
          <w:rFonts w:ascii="Times New Roman" w:hAnsi="Times New Roman" w:eastAsia="Times New Roman"/>
          <w:sz w:val="20"/>
        </w:rPr>
        <w:t xml:space="preserve">. Our controlled comparisons evaluate whether auxiliary radar-topographic cross-attention and continuous aspect-look coordinates provide measurable advantages over standard architectures.</w:t>
      </w:r>
    </w:p>
    <w:p>
      <w:pPr>
        <w:pStyle w:val="BodyText"/>
        <w:spacing w:after="0" w:line="240" w:lineRule="auto"/>
      </w:pPr>
      <w:r>
        <w:rPr>
          <w:rFonts w:ascii="Times New Roman" w:hAnsi="Times New Roman" w:eastAsia="Times New Roman"/>
          <w:sz w:val="20"/>
        </w:rPr>
        <w:t xml:space="preserve">To overcome these fundamental limitations, we propose</w:t>
      </w:r>
      <w:r>
        <w:rPr>
          <w:rFonts w:ascii="Times New Roman" w:hAnsi="Times New Roman" w:eastAsia="Times New Roman"/>
          <w:sz w:val="20"/>
        </w:rPr>
        <w:t xml:space="preserve"> </w:t>
      </w:r>
      <w:r>
        <w:rPr>
          <w:rFonts w:ascii="Times New Roman" w:hAnsi="Times New Roman" w:eastAsia="Times New Roman"/>
          <w:b/>
          <w:bCs/>
          <w:sz w:val="20"/>
        </w:rPr>
        <w:t xml:space="preserve">TopoRadar-Net</w:t>
      </w:r>
      <w:r>
        <w:rPr>
          <w:rFonts w:ascii="Times New Roman" w:hAnsi="Times New Roman" w:eastAsia="Times New Roman"/>
          <w:sz w:val="20"/>
        </w:rPr>
        <w:t xml:space="preserve">, a lightweight, physics-guided cross-attention architecture specifically engineered for alpine SAR change detection. Rather than relying on black-box concatenation, TopoRadar-Net introduces four methodological, theoretical, and operational innovations:</w:t>
      </w:r>
    </w:p>
    <w:p>
      <w:pPr>
        <w:numPr>
          <w:ilvl w:val="0"/>
          <w:numId w:val="1002"/>
        </w:numPr>
        <w:spacing w:after="0" w:line="240" w:lineRule="auto"/>
      </w:pPr>
      <w:r>
        <w:rPr>
          <w:rFonts w:ascii="Times New Roman" w:hAnsi="Times New Roman" w:eastAsia="Times New Roman"/>
          <w:b/>
          <w:bCs/>
          <w:sz w:val="20"/>
        </w:rPr>
        <w:t xml:space="preserve">Theoretical Formulation of 2D Convolutional Inadequacy:</w:t>
      </w:r>
      <w:r>
        <w:rPr>
          <w:rFonts w:ascii="Times New Roman" w:hAnsi="Times New Roman" w:eastAsia="Times New Roman"/>
          <w:sz w:val="20"/>
        </w:rPr>
        <w:t xml:space="preserve"> </w:t>
      </w:r>
      <w:r>
        <w:rPr>
          <w:rFonts w:ascii="Times New Roman" w:hAnsi="Times New Roman" w:eastAsia="Times New Roman"/>
          <w:sz w:val="20"/>
        </w:rPr>
        <w:t xml:space="preserve">We formulate the geometric limitations of shift-invariant 2D linear convolutions operating purely on SAR intensity space under the non-stationary radiometric projection field</w:t>
      </w:r>
      <w:r>
        <w:rPr>
          <w:rFonts w:ascii="Times New Roman" w:hAnsi="Times New Roman" w:eastAsia="Times New Roman"/>
          <w:sz w:val="20"/>
        </w:rPr>
        <w:t xml:space="preserve"> </w:t>
      </w:r>
      <m:oMath>
        <m:f>
          <m:fPr>
            <m:type m:val="bar"/>
          </m:fPr>
          <m:num>
            <m:r>
              <m:rPr>
                <m:sty m:val="p"/>
              </m:rPr>
              <m:t>cos</m:t>
            </m:r>
            <m:r>
              <m:t>ψ</m:t>
            </m:r>
          </m:num>
          <m:den>
            <m:r>
              <m:rPr>
                <m:sty m:val="p"/>
              </m:rPr>
              <m:t>sin</m:t>
            </m:r>
            <m:sSub>
              <m:e>
                <m:r>
                  <m:t>θ</m:t>
                </m:r>
              </m:e>
              <m:sub>
                <m:r>
                  <m:rPr>
                    <m:nor/>
                    <m:sty m:val="p"/>
                  </m:rPr>
                  <m:t>inc</m:t>
                </m:r>
              </m:sub>
            </m:sSub>
          </m:den>
        </m:f>
      </m:oMath>
      <w:r>
        <w:rPr>
          <w:rFonts w:ascii="Times New Roman" w:hAnsi="Times New Roman" w:eastAsia="Times New Roman"/>
          <w:sz w:val="20"/>
        </w:rPr>
        <w:t xml:space="preserve">. We show that projecting terrain into a continuous 4D aspect-look manifold</w:t>
      </w:r>
      <w:r>
        <w:rPr>
          <w:rFonts w:ascii="Times New Roman" w:hAnsi="Times New Roman" w:eastAsia="Times New Roman"/>
          <w:sz w:val="20"/>
        </w:rPr>
        <w:t xml:space="preserve"> </w:t>
      </w:r>
      <m:oMath>
        <m:r>
          <m:rPr>
            <m:scr m:val="script"/>
            <m:sty m:val="p"/>
          </m:rPr>
          <m:t>M</m:t>
        </m:r>
      </m:oMath>
      <w:r>
        <w:rPr>
          <w:rFonts w:ascii="Times New Roman" w:hAnsi="Times New Roman" w:eastAsia="Times New Roman"/>
          <w:sz w:val="20"/>
        </w:rPr>
        <w:t xml:space="preserve"> </w:t>
      </w:r>
      <w:r>
        <w:rPr>
          <w:rFonts w:ascii="Times New Roman" w:hAnsi="Times New Roman" w:eastAsia="Times New Roman"/>
          <w:sz w:val="20"/>
        </w:rPr>
        <w:t xml:space="preserve">provides continuous orientation coordinates to condition feature representations without circular angular branch-cut discontinuities.</w:t>
      </w:r>
    </w:p>
    <w:p>
      <w:pPr>
        <w:numPr>
          <w:ilvl w:val="0"/>
          <w:numId w:val="1002"/>
        </w:numPr>
        <w:spacing w:after="0" w:line="240" w:lineRule="auto"/>
      </w:pPr>
      <w:r>
        <w:rPr>
          <w:rFonts w:ascii="Times New Roman" w:hAnsi="Times New Roman" w:eastAsia="Times New Roman"/>
          <w:b/>
          <w:bCs/>
          <w:sz w:val="20"/>
        </w:rPr>
        <w:t xml:space="preserve">Multi-Scale Radar-Topographic Cross-Attention Block (RTCAB):</w:t>
      </w:r>
      <w:r>
        <w:rPr>
          <w:rFonts w:ascii="Times New Roman" w:hAnsi="Times New Roman" w:eastAsia="Times New Roman"/>
          <w:sz w:val="20"/>
        </w:rPr>
        <w:t xml:space="preserve"> </w:t>
      </w:r>
      <w:r>
        <w:rPr>
          <w:rFonts w:ascii="Times New Roman" w:hAnsi="Times New Roman" w:eastAsia="Times New Roman"/>
          <w:sz w:val="20"/>
        </w:rPr>
        <w:t xml:space="preserve">We design a cross-attention mechanism wherein multi-scale bitemporal SAR change features serve as queries to interrogate regionally-pooled topographic geometry keys and values, conditioning spatial feature representations on terrain context.</w:t>
      </w:r>
    </w:p>
    <w:p>
      <w:pPr>
        <w:numPr>
          <w:ilvl w:val="0"/>
          <w:numId w:val="1002"/>
        </w:numPr>
        <w:spacing w:after="0" w:line="240" w:lineRule="auto"/>
      </w:pPr>
      <w:r>
        <w:rPr>
          <w:rFonts w:ascii="Times New Roman" w:hAnsi="Times New Roman" w:eastAsia="Times New Roman"/>
          <w:b/>
          <w:bCs/>
          <w:sz w:val="20"/>
        </w:rPr>
        <w:t xml:space="preserve">Heuristic Geomorphic Slope Prior (Geo-Loss):</w:t>
      </w:r>
      <w:r>
        <w:rPr>
          <w:rFonts w:ascii="Times New Roman" w:hAnsi="Times New Roman" w:eastAsia="Times New Roman"/>
          <w:sz w:val="20"/>
        </w:rPr>
        <w:t xml:space="preserve"> </w:t>
      </w:r>
      <w:r>
        <w:rPr>
          <w:rFonts w:ascii="Times New Roman" w:hAnsi="Times New Roman" w:eastAsia="Times New Roman"/>
          <w:sz w:val="20"/>
        </w:rPr>
        <w:t xml:space="preserve">We evaluate a soft penalty on predictions below</w:t>
      </w:r>
      <w:r>
        <w:rPr>
          <w:rFonts w:ascii="Times New Roman" w:hAnsi="Times New Roman" w:eastAsia="Times New Roman"/>
          <w:sz w:val="20"/>
        </w:rPr>
        <w:t xml:space="preserve"> </w:t>
      </w:r>
      <m:oMath>
        <m:sSup>
          <m:e>
            <m:r>
              <m:t>5</m:t>
            </m:r>
          </m:e>
          <m:sup>
            <m:r>
              <m:rPr>
                <m:sty m:val="p"/>
              </m:rPr>
              <m:t>∘</m:t>
            </m:r>
          </m:sup>
        </m:sSup>
      </m:oMath>
      <w:r>
        <w:rPr>
          <w:rFonts w:ascii="Times New Roman" w:hAnsi="Times New Roman" w:eastAsia="Times New Roman"/>
          <w:sz w:val="20"/>
        </w:rPr>
        <w:t xml:space="preserve"> </w:t>
      </w:r>
      <w:r>
        <w:rPr>
          <w:rFonts w:ascii="Times New Roman" w:hAnsi="Times New Roman" w:eastAsia="Times New Roman"/>
          <w:sz w:val="20"/>
        </w:rPr>
        <w:t xml:space="preserve">and above</w:t>
      </w:r>
      <w:r>
        <w:rPr>
          <w:rFonts w:ascii="Times New Roman" w:hAnsi="Times New Roman" w:eastAsia="Times New Roman"/>
          <w:sz w:val="20"/>
        </w:rPr>
        <w:t xml:space="preserve"> </w:t>
      </w:r>
      <m:oMath>
        <m:sSup>
          <m:e>
            <m:r>
              <m:t>65</m:t>
            </m:r>
          </m:e>
          <m:sup>
            <m:r>
              <m:rPr>
                <m:sty m:val="p"/>
              </m:rPr>
              <m:t>∘</m:t>
            </m:r>
          </m:sup>
        </m:sSup>
      </m:oMath>
      <w:r>
        <w:rPr>
          <w:rFonts w:ascii="Times New Roman" w:hAnsi="Times New Roman" w:eastAsia="Times New Roman"/>
          <w:sz w:val="20"/>
        </w:rPr>
        <w:t xml:space="preserve">. A construct audit shows that the mask also covers genuine positive labels, so its ablation is interpreted as component sensitivity and its subgroup trade-off is reported explicitly.</w:t>
      </w:r>
    </w:p>
    <w:p>
      <w:pPr>
        <w:numPr>
          <w:ilvl w:val="0"/>
          <w:numId w:val="1002"/>
        </w:numPr>
        <w:spacing w:after="0" w:line="240" w:lineRule="auto"/>
      </w:pPr>
      <w:r>
        <w:rPr>
          <w:rFonts w:ascii="Times New Roman" w:hAnsi="Times New Roman" w:eastAsia="Times New Roman"/>
          <w:b/>
          <w:bCs/>
          <w:sz w:val="20"/>
        </w:rPr>
        <w:t xml:space="preserve">Cross-System Generalization and Conceptual Decision Support:</w:t>
      </w:r>
      <w:r>
        <w:rPr>
          <w:rFonts w:ascii="Times New Roman" w:hAnsi="Times New Roman" w:eastAsia="Times New Roman"/>
          <w:sz w:val="20"/>
        </w:rPr>
        <w:t xml:space="preserve"> </w:t>
      </w:r>
      <w:r>
        <w:rPr>
          <w:rFonts w:ascii="Times New Roman" w:hAnsi="Times New Roman" w:eastAsia="Times New Roman"/>
          <w:sz w:val="20"/>
        </w:rPr>
        <w:t xml:space="preserve">We evaluate TopoRadar-Net across four mountain systems comprising 7 Sentinel-1 scenes and 993 avalanche polygons. Across three seeds, the pooled margin over Attention U-Net is</w:t>
      </w:r>
      <w:r>
        <w:rPr>
          <w:rFonts w:ascii="Times New Roman" w:hAnsi="Times New Roman" w:eastAsia="Times New Roman"/>
          <w:sz w:val="20"/>
        </w:rPr>
        <w:t xml:space="preserve"> </w:t>
      </w:r>
      <m:oMath>
        <m:r>
          <m:rPr>
            <m:sty m:val="p"/>
          </m:rPr>
          <m:t>+</m:t>
        </m:r>
        <m:r>
          <m:t>0.38</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w:t>
      </w:r>
      <m:oMath>
        <m:r>
          <m:t>p</m:t>
        </m:r>
        <m:r>
          <m:rPr>
            <m:sty m:val="p"/>
          </m:rPr>
          <m:t>=</m:t>
        </m:r>
        <m:r>
          <m:t>0.869</m:t>
        </m:r>
      </m:oMath>
      <w:r>
        <w:rPr>
          <w:rFonts w:ascii="Times New Roman" w:hAnsi="Times New Roman" w:eastAsia="Times New Roman"/>
          <w:sz w:val="20"/>
        </w:rPr>
        <w:t xml:space="preserve">), while the margin over SiamUNet-diff is significant (</w:t>
      </w:r>
      <m:oMath>
        <m:r>
          <m:rPr>
            <m:sty m:val="p"/>
          </m:rPr>
          <m:t>+</m:t>
        </m:r>
        <m:r>
          <m:t>8.92</m:t>
        </m:r>
        <m:r>
          <m:rPr>
            <m:sty m:val="p"/>
          </m:rPr>
          <m:t>%</m:t>
        </m:r>
      </m:oMath>
      <w:r>
        <w:rPr>
          <w:rFonts w:ascii="Times New Roman" w:hAnsi="Times New Roman" w:eastAsia="Times New Roman"/>
          <w:sz w:val="20"/>
        </w:rPr>
        <w:t xml:space="preserve">,</w:t>
      </w:r>
      <w:r>
        <w:rPr>
          <w:rFonts w:ascii="Times New Roman" w:hAnsi="Times New Roman" w:eastAsia="Times New Roman"/>
          <w:sz w:val="20"/>
        </w:rPr>
        <w:t xml:space="preserve"> </w:t>
      </w:r>
      <m:oMath>
        <m:r>
          <m:t>p</m:t>
        </m:r>
        <m:r>
          <m:rPr>
            <m:sty m:val="p"/>
          </m:rPr>
          <m:t>=</m:t>
        </m:r>
        <m:r>
          <m:t>0.021</m:t>
        </m:r>
      </m:oMath>
      <w:r>
        <w:rPr>
          <w:rFonts w:ascii="Times New Roman" w:hAnsi="Times New Roman" w:eastAsia="Times New Roman"/>
          <w:sz w:val="20"/>
        </w:rPr>
        <w:t xml:space="preserve">). Exploratory Seed-42 backslope differences do not persist as stable three-seed effects (Troms</w:t>
      </w:r>
      <w:r>
        <w:rPr>
          <w:rFonts w:ascii="Times New Roman" w:hAnsi="Times New Roman" w:eastAsia="Times New Roman"/>
          <w:sz w:val="20"/>
        </w:rPr>
        <w:t xml:space="preserve">ø</w:t>
      </w:r>
      <w:r>
        <w:rPr>
          <w:rFonts w:ascii="Times New Roman" w:hAnsi="Times New Roman" w:eastAsia="Times New Roman"/>
          <w:sz w:val="20"/>
        </w:rPr>
        <w:t xml:space="preserve">:</w:t>
      </w:r>
      <w:r>
        <w:rPr>
          <w:rFonts w:ascii="Times New Roman" w:hAnsi="Times New Roman" w:eastAsia="Times New Roman"/>
          <w:sz w:val="20"/>
        </w:rPr>
        <w:t xml:space="preserve"> </w:t>
      </w:r>
      <m:oMath>
        <m:r>
          <m:rPr>
            <m:sty m:val="p"/>
          </m:rPr>
          <m:t>−</m:t>
        </m:r>
        <m:r>
          <m:t>0.34</m:t>
        </m:r>
        <m:r>
          <m:rPr>
            <m:sty m:val="p"/>
          </m:rPr>
          <m:t>%</m:t>
        </m:r>
        <m:r>
          <m:rPr>
            <m:sty m:val="p"/>
          </m:rPr>
          <m:t>±</m:t>
        </m:r>
        <m:r>
          <m:t>6.28</m:t>
        </m:r>
        <m:r>
          <m:rPr>
            <m:sty m:val="p"/>
          </m:rPr>
          <m:t>%</m:t>
        </m:r>
      </m:oMath>
      <w:r>
        <w:rPr>
          <w:rFonts w:ascii="Times New Roman" w:hAnsi="Times New Roman" w:eastAsia="Times New Roman"/>
          <w:sz w:val="20"/>
        </w:rPr>
        <w:t xml:space="preserve">; Pamir:</w:t>
      </w:r>
      <w:r>
        <w:rPr>
          <w:rFonts w:ascii="Times New Roman" w:hAnsi="Times New Roman" w:eastAsia="Times New Roman"/>
          <w:sz w:val="20"/>
        </w:rPr>
        <w:t xml:space="preserve"> </w:t>
      </w:r>
      <m:oMath>
        <m:r>
          <m:rPr>
            <m:sty m:val="p"/>
          </m:rPr>
          <m:t>+</m:t>
        </m:r>
        <m:r>
          <m:t>1.20</m:t>
        </m:r>
        <m:r>
          <m:rPr>
            <m:sty m:val="p"/>
          </m:rPr>
          <m:t>%</m:t>
        </m:r>
        <m:r>
          <m:rPr>
            <m:sty m:val="p"/>
          </m:rPr>
          <m:t>±</m:t>
        </m:r>
        <m:r>
          <m:t>7.73</m:t>
        </m:r>
        <m:r>
          <m:rPr>
            <m:sty m:val="p"/>
          </m:rPr>
          <m:t>%</m:t>
        </m:r>
      </m:oMath>
      <w:r>
        <w:rPr>
          <w:rFonts w:ascii="Times New Roman" w:hAnsi="Times New Roman" w:eastAsia="Times New Roman"/>
          <w:sz w:val="20"/>
        </w:rPr>
        <w:t xml:space="preserve">), delimiting the evidence for directional conditioning. An explicitly unvalidated triage framework accompanies a</w:t>
      </w:r>
      <w:r>
        <w:rPr>
          <w:rFonts w:ascii="Times New Roman" w:hAnsi="Times New Roman" w:eastAsia="Times New Roman"/>
          <w:sz w:val="20"/>
        </w:rPr>
        <w:t xml:space="preserve"> </w:t>
      </w:r>
      <m:oMath>
        <m:r>
          <m:t>30.0</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Pamir false-alarm difference (</w:t>
      </w:r>
      <m:oMath>
        <m:r>
          <m:t>72.9</m:t>
        </m:r>
        <m:r>
          <m:rPr>
            <m:nor/>
            <m:sty m:val="p"/>
          </m:rPr>
          <m:t> ha</m:t>
        </m:r>
      </m:oMath>
      <w:r>
        <w:rPr>
          <w:rFonts w:ascii="Times New Roman" w:hAnsi="Times New Roman" w:eastAsia="Times New Roman"/>
          <w:sz w:val="20"/>
        </w:rPr>
        <w:t xml:space="preserve"> </w:t>
      </w:r>
      <w:r>
        <w:rPr>
          <w:rFonts w:ascii="Times New Roman" w:hAnsi="Times New Roman" w:eastAsia="Times New Roman"/>
          <w:sz w:val="20"/>
        </w:rPr>
        <w:t xml:space="preserve">nominal-grid equivalent;</w:t>
      </w:r>
      <w:r>
        <w:rPr>
          <w:rFonts w:ascii="Times New Roman" w:hAnsi="Times New Roman" w:eastAsia="Times New Roman"/>
          <w:sz w:val="20"/>
        </w:rPr>
        <w:t xml:space="preserve"> </w:t>
      </w:r>
      <m:oMath>
        <m:r>
          <m:t>55.6</m:t>
        </m:r>
        <m:r>
          <m:rPr>
            <m:nor/>
            <m:sty m:val="p"/>
          </m:rPr>
          <m:t> ha</m:t>
        </m:r>
      </m:oMath>
      <w:r>
        <w:rPr>
          <w:rFonts w:ascii="Times New Roman" w:hAnsi="Times New Roman" w:eastAsia="Times New Roman"/>
          <w:sz w:val="20"/>
        </w:rPr>
        <w:t xml:space="preserve"> </w:t>
      </w:r>
      <w:r>
        <w:rPr>
          <w:rFonts w:ascii="Times New Roman" w:hAnsi="Times New Roman" w:eastAsia="Times New Roman"/>
          <w:sz w:val="20"/>
        </w:rPr>
        <w:t xml:space="preserve">affine physical difference) and</w:t>
      </w:r>
      <w:r>
        <w:rPr>
          <w:rFonts w:ascii="Times New Roman" w:hAnsi="Times New Roman" w:eastAsia="Times New Roman"/>
          <w:sz w:val="20"/>
        </w:rPr>
        <w:t xml:space="preserve"> </w:t>
      </w:r>
      <m:oMath>
        <m:r>
          <m:t>1.80</m:t>
        </m:r>
        <m:r>
          <m:rPr>
            <m:nor/>
            <m:sty m:val="p"/>
          </m:rPr>
          <m:t> s</m:t>
        </m:r>
      </m:oMath>
      <w:r>
        <w:rPr>
          <w:rFonts w:ascii="Times New Roman" w:hAnsi="Times New Roman" w:eastAsia="Times New Roman"/>
          <w:sz w:val="20"/>
        </w:rPr>
        <w:t xml:space="preserve"> </w:t>
      </w:r>
      <w:r>
        <w:rPr>
          <w:rFonts w:ascii="Times New Roman" w:hAnsi="Times New Roman" w:eastAsia="Times New Roman"/>
          <w:sz w:val="20"/>
        </w:rPr>
        <w:t xml:space="preserve">model-forward latency.</w:t>
      </w:r>
    </w:p>
    <w:p>
      <w:pPr>
        <w:pStyle w:val="FirstParagraph"/>
        <w:spacing w:after="0" w:line="240" w:lineRule="auto"/>
      </w:pPr>
      <w:r>
        <w:rPr>
          <w:rFonts w:ascii="Times New Roman" w:hAnsi="Times New Roman" w:eastAsia="Times New Roman"/>
          <w:sz w:val="20"/>
        </w:rPr>
        <w:t xml:space="preserve">The remainder of this article is organized as follows: Section 2 describes the regional settings, the AvalCD benchmark dataset, and data preprocessing. Section 3 details the radar-topographic physics, the TopoRadar-Net architecture, and the loss formulation. Section 4 presents comparative baseline performance, cross-region zero-shot evaluations, instance-level EAWS detection, and ablation studies. Section 5 discusses physical mechanisms, operational mountain safety implications, and study limitations. Section 6 concludes the paper.</w:t>
      </w:r>
    </w:p>
    <w:bookmarkEnd w:id="9"/>
    <w:bookmarkStart w:id="13" w:name="study-areas-and-dataset"/>
    <w:p>
      <w:pPr>
        <w:pStyle w:val="Heading1"/>
        <w:spacing w:after="0" w:line="240" w:lineRule="auto"/>
      </w:pPr>
      <w:r>
        <w:rPr>
          <w:rFonts w:ascii="Times New Roman" w:hAnsi="Times New Roman" w:eastAsia="Times New Roman"/>
          <w:sz w:val="20"/>
        </w:rPr>
        <w:t xml:space="preserve">Study Areas and Dataset</w:t>
      </w:r>
    </w:p>
    <w:bookmarkStart w:id="10" w:name="X8e0d66792647e7723d46b9cf9164d3919378076"/>
    <w:p>
      <w:pPr>
        <w:pStyle w:val="Heading2"/>
        <w:spacing w:after="0" w:line="240" w:lineRule="auto"/>
      </w:pPr>
      <w:r>
        <w:rPr>
          <w:rFonts w:ascii="Times New Roman" w:hAnsi="Times New Roman" w:eastAsia="Times New Roman"/>
          <w:sz w:val="20"/>
        </w:rPr>
        <w:t xml:space="preserve">Geographic and Climatic Characteristics of the Four Mountain Systems</w:t>
      </w:r>
    </w:p>
    <w:p>
      <w:pPr>
        <w:pStyle w:val="FirstParagraph"/>
        <w:spacing w:after="0" w:line="240" w:lineRule="auto"/>
      </w:pPr>
      <w:r>
        <w:rPr>
          <w:rFonts w:ascii="Times New Roman" w:hAnsi="Times New Roman" w:eastAsia="Times New Roman"/>
          <w:sz w:val="20"/>
        </w:rPr>
        <w:t xml:space="preserve">To rigorously assess the generalizability of deep change detection models across diverse mountain environments, this study leverages the open-access</w:t>
      </w:r>
      <w:r>
        <w:rPr>
          <w:rFonts w:ascii="Times New Roman" w:hAnsi="Times New Roman" w:eastAsia="Times New Roman"/>
          <w:sz w:val="20"/>
        </w:rPr>
        <w:t xml:space="preserve"> </w:t>
      </w:r>
      <w:r>
        <w:rPr>
          <w:rFonts w:ascii="Times New Roman" w:hAnsi="Times New Roman" w:eastAsia="Times New Roman"/>
          <w:b/>
          <w:bCs/>
          <w:sz w:val="20"/>
        </w:rPr>
        <w:t xml:space="preserve">AvalCD</w:t>
      </w:r>
      <w:r>
        <w:rPr>
          <w:rFonts w:ascii="Times New Roman" w:hAnsi="Times New Roman" w:eastAsia="Times New Roman"/>
          <w:sz w:val="20"/>
        </w:rPr>
        <w:t xml:space="preserve"> </w:t>
      </w:r>
      <w:r>
        <w:rPr>
          <w:rFonts w:ascii="Times New Roman" w:hAnsi="Times New Roman" w:eastAsia="Times New Roman"/>
          <w:sz w:val="20"/>
        </w:rPr>
        <w:t xml:space="preserve">benchmark</w:t>
      </w:r>
      <w:r>
        <w:rPr>
          <w:rFonts w:ascii="Times New Roman" w:hAnsi="Times New Roman" w:eastAsia="Times New Roman"/>
          <w:sz w:val="20"/>
        </w:rPr>
        <w:t xml:space="preserve"> </w:t>
      </w:r>
      <w:r>
        <w:rPr>
          <w:rFonts w:ascii="Times New Roman" w:hAnsi="Times New Roman" w:eastAsia="Times New Roman"/>
          <w:sz w:val="20"/>
        </w:rPr>
        <w:t xml:space="preserve">(Gatti 2026; Gatti et al. 2026)</w:t>
      </w:r>
      <w:r>
        <w:rPr>
          <w:rFonts w:ascii="Times New Roman" w:hAnsi="Times New Roman" w:eastAsia="Times New Roman"/>
          <w:sz w:val="20"/>
        </w:rPr>
        <w:t xml:space="preserve">. The benchmark spans four prominent, geographically disparate mountain ranges across Europe, Central Asia, and the Arctic (Table 1):</w:t>
      </w:r>
    </w:p>
    <w:p>
      <w:pPr>
        <w:pStyle w:val="BodyText"/>
        <w:spacing w:after="0" w:line="240" w:lineRule="auto"/>
      </w:pPr>
      <w:r>
        <w:rPr>
          <w:rFonts w:ascii="Times New Roman" w:hAnsi="Times New Roman" w:eastAsia="Times New Roman"/>
          <w:b/>
          <w:bCs/>
          <w:sz w:val="20"/>
        </w:rPr>
        <w:t xml:space="preserve">Table 1.</w:t>
      </w:r>
      <w:r>
        <w:rPr>
          <w:rFonts w:ascii="Times New Roman" w:hAnsi="Times New Roman" w:eastAsia="Times New Roman"/>
          <w:sz w:val="20"/>
        </w:rPr>
        <w:t xml:space="preserve"> </w:t>
      </w:r>
      <w:r>
        <w:rPr>
          <w:rFonts w:ascii="Times New Roman" w:hAnsi="Times New Roman" w:eastAsia="Times New Roman"/>
          <w:sz w:val="20"/>
        </w:rPr>
        <w:t xml:space="preserve">Summary of the AvalCD benchmark across four global mountain systems and seven avalanche events.</w:t>
      </w:r>
    </w:p>
    <w:tbl>
      <w:tblPr>
        <w:tblStyle w:val="Table"/>
        <w:tblW w:type="auto" w:w="0"/>
        <w:tblLayout w:type="autofit"/>
        <w:tblLook w:firstRow="1" w:lastRow="0" w:firstColumn="0" w:lastColumn="0" w:noHBand="0" w:noVBand="0" w:val="0020"/>
      </w:tblPr>
      <w:tblGrid>
        <w:gridCol w:w="1131"/>
        <w:gridCol w:w="1131"/>
        <w:gridCol w:w="1131"/>
        <w:gridCol w:w="1131"/>
        <w:gridCol w:w="1131"/>
        <w:gridCol w:w="1131"/>
        <w:gridCol w:w="1131"/>
      </w:tblGrid>
      <w:tr>
        <w:trPr>
          <w:tblHeader w:val="on"/>
          <w:cantSplit w:val="true"/>
          <w:tblHeader w:val="true"/>
        </w:trPr>
        <w:tc>
          <w:tcPr>
            <w:vAlign w:val="center"/>
          </w:tcPr>
          <w:p>
            <w:pPr>
              <w:pStyle w:val="Compact"/>
              <w:spacing w:before="0" w:after="0" w:line="240" w:lineRule="auto"/>
              <w:jc w:val="left"/>
            </w:pPr>
            <w:r>
              <w:rPr>
                <w:rFonts w:ascii="Times New Roman" w:hAnsi="Times New Roman" w:eastAsia="Times New Roman"/>
                <w:b/>
                <w:bCs/>
                <w:sz w:val="17"/>
              </w:rPr>
              <w:t xml:space="preserve">Mountain System</w:t>
            </w:r>
          </w:p>
        </w:tc>
        <w:tc>
          <w:tcPr>
            <w:vAlign w:val="center"/>
          </w:tcPr>
          <w:p>
            <w:pPr>
              <w:pStyle w:val="Compact"/>
              <w:spacing w:before="0" w:after="0" w:line="240" w:lineRule="auto"/>
              <w:jc w:val="left"/>
            </w:pPr>
            <w:r>
              <w:rPr>
                <w:rFonts w:ascii="Times New Roman" w:hAnsi="Times New Roman" w:eastAsia="Times New Roman"/>
                <w:b/>
                <w:bCs/>
                <w:sz w:val="17"/>
              </w:rPr>
              <w:t xml:space="preserve">Acquisition Date</w:t>
            </w:r>
          </w:p>
        </w:tc>
        <w:tc>
          <w:tcPr>
            <w:vAlign w:val="center"/>
          </w:tcPr>
          <w:p>
            <w:pPr>
              <w:pStyle w:val="Compact"/>
              <w:spacing w:before="0" w:after="0" w:line="240" w:lineRule="auto"/>
              <w:jc w:val="left"/>
            </w:pPr>
            <w:r>
              <w:rPr>
                <w:rFonts w:ascii="Times New Roman" w:hAnsi="Times New Roman" w:eastAsia="Times New Roman"/>
                <w:b/>
                <w:bCs/>
                <w:sz w:val="17"/>
              </w:rPr>
              <w:t xml:space="preserve">Region / Country</w:t>
            </w:r>
          </w:p>
        </w:tc>
        <w:tc>
          <w:tcPr>
            <w:vAlign w:val="center"/>
          </w:tcPr>
          <w:p>
            <w:pPr>
              <w:pStyle w:val="Compact"/>
              <w:spacing w:before="0" w:after="0" w:line="240" w:lineRule="auto"/>
              <w:jc w:val="center"/>
            </w:pPr>
            <w:r>
              <w:rPr>
                <w:rFonts w:ascii="Times New Roman" w:hAnsi="Times New Roman" w:eastAsia="Times New Roman"/>
                <w:b/>
                <w:bCs/>
                <w:sz w:val="17"/>
              </w:rPr>
              <w:t xml:space="preserve">Elevation (m)</w:t>
            </w:r>
          </w:p>
        </w:tc>
        <w:tc>
          <w:tcPr>
            <w:vAlign w:val="center"/>
          </w:tcPr>
          <w:p>
            <w:pPr>
              <w:pStyle w:val="Compact"/>
              <w:spacing w:before="0" w:after="0" w:line="240" w:lineRule="auto"/>
              <w:jc w:val="right"/>
            </w:pPr>
            <w:r>
              <w:rPr>
                <w:rFonts w:ascii="Times New Roman" w:hAnsi="Times New Roman" w:eastAsia="Times New Roman"/>
                <w:b/>
                <w:bCs/>
                <w:sz w:val="17"/>
              </w:rPr>
              <w:t xml:space="preserve">Grid Size (px)</w:t>
            </w:r>
          </w:p>
        </w:tc>
        <w:tc>
          <w:tcPr>
            <w:vAlign w:val="center"/>
          </w:tcPr>
          <w:p>
            <w:pPr>
              <w:pStyle w:val="Compact"/>
              <w:spacing w:before="0" w:after="0" w:line="240" w:lineRule="auto"/>
              <w:jc w:val="right"/>
            </w:pPr>
            <w:r>
              <w:rPr>
                <w:rFonts w:ascii="Times New Roman" w:hAnsi="Times New Roman" w:eastAsia="Times New Roman"/>
                <w:b/>
                <w:bCs/>
                <w:sz w:val="17"/>
              </w:rPr>
              <w:t xml:space="preserve">Polygons</w:t>
            </w:r>
          </w:p>
        </w:tc>
        <w:tc>
          <w:tcPr>
            <w:vAlign w:val="center"/>
          </w:tcPr>
          <w:p>
            <w:pPr>
              <w:pStyle w:val="Compact"/>
              <w:spacing w:before="0" w:after="0" w:line="240" w:lineRule="auto"/>
              <w:jc w:val="right"/>
            </w:pPr>
            <w:r>
              <w:rPr>
                <w:rFonts w:ascii="Times New Roman" w:hAnsi="Times New Roman" w:eastAsia="Times New Roman"/>
                <w:b/>
                <w:bCs/>
                <w:sz w:val="17"/>
              </w:rPr>
              <w:t xml:space="preserve">Debris (px)</w:t>
            </w:r>
          </w:p>
        </w:tc>
      </w:tr>
      <w:tr>
        <w:trPr>
          <w:cantSplit w:val="true"/>
        </w:trPr>
        <w:tc>
          <w:tcPr>
            <w:vMerge w:val="restart"/>
            <w:vAlign w:val="center"/>
          </w:tcPr>
          <w:p>
            <w:pPr>
              <w:pStyle w:val="Compact"/>
              <w:spacing w:before="0" w:after="0" w:line="240" w:lineRule="auto"/>
              <w:jc w:val="left"/>
            </w:pPr>
            <w:r>
              <w:rPr>
                <w:rFonts w:ascii="Times New Roman" w:hAnsi="Times New Roman" w:eastAsia="Times New Roman"/>
                <w:sz w:val="17"/>
              </w:rPr>
              <w:t xml:space="preserve">European Alps</w:t>
            </w:r>
          </w:p>
        </w:tc>
        <w:tc>
          <w:tcPr>
            <w:vAlign w:val="center"/>
          </w:tcPr>
          <w:p>
            <w:pPr>
              <w:pStyle w:val="Compact"/>
              <w:spacing w:before="0" w:after="0" w:line="240" w:lineRule="auto"/>
              <w:jc w:val="left"/>
            </w:pPr>
            <w:r>
              <w:rPr>
                <w:rFonts w:ascii="Times New Roman" w:hAnsi="Times New Roman" w:eastAsia="Times New Roman"/>
                <w:sz w:val="17"/>
              </w:rPr>
              <w:t xml:space="preserve">3 Apr 2024</w:t>
            </w:r>
          </w:p>
        </w:tc>
        <w:tc>
          <w:tcPr>
            <w:vAlign w:val="center"/>
          </w:tcPr>
          <w:p>
            <w:pPr>
              <w:pStyle w:val="Compact"/>
              <w:spacing w:before="0" w:after="0" w:line="240" w:lineRule="auto"/>
              <w:jc w:val="left"/>
            </w:pPr>
            <w:r>
              <w:rPr>
                <w:rFonts w:ascii="Times New Roman" w:hAnsi="Times New Roman" w:eastAsia="Times New Roman"/>
                <w:sz w:val="17"/>
              </w:rPr>
              <w:t xml:space="preserve">Lombardy, Italy</w:t>
            </w:r>
          </w:p>
        </w:tc>
        <w:tc>
          <w:tcPr>
            <w:vAlign w:val="center"/>
          </w:tcPr>
          <w:p>
            <w:pPr>
              <w:pStyle w:val="Compact"/>
              <w:spacing w:before="0" w:after="0" w:line="240" w:lineRule="auto"/>
              <w:jc w:val="center"/>
            </w:pPr>
            <w:r>
              <w:rPr>
                <w:rFonts w:ascii="Times New Roman" w:hAnsi="Times New Roman" w:eastAsia="Times New Roman"/>
                <w:sz w:val="17"/>
              </w:rPr>
              <w:t xml:space="preserve">1,250–3,890</w:t>
            </w:r>
          </w:p>
        </w:tc>
        <w:tc>
          <w:tcPr>
            <w:vAlign w:val="center"/>
          </w:tcPr>
          <w:p>
            <w:pPr>
              <w:pStyle w:val="Compact"/>
              <w:spacing w:before="0" w:after="0" w:line="240" w:lineRule="auto"/>
              <w:jc w:val="right"/>
            </w:pPr>
            <w:r>
              <w:rPr>
                <w:rFonts w:ascii="Times New Roman" w:hAnsi="Times New Roman" w:eastAsia="Times New Roman"/>
                <w:sz w:val="17"/>
              </w:rPr>
              <w:t xml:space="preserve">2462 × 2091</w:t>
            </w:r>
          </w:p>
        </w:tc>
        <w:tc>
          <w:tcPr>
            <w:vAlign w:val="center"/>
          </w:tcPr>
          <w:p>
            <w:pPr>
              <w:pStyle w:val="Compact"/>
              <w:spacing w:before="0" w:after="0" w:line="240" w:lineRule="auto"/>
              <w:jc w:val="right"/>
            </w:pPr>
            <w:r>
              <w:rPr>
                <w:rFonts w:ascii="Times New Roman" w:hAnsi="Times New Roman" w:eastAsia="Times New Roman"/>
                <w:sz w:val="17"/>
              </w:rPr>
              <w:t xml:space="preserve">231</w:t>
            </w:r>
          </w:p>
        </w:tc>
        <w:tc>
          <w:tcPr>
            <w:vAlign w:val="center"/>
          </w:tcPr>
          <w:p>
            <w:pPr>
              <w:pStyle w:val="Compact"/>
              <w:spacing w:before="0" w:after="0" w:line="240" w:lineRule="auto"/>
              <w:jc w:val="right"/>
            </w:pPr>
            <w:r>
              <w:rPr>
                <w:rFonts w:ascii="Times New Roman" w:hAnsi="Times New Roman" w:eastAsia="Times New Roman"/>
                <w:sz w:val="17"/>
              </w:rPr>
              <w:t xml:space="preserve">32,606</w:t>
            </w:r>
          </w:p>
        </w:tc>
      </w:tr>
      <w:tr>
        <w:trPr>
          <w:cantSplit w:val="true"/>
        </w:trPr>
        <w:tc>
          <w:tcPr>
            <w:gridSpan w:val="1"/>
            <w:vMerge w:val="continue"/>
          </w:tcPr>
          <w:p>
            <w:pPr/>
          </w:p>
        </w:tc>
        <w:tc>
          <w:tcPr>
            <w:vAlign w:val="center"/>
          </w:tcPr>
          <w:p>
            <w:pPr>
              <w:pStyle w:val="Compact"/>
              <w:spacing w:before="0" w:after="0" w:line="240" w:lineRule="auto"/>
              <w:jc w:val="left"/>
            </w:pPr>
            <w:r>
              <w:rPr>
                <w:rFonts w:ascii="Times New Roman" w:hAnsi="Times New Roman" w:eastAsia="Times New Roman"/>
                <w:sz w:val="17"/>
              </w:rPr>
              <w:t xml:space="preserve">29 Jan 2025</w:t>
            </w:r>
          </w:p>
        </w:tc>
        <w:tc>
          <w:tcPr>
            <w:vAlign w:val="center"/>
          </w:tcPr>
          <w:p>
            <w:pPr>
              <w:pStyle w:val="Compact"/>
              <w:spacing w:before="0" w:after="0" w:line="240" w:lineRule="auto"/>
              <w:jc w:val="left"/>
            </w:pPr>
            <w:r>
              <w:rPr>
                <w:rFonts w:ascii="Times New Roman" w:hAnsi="Times New Roman" w:eastAsia="Times New Roman"/>
                <w:sz w:val="17"/>
              </w:rPr>
              <w:t xml:space="preserve">Lombardy, Italy</w:t>
            </w:r>
          </w:p>
        </w:tc>
        <w:tc>
          <w:tcPr>
            <w:vAlign w:val="center"/>
          </w:tcPr>
          <w:p>
            <w:pPr>
              <w:pStyle w:val="Compact"/>
              <w:spacing w:before="0" w:after="0" w:line="240" w:lineRule="auto"/>
              <w:jc w:val="center"/>
            </w:pPr>
            <w:r>
              <w:rPr>
                <w:rFonts w:ascii="Times New Roman" w:hAnsi="Times New Roman" w:eastAsia="Times New Roman"/>
                <w:sz w:val="17"/>
              </w:rPr>
              <w:t xml:space="preserve">1,310–3,890</w:t>
            </w:r>
          </w:p>
        </w:tc>
        <w:tc>
          <w:tcPr>
            <w:vAlign w:val="center"/>
          </w:tcPr>
          <w:p>
            <w:pPr>
              <w:pStyle w:val="Compact"/>
              <w:spacing w:before="0" w:after="0" w:line="240" w:lineRule="auto"/>
              <w:jc w:val="right"/>
            </w:pPr>
            <w:r>
              <w:rPr>
                <w:rFonts w:ascii="Times New Roman" w:hAnsi="Times New Roman" w:eastAsia="Times New Roman"/>
                <w:sz w:val="17"/>
              </w:rPr>
              <w:t xml:space="preserve">2388 × 1629</w:t>
            </w:r>
          </w:p>
        </w:tc>
        <w:tc>
          <w:tcPr>
            <w:vAlign w:val="center"/>
          </w:tcPr>
          <w:p>
            <w:pPr>
              <w:pStyle w:val="Compact"/>
              <w:spacing w:before="0" w:after="0" w:line="240" w:lineRule="auto"/>
              <w:jc w:val="right"/>
            </w:pPr>
            <w:r>
              <w:rPr>
                <w:rFonts w:ascii="Times New Roman" w:hAnsi="Times New Roman" w:eastAsia="Times New Roman"/>
                <w:sz w:val="17"/>
              </w:rPr>
              <w:t xml:space="preserve">207</w:t>
            </w:r>
          </w:p>
        </w:tc>
        <w:tc>
          <w:tcPr>
            <w:vAlign w:val="center"/>
          </w:tcPr>
          <w:p>
            <w:pPr>
              <w:pStyle w:val="Compact"/>
              <w:spacing w:before="0" w:after="0" w:line="240" w:lineRule="auto"/>
              <w:jc w:val="right"/>
            </w:pPr>
            <w:r>
              <w:rPr>
                <w:rFonts w:ascii="Times New Roman" w:hAnsi="Times New Roman" w:eastAsia="Times New Roman"/>
                <w:sz w:val="17"/>
              </w:rPr>
              <w:t xml:space="preserve">11,438</w:t>
            </w:r>
          </w:p>
        </w:tc>
      </w:tr>
      <w:tr>
        <w:trPr>
          <w:cantSplit w:val="true"/>
        </w:trPr>
        <w:tc>
          <w:tcPr>
            <w:gridSpan w:val="1"/>
            <w:vMerge w:val="continue"/>
          </w:tcPr>
          <w:p>
            <w:pPr/>
          </w:p>
        </w:tc>
        <w:tc>
          <w:tcPr>
            <w:vAlign w:val="center"/>
          </w:tcPr>
          <w:p>
            <w:pPr>
              <w:pStyle w:val="Compact"/>
              <w:spacing w:before="0" w:after="0" w:line="240" w:lineRule="auto"/>
              <w:jc w:val="left"/>
            </w:pPr>
            <w:r>
              <w:rPr>
                <w:rFonts w:ascii="Times New Roman" w:hAnsi="Times New Roman" w:eastAsia="Times New Roman"/>
                <w:sz w:val="17"/>
              </w:rPr>
              <w:t xml:space="preserve">18 Mar 2025</w:t>
            </w:r>
          </w:p>
        </w:tc>
        <w:tc>
          <w:tcPr>
            <w:vAlign w:val="center"/>
          </w:tcPr>
          <w:p>
            <w:pPr>
              <w:pStyle w:val="Compact"/>
              <w:spacing w:before="0" w:after="0" w:line="240" w:lineRule="auto"/>
              <w:jc w:val="left"/>
            </w:pPr>
            <w:r>
              <w:rPr>
                <w:rFonts w:ascii="Times New Roman" w:hAnsi="Times New Roman" w:eastAsia="Times New Roman"/>
                <w:sz w:val="17"/>
              </w:rPr>
              <w:t xml:space="preserve">Lombardy, Italy</w:t>
            </w:r>
          </w:p>
        </w:tc>
        <w:tc>
          <w:tcPr>
            <w:vAlign w:val="center"/>
          </w:tcPr>
          <w:p>
            <w:pPr>
              <w:pStyle w:val="Compact"/>
              <w:spacing w:before="0" w:after="0" w:line="240" w:lineRule="auto"/>
              <w:jc w:val="center"/>
            </w:pPr>
            <w:r>
              <w:rPr>
                <w:rFonts w:ascii="Times New Roman" w:hAnsi="Times New Roman" w:eastAsia="Times New Roman"/>
                <w:sz w:val="17"/>
              </w:rPr>
              <w:t xml:space="preserve">1,210–3,890</w:t>
            </w:r>
          </w:p>
        </w:tc>
        <w:tc>
          <w:tcPr>
            <w:vAlign w:val="center"/>
          </w:tcPr>
          <w:p>
            <w:pPr>
              <w:pStyle w:val="Compact"/>
              <w:spacing w:before="0" w:after="0" w:line="240" w:lineRule="auto"/>
              <w:jc w:val="right"/>
            </w:pPr>
            <w:r>
              <w:rPr>
                <w:rFonts w:ascii="Times New Roman" w:hAnsi="Times New Roman" w:eastAsia="Times New Roman"/>
                <w:sz w:val="17"/>
              </w:rPr>
              <w:t xml:space="preserve">3069 × 2814</w:t>
            </w:r>
          </w:p>
        </w:tc>
        <w:tc>
          <w:tcPr>
            <w:vAlign w:val="center"/>
          </w:tcPr>
          <w:p>
            <w:pPr>
              <w:pStyle w:val="Compact"/>
              <w:spacing w:before="0" w:after="0" w:line="240" w:lineRule="auto"/>
              <w:jc w:val="right"/>
            </w:pPr>
            <w:r>
              <w:rPr>
                <w:rFonts w:ascii="Times New Roman" w:hAnsi="Times New Roman" w:eastAsia="Times New Roman"/>
                <w:sz w:val="17"/>
              </w:rPr>
              <w:t xml:space="preserve">79</w:t>
            </w:r>
          </w:p>
        </w:tc>
        <w:tc>
          <w:tcPr>
            <w:vAlign w:val="center"/>
          </w:tcPr>
          <w:p>
            <w:pPr>
              <w:pStyle w:val="Compact"/>
              <w:spacing w:before="0" w:after="0" w:line="240" w:lineRule="auto"/>
              <w:jc w:val="right"/>
            </w:pPr>
            <w:r>
              <w:rPr>
                <w:rFonts w:ascii="Times New Roman" w:hAnsi="Times New Roman" w:eastAsia="Times New Roman"/>
                <w:sz w:val="17"/>
              </w:rPr>
              <w:t xml:space="preserve">7,392</w:t>
            </w:r>
          </w:p>
        </w:tc>
      </w:tr>
      <w:tr>
        <w:trPr>
          <w:cantSplit w:val="true"/>
        </w:trPr>
        <w:tc>
          <w:tcPr>
            <w:vMerge w:val="restart"/>
            <w:vAlign w:val="center"/>
          </w:tcPr>
          <w:p>
            <w:pPr>
              <w:pStyle w:val="Compact"/>
              <w:spacing w:before="0" w:after="0" w:line="240" w:lineRule="auto"/>
              <w:jc w:val="left"/>
            </w:pPr>
            <w:r>
              <w:rPr>
                <w:rFonts w:ascii="Times New Roman" w:hAnsi="Times New Roman" w:eastAsia="Times New Roman"/>
                <w:sz w:val="17"/>
              </w:rPr>
              <w:t xml:space="preserve">Greenland Arctic</w:t>
            </w:r>
          </w:p>
        </w:tc>
        <w:tc>
          <w:tcPr>
            <w:vAlign w:val="center"/>
          </w:tcPr>
          <w:p>
            <w:pPr>
              <w:pStyle w:val="Compact"/>
              <w:spacing w:before="0" w:after="0" w:line="240" w:lineRule="auto"/>
              <w:jc w:val="left"/>
            </w:pPr>
            <w:r>
              <w:rPr>
                <w:rFonts w:ascii="Times New Roman" w:hAnsi="Times New Roman" w:eastAsia="Times New Roman"/>
                <w:sz w:val="17"/>
              </w:rPr>
              <w:t xml:space="preserve">13 Apr 2016</w:t>
            </w:r>
          </w:p>
        </w:tc>
        <w:tc>
          <w:tcPr>
            <w:vAlign w:val="center"/>
          </w:tcPr>
          <w:p>
            <w:pPr>
              <w:pStyle w:val="Compact"/>
              <w:spacing w:before="0" w:after="0" w:line="240" w:lineRule="auto"/>
              <w:jc w:val="left"/>
            </w:pPr>
            <w:r>
              <w:rPr>
                <w:rFonts w:ascii="Times New Roman" w:hAnsi="Times New Roman" w:eastAsia="Times New Roman"/>
                <w:sz w:val="17"/>
              </w:rPr>
              <w:t xml:space="preserve">Southwest Greenland</w:t>
            </w:r>
          </w:p>
        </w:tc>
        <w:tc>
          <w:tcPr>
            <w:vAlign w:val="center"/>
          </w:tcPr>
          <w:p>
            <w:pPr>
              <w:pStyle w:val="Compact"/>
              <w:spacing w:before="0" w:after="0" w:line="240" w:lineRule="auto"/>
              <w:jc w:val="center"/>
            </w:pPr>
            <w:r>
              <w:rPr>
                <w:rFonts w:ascii="Times New Roman" w:hAnsi="Times New Roman" w:eastAsia="Times New Roman"/>
                <w:sz w:val="17"/>
              </w:rPr>
              <w:t xml:space="preserve">0–1,620</w:t>
            </w:r>
          </w:p>
        </w:tc>
        <w:tc>
          <w:tcPr>
            <w:vAlign w:val="center"/>
          </w:tcPr>
          <w:p>
            <w:pPr>
              <w:pStyle w:val="Compact"/>
              <w:spacing w:before="0" w:after="0" w:line="240" w:lineRule="auto"/>
              <w:jc w:val="right"/>
            </w:pPr>
            <w:r>
              <w:rPr>
                <w:rFonts w:ascii="Times New Roman" w:hAnsi="Times New Roman" w:eastAsia="Times New Roman"/>
                <w:sz w:val="17"/>
              </w:rPr>
              <w:t xml:space="preserve">2387 × 4619</w:t>
            </w:r>
          </w:p>
        </w:tc>
        <w:tc>
          <w:tcPr>
            <w:vAlign w:val="center"/>
          </w:tcPr>
          <w:p>
            <w:pPr>
              <w:pStyle w:val="Compact"/>
              <w:spacing w:before="0" w:after="0" w:line="240" w:lineRule="auto"/>
              <w:jc w:val="right"/>
            </w:pPr>
            <w:r>
              <w:rPr>
                <w:rFonts w:ascii="Times New Roman" w:hAnsi="Times New Roman" w:eastAsia="Times New Roman"/>
                <w:sz w:val="17"/>
              </w:rPr>
              <w:t xml:space="preserve">117</w:t>
            </w:r>
          </w:p>
        </w:tc>
        <w:tc>
          <w:tcPr>
            <w:vAlign w:val="center"/>
          </w:tcPr>
          <w:p>
            <w:pPr>
              <w:pStyle w:val="Compact"/>
              <w:spacing w:before="0" w:after="0" w:line="240" w:lineRule="auto"/>
              <w:jc w:val="right"/>
            </w:pPr>
            <w:r>
              <w:rPr>
                <w:rFonts w:ascii="Times New Roman" w:hAnsi="Times New Roman" w:eastAsia="Times New Roman"/>
                <w:sz w:val="17"/>
              </w:rPr>
              <w:t xml:space="preserve">64,822</w:t>
            </w:r>
          </w:p>
        </w:tc>
      </w:tr>
      <w:tr>
        <w:trPr>
          <w:cantSplit w:val="true"/>
        </w:trPr>
        <w:tc>
          <w:tcPr>
            <w:gridSpan w:val="1"/>
            <w:vMerge w:val="continue"/>
          </w:tcPr>
          <w:p>
            <w:pPr/>
          </w:p>
        </w:tc>
        <w:tc>
          <w:tcPr>
            <w:vAlign w:val="center"/>
          </w:tcPr>
          <w:p>
            <w:pPr>
              <w:pStyle w:val="Compact"/>
              <w:spacing w:before="0" w:after="0" w:line="240" w:lineRule="auto"/>
              <w:jc w:val="left"/>
            </w:pPr>
            <w:r>
              <w:rPr>
                <w:rFonts w:ascii="Times New Roman" w:hAnsi="Times New Roman" w:eastAsia="Times New Roman"/>
                <w:sz w:val="17"/>
              </w:rPr>
              <w:t xml:space="preserve">11 Apr 2021</w:t>
            </w:r>
          </w:p>
        </w:tc>
        <w:tc>
          <w:tcPr>
            <w:vAlign w:val="center"/>
          </w:tcPr>
          <w:p>
            <w:pPr>
              <w:pStyle w:val="Compact"/>
              <w:spacing w:before="0" w:after="0" w:line="240" w:lineRule="auto"/>
              <w:jc w:val="left"/>
            </w:pPr>
            <w:r>
              <w:rPr>
                <w:rFonts w:ascii="Times New Roman" w:hAnsi="Times New Roman" w:eastAsia="Times New Roman"/>
                <w:sz w:val="17"/>
              </w:rPr>
              <w:t xml:space="preserve">Southwest Greenland</w:t>
            </w:r>
          </w:p>
        </w:tc>
        <w:tc>
          <w:tcPr>
            <w:vAlign w:val="center"/>
          </w:tcPr>
          <w:p>
            <w:pPr>
              <w:pStyle w:val="Compact"/>
              <w:spacing w:before="0" w:after="0" w:line="240" w:lineRule="auto"/>
              <w:jc w:val="center"/>
            </w:pPr>
            <w:r>
              <w:rPr>
                <w:rFonts w:ascii="Times New Roman" w:hAnsi="Times New Roman" w:eastAsia="Times New Roman"/>
                <w:sz w:val="17"/>
              </w:rPr>
              <w:t xml:space="preserve">0–1,740</w:t>
            </w:r>
          </w:p>
        </w:tc>
        <w:tc>
          <w:tcPr>
            <w:vAlign w:val="center"/>
          </w:tcPr>
          <w:p>
            <w:pPr>
              <w:pStyle w:val="Compact"/>
              <w:spacing w:before="0" w:after="0" w:line="240" w:lineRule="auto"/>
              <w:jc w:val="right"/>
            </w:pPr>
            <w:r>
              <w:rPr>
                <w:rFonts w:ascii="Times New Roman" w:hAnsi="Times New Roman" w:eastAsia="Times New Roman"/>
                <w:sz w:val="17"/>
              </w:rPr>
              <w:t xml:space="preserve">2836 × 4931</w:t>
            </w:r>
          </w:p>
        </w:tc>
        <w:tc>
          <w:tcPr>
            <w:vAlign w:val="center"/>
          </w:tcPr>
          <w:p>
            <w:pPr>
              <w:pStyle w:val="Compact"/>
              <w:spacing w:before="0" w:after="0" w:line="240" w:lineRule="auto"/>
              <w:jc w:val="right"/>
            </w:pPr>
            <w:r>
              <w:rPr>
                <w:rFonts w:ascii="Times New Roman" w:hAnsi="Times New Roman" w:eastAsia="Times New Roman"/>
                <w:sz w:val="17"/>
              </w:rPr>
              <w:t xml:space="preserve">129</w:t>
            </w:r>
          </w:p>
        </w:tc>
        <w:tc>
          <w:tcPr>
            <w:vAlign w:val="center"/>
          </w:tcPr>
          <w:p>
            <w:pPr>
              <w:pStyle w:val="Compact"/>
              <w:spacing w:before="0" w:after="0" w:line="240" w:lineRule="auto"/>
              <w:jc w:val="right"/>
            </w:pPr>
            <w:r>
              <w:rPr>
                <w:rFonts w:ascii="Times New Roman" w:hAnsi="Times New Roman" w:eastAsia="Times New Roman"/>
                <w:sz w:val="17"/>
              </w:rPr>
              <w:t xml:space="preserve">81,595</w:t>
            </w:r>
          </w:p>
        </w:tc>
      </w:tr>
      <w:tr>
        <w:trPr>
          <w:cantSplit w:val="true"/>
        </w:trPr>
        <w:tc>
          <w:tcPr>
            <w:vAlign w:val="center"/>
          </w:tcPr>
          <w:p>
            <w:pPr>
              <w:pStyle w:val="Compact"/>
              <w:spacing w:before="0" w:after="0" w:line="240" w:lineRule="auto"/>
              <w:jc w:val="left"/>
            </w:pPr>
            <w:r>
              <w:rPr>
                <w:rFonts w:ascii="Times New Roman" w:hAnsi="Times New Roman" w:eastAsia="Times New Roman"/>
                <w:sz w:val="17"/>
              </w:rPr>
              <w:t xml:space="preserve">Pamir Mountains</w:t>
            </w:r>
          </w:p>
        </w:tc>
        <w:tc>
          <w:tcPr>
            <w:vAlign w:val="center"/>
          </w:tcPr>
          <w:p>
            <w:pPr>
              <w:pStyle w:val="Compact"/>
              <w:spacing w:before="0" w:after="0" w:line="240" w:lineRule="auto"/>
              <w:jc w:val="left"/>
            </w:pPr>
            <w:r>
              <w:rPr>
                <w:rFonts w:ascii="Times New Roman" w:hAnsi="Times New Roman" w:eastAsia="Times New Roman"/>
                <w:sz w:val="17"/>
              </w:rPr>
              <w:t xml:space="preserve">21 Feb 2023</w:t>
            </w:r>
          </w:p>
        </w:tc>
        <w:tc>
          <w:tcPr>
            <w:vAlign w:val="center"/>
          </w:tcPr>
          <w:p>
            <w:pPr>
              <w:pStyle w:val="Compact"/>
              <w:spacing w:before="0" w:after="0" w:line="240" w:lineRule="auto"/>
              <w:jc w:val="left"/>
            </w:pPr>
            <w:r>
              <w:rPr>
                <w:rFonts w:ascii="Times New Roman" w:hAnsi="Times New Roman" w:eastAsia="Times New Roman"/>
                <w:sz w:val="17"/>
              </w:rPr>
              <w:t xml:space="preserve">Shughnon, Tajikistan</w:t>
            </w:r>
          </w:p>
        </w:tc>
        <w:tc>
          <w:tcPr>
            <w:vAlign w:val="center"/>
          </w:tcPr>
          <w:p>
            <w:pPr>
              <w:pStyle w:val="Compact"/>
              <w:spacing w:before="0" w:after="0" w:line="240" w:lineRule="auto"/>
              <w:jc w:val="center"/>
            </w:pPr>
            <w:r>
              <w:rPr>
                <w:rFonts w:ascii="Times New Roman" w:hAnsi="Times New Roman" w:eastAsia="Times New Roman"/>
                <w:sz w:val="17"/>
              </w:rPr>
              <w:t xml:space="preserve">2,100–5,420</w:t>
            </w:r>
          </w:p>
        </w:tc>
        <w:tc>
          <w:tcPr>
            <w:vAlign w:val="center"/>
          </w:tcPr>
          <w:p>
            <w:pPr>
              <w:pStyle w:val="Compact"/>
              <w:spacing w:before="0" w:after="0" w:line="240" w:lineRule="auto"/>
              <w:jc w:val="right"/>
            </w:pPr>
            <w:r>
              <w:rPr>
                <w:rFonts w:ascii="Times New Roman" w:hAnsi="Times New Roman" w:eastAsia="Times New Roman"/>
                <w:sz w:val="17"/>
              </w:rPr>
              <w:t xml:space="preserve">1894 × 1896</w:t>
            </w:r>
          </w:p>
        </w:tc>
        <w:tc>
          <w:tcPr>
            <w:vAlign w:val="center"/>
          </w:tcPr>
          <w:p>
            <w:pPr>
              <w:pStyle w:val="Compact"/>
              <w:spacing w:before="0" w:after="0" w:line="240" w:lineRule="auto"/>
              <w:jc w:val="right"/>
            </w:pPr>
            <w:r>
              <w:rPr>
                <w:rFonts w:ascii="Times New Roman" w:hAnsi="Times New Roman" w:eastAsia="Times New Roman"/>
                <w:sz w:val="17"/>
              </w:rPr>
              <w:t xml:space="preserve">113</w:t>
            </w:r>
          </w:p>
        </w:tc>
        <w:tc>
          <w:tcPr>
            <w:vAlign w:val="center"/>
          </w:tcPr>
          <w:p>
            <w:pPr>
              <w:pStyle w:val="Compact"/>
              <w:spacing w:before="0" w:after="0" w:line="240" w:lineRule="auto"/>
              <w:jc w:val="right"/>
            </w:pPr>
            <w:r>
              <w:rPr>
                <w:rFonts w:ascii="Times New Roman" w:hAnsi="Times New Roman" w:eastAsia="Times New Roman"/>
                <w:sz w:val="17"/>
              </w:rPr>
              <w:t xml:space="preserve">22,579</w:t>
            </w:r>
          </w:p>
        </w:tc>
      </w:tr>
      <w:tr>
        <w:trPr>
          <w:cantSplit w:val="true"/>
        </w:trPr>
        <w:tc>
          <w:tcPr>
            <w:vAlign w:val="center"/>
          </w:tcPr>
          <w:p>
            <w:pPr>
              <w:pStyle w:val="Compact"/>
              <w:spacing w:before="0" w:after="0" w:line="240" w:lineRule="auto"/>
              <w:jc w:val="left"/>
            </w:pPr>
            <w:r>
              <w:rPr>
                <w:rFonts w:ascii="Times New Roman" w:hAnsi="Times New Roman" w:eastAsia="Times New Roman"/>
                <w:sz w:val="17"/>
              </w:rPr>
              <w:t xml:space="preserve">Scandinavian Arctic</w:t>
            </w:r>
          </w:p>
        </w:tc>
        <w:tc>
          <w:tcPr>
            <w:vAlign w:val="center"/>
          </w:tcPr>
          <w:p>
            <w:pPr>
              <w:pStyle w:val="Compact"/>
              <w:spacing w:before="0" w:after="0" w:line="240" w:lineRule="auto"/>
              <w:jc w:val="left"/>
            </w:pPr>
            <w:r>
              <w:rPr>
                <w:rFonts w:ascii="Times New Roman" w:hAnsi="Times New Roman" w:eastAsia="Times New Roman"/>
                <w:sz w:val="17"/>
              </w:rPr>
              <w:t xml:space="preserve">20 Dec 2024</w:t>
            </w:r>
          </w:p>
        </w:tc>
        <w:tc>
          <w:tcPr>
            <w:vAlign w:val="center"/>
          </w:tcPr>
          <w:p>
            <w:pPr>
              <w:pStyle w:val="Compact"/>
              <w:spacing w:before="0" w:after="0" w:line="240" w:lineRule="auto"/>
              <w:jc w:val="left"/>
            </w:pPr>
            <w:r>
              <w:rPr>
                <w:rFonts w:ascii="Times New Roman" w:hAnsi="Times New Roman" w:eastAsia="Times New Roman"/>
                <w:sz w:val="17"/>
              </w:rPr>
              <w:t xml:space="preserve">Troms, Norway</w:t>
            </w:r>
          </w:p>
        </w:tc>
        <w:tc>
          <w:tcPr>
            <w:vAlign w:val="center"/>
          </w:tcPr>
          <w:p>
            <w:pPr>
              <w:pStyle w:val="Compact"/>
              <w:spacing w:before="0" w:after="0" w:line="240" w:lineRule="auto"/>
              <w:jc w:val="center"/>
            </w:pPr>
            <w:r>
              <w:rPr>
                <w:rFonts w:ascii="Times New Roman" w:hAnsi="Times New Roman" w:eastAsia="Times New Roman"/>
                <w:sz w:val="17"/>
              </w:rPr>
              <w:t xml:space="preserve">0–1,830</w:t>
            </w:r>
          </w:p>
        </w:tc>
        <w:tc>
          <w:tcPr>
            <w:vAlign w:val="center"/>
          </w:tcPr>
          <w:p>
            <w:pPr>
              <w:pStyle w:val="Compact"/>
              <w:spacing w:before="0" w:after="0" w:line="240" w:lineRule="auto"/>
              <w:jc w:val="right"/>
            </w:pPr>
            <w:r>
              <w:rPr>
                <w:rFonts w:ascii="Times New Roman" w:hAnsi="Times New Roman" w:eastAsia="Times New Roman"/>
                <w:sz w:val="17"/>
              </w:rPr>
              <w:t xml:space="preserve">1691 × 1454</w:t>
            </w:r>
          </w:p>
        </w:tc>
        <w:tc>
          <w:tcPr>
            <w:vAlign w:val="center"/>
          </w:tcPr>
          <w:p>
            <w:pPr>
              <w:pStyle w:val="Compact"/>
              <w:spacing w:before="0" w:after="0" w:line="240" w:lineRule="auto"/>
              <w:jc w:val="right"/>
            </w:pPr>
            <w:r>
              <w:rPr>
                <w:rFonts w:ascii="Times New Roman" w:hAnsi="Times New Roman" w:eastAsia="Times New Roman"/>
                <w:sz w:val="17"/>
              </w:rPr>
              <w:t xml:space="preserve">117</w:t>
            </w:r>
          </w:p>
        </w:tc>
        <w:tc>
          <w:tcPr>
            <w:vAlign w:val="center"/>
          </w:tcPr>
          <w:p>
            <w:pPr>
              <w:pStyle w:val="Compact"/>
              <w:spacing w:before="0" w:after="0" w:line="240" w:lineRule="auto"/>
              <w:jc w:val="right"/>
            </w:pPr>
            <w:r>
              <w:rPr>
                <w:rFonts w:ascii="Times New Roman" w:hAnsi="Times New Roman" w:eastAsia="Times New Roman"/>
                <w:sz w:val="17"/>
              </w:rPr>
              <w:t xml:space="preserve">33,972</w:t>
            </w:r>
          </w:p>
        </w:tc>
      </w:tr>
      <w:tr>
        <w:trPr>
          <w:cantSplit w:val="true"/>
        </w:trPr>
        <w:tc>
          <w:tcPr>
            <w:vAlign w:val="center"/>
          </w:tcPr>
          <w:p>
            <w:pPr>
              <w:pStyle w:val="Compact"/>
              <w:spacing w:before="0" w:after="0" w:line="240" w:lineRule="auto"/>
              <w:jc w:val="left"/>
            </w:pPr>
            <w:r>
              <w:rPr>
                <w:rFonts w:ascii="Times New Roman" w:hAnsi="Times New Roman" w:eastAsia="Times New Roman"/>
                <w:b/>
                <w:bCs/>
                <w:sz w:val="17"/>
              </w:rPr>
              <w:t xml:space="preserve">Total / Benchmark</w:t>
            </w:r>
          </w:p>
        </w:tc>
        <w:tc>
          <w:tcPr>
            <w:vAlign w:val="center"/>
          </w:tcPr>
          <w:p>
            <w:pPr>
              <w:pStyle w:val="Compact"/>
              <w:spacing w:before="0" w:after="0" w:line="240" w:lineRule="auto"/>
              <w:jc w:val="left"/>
            </w:pPr>
            <w:r>
              <w:rPr>
                <w:rFonts w:ascii="Times New Roman" w:hAnsi="Times New Roman" w:eastAsia="Times New Roman"/>
                <w:b/>
                <w:bCs/>
                <w:sz w:val="17"/>
              </w:rPr>
              <w:t xml:space="preserve">7 Events</w:t>
            </w:r>
          </w:p>
        </w:tc>
        <w:tc>
          <w:tcPr>
            <w:vAlign w:val="center"/>
          </w:tcPr>
          <w:p>
            <w:pPr>
              <w:pStyle w:val="Compact"/>
              <w:spacing w:before="0" w:after="0" w:line="240" w:lineRule="auto"/>
              <w:jc w:val="left"/>
            </w:pPr>
            <w:r>
              <w:rPr>
                <w:rFonts w:ascii="Times New Roman" w:hAnsi="Times New Roman" w:eastAsia="Times New Roman"/>
                <w:b/>
                <w:bCs/>
                <w:sz w:val="17"/>
              </w:rPr>
              <w:t xml:space="preserve">4 Ranges</w:t>
            </w:r>
          </w:p>
        </w:tc>
        <w:tc>
          <w:tcPr>
            <w:vAlign w:val="center"/>
          </w:tcPr>
          <w:p>
            <w:pPr>
              <w:pStyle w:val="Compact"/>
              <w:spacing w:before="0" w:after="0" w:line="240" w:lineRule="auto"/>
              <w:jc w:val="center"/>
            </w:pPr>
            <w:r>
              <w:rPr>
                <w:rFonts w:ascii="Times New Roman" w:hAnsi="Times New Roman" w:eastAsia="Times New Roman"/>
                <w:b/>
                <w:bCs/>
                <w:sz w:val="17"/>
              </w:rPr>
              <w:t xml:space="preserve">0–5,420</w:t>
            </w:r>
          </w:p>
        </w:tc>
        <w:tc>
          <w:tcPr>
            <w:vAlign w:val="center"/>
          </w:tcPr>
          <w:p>
            <w:pPr>
              <w:pStyle w:val="Compact"/>
              <w:spacing w:before="0" w:after="0" w:line="240" w:lineRule="auto"/>
              <w:jc w:val="right"/>
            </w:pPr>
            <w:r>
              <w:rPr>
                <w:rFonts w:ascii="Times New Roman" w:hAnsi="Times New Roman" w:eastAsia="Times New Roman"/>
                <w:b/>
                <w:bCs/>
                <w:sz w:val="17"/>
              </w:rPr>
              <w:t xml:space="preserve">48.7M px</w:t>
            </w:r>
          </w:p>
        </w:tc>
        <w:tc>
          <w:tcPr>
            <w:vAlign w:val="center"/>
          </w:tcPr>
          <w:p>
            <w:pPr>
              <w:pStyle w:val="Compact"/>
              <w:spacing w:before="0" w:after="0" w:line="240" w:lineRule="auto"/>
              <w:jc w:val="right"/>
            </w:pPr>
            <w:r>
              <w:rPr>
                <w:rFonts w:ascii="Times New Roman" w:hAnsi="Times New Roman" w:eastAsia="Times New Roman"/>
                <w:b/>
                <w:bCs/>
                <w:sz w:val="17"/>
              </w:rPr>
              <w:t xml:space="preserve">993</w:t>
            </w:r>
          </w:p>
        </w:tc>
        <w:tc>
          <w:tcPr>
            <w:vAlign w:val="center"/>
          </w:tcPr>
          <w:p>
            <w:pPr>
              <w:pStyle w:val="Compact"/>
              <w:spacing w:before="0" w:after="0" w:line="240" w:lineRule="auto"/>
              <w:jc w:val="right"/>
            </w:pPr>
            <w:r>
              <w:rPr>
                <w:rFonts w:ascii="Times New Roman" w:hAnsi="Times New Roman" w:eastAsia="Times New Roman"/>
                <w:b/>
                <w:bCs/>
                <w:sz w:val="17"/>
              </w:rPr>
              <w:t xml:space="preserve">254,404</w:t>
            </w:r>
          </w:p>
        </w:tc>
      </w:tr>
    </w:tbl>
    <w:p>
      <w:pPr>
        <w:numPr>
          <w:ilvl w:val="0"/>
          <w:numId w:val="1003"/>
        </w:numPr>
        <w:spacing w:after="0" w:line="240" w:lineRule="auto"/>
      </w:pPr>
      <w:r>
        <w:rPr>
          <w:rFonts w:ascii="Times New Roman" w:hAnsi="Times New Roman" w:eastAsia="Times New Roman"/>
          <w:b/>
          <w:bCs/>
          <w:sz w:val="20"/>
        </w:rPr>
        <w:t xml:space="preserve">European Alps (Livigno, Italy):</w:t>
      </w:r>
      <w:r>
        <w:rPr>
          <w:rFonts w:ascii="Times New Roman" w:hAnsi="Times New Roman" w:eastAsia="Times New Roman"/>
          <w:sz w:val="20"/>
        </w:rPr>
        <w:t xml:space="preserve"> </w:t>
      </w:r>
      <w:r>
        <w:rPr>
          <w:rFonts w:ascii="Times New Roman" w:hAnsi="Times New Roman" w:eastAsia="Times New Roman"/>
          <w:sz w:val="20"/>
        </w:rPr>
        <w:t xml:space="preserve">Located in the central Italian Alps near the Swiss border (</w:t>
      </w:r>
      <m:oMath>
        <m:sSup>
          <m:e>
            <m:r>
              <m:t>46</m:t>
            </m:r>
          </m:e>
          <m:sup>
            <m:r>
              <m:rPr>
                <m:sty m:val="p"/>
              </m:rPr>
              <m:t>∘</m:t>
            </m:r>
          </m:sup>
        </m:sSup>
        <m:sSup>
          <m:e>
            <m:r>
              <m:t>32</m:t>
            </m:r>
          </m:e>
          <m:sup>
            <m:r>
              <m:rPr>
                <m:sty m:val="p"/>
              </m:rPr>
              <m:t>′</m:t>
            </m:r>
          </m:sup>
        </m:sSup>
        <m:r>
          <m:rPr>
            <m:nor/>
            <m:sty m:val="p"/>
          </m:rPr>
          <m:t>N</m:t>
        </m:r>
      </m:oMath>
      <w:r>
        <w:rPr>
          <w:rFonts w:ascii="Times New Roman" w:hAnsi="Times New Roman" w:eastAsia="Times New Roman"/>
          <w:sz w:val="20"/>
        </w:rPr>
        <w:t xml:space="preserve">,</w:t>
      </w:r>
      <w:r>
        <w:rPr>
          <w:rFonts w:ascii="Times New Roman" w:hAnsi="Times New Roman" w:eastAsia="Times New Roman"/>
          <w:sz w:val="20"/>
        </w:rPr>
        <w:t xml:space="preserve"> </w:t>
      </w:r>
      <m:oMath>
        <m:sSup>
          <m:e>
            <m:r>
              <m:t>10</m:t>
            </m:r>
          </m:e>
          <m:sup>
            <m:r>
              <m:rPr>
                <m:sty m:val="p"/>
              </m:rPr>
              <m:t>∘</m:t>
            </m:r>
          </m:sup>
        </m:sSup>
        <m:sSup>
          <m:e>
            <m:r>
              <m:t>08</m:t>
            </m:r>
          </m:e>
          <m:sup>
            <m:r>
              <m:rPr>
                <m:sty m:val="p"/>
              </m:rPr>
              <m:t>′</m:t>
            </m:r>
          </m:sup>
        </m:sSup>
        <m:r>
          <m:rPr>
            <m:nor/>
            <m:sty m:val="p"/>
          </m:rPr>
          <m:t>E</m:t>
        </m:r>
      </m:oMath>
      <w:r>
        <w:rPr>
          <w:rFonts w:ascii="Times New Roman" w:hAnsi="Times New Roman" w:eastAsia="Times New Roman"/>
          <w:sz w:val="20"/>
        </w:rPr>
        <w:t xml:space="preserve">), the Livigno region represents a temperate alpine mountain system characterized by steep glacial troughs, U-shaped valleys, and elevations ranging from 1,250 m to over 3,890 m. The region features intensive human recreation, ski infrastructure, and transportation corridors. The dataset encompasses three distinct avalanche cycles: a spring slab cycle in April 2024, a mid-winter powder cycle in January 2025, and a complex wet-snow avalanche cycle in March 2025.</w:t>
      </w:r>
    </w:p>
    <w:p>
      <w:pPr>
        <w:numPr>
          <w:ilvl w:val="0"/>
          <w:numId w:val="1003"/>
        </w:numPr>
        <w:spacing w:after="0" w:line="240" w:lineRule="auto"/>
      </w:pPr>
      <w:r>
        <w:rPr>
          <w:rFonts w:ascii="Times New Roman" w:hAnsi="Times New Roman" w:eastAsia="Times New Roman"/>
          <w:b/>
          <w:bCs/>
          <w:sz w:val="20"/>
        </w:rPr>
        <w:t xml:space="preserve">Pamir Mountains (Pish, Tajikistan):</w:t>
      </w:r>
      <w:r>
        <w:rPr>
          <w:rFonts w:ascii="Times New Roman" w:hAnsi="Times New Roman" w:eastAsia="Times New Roman"/>
          <w:sz w:val="20"/>
        </w:rPr>
        <w:t xml:space="preserve"> </w:t>
      </w:r>
      <w:r>
        <w:rPr>
          <w:rFonts w:ascii="Times New Roman" w:hAnsi="Times New Roman" w:eastAsia="Times New Roman"/>
          <w:sz w:val="20"/>
        </w:rPr>
        <w:t xml:space="preserve">The Pamir knot in Central Asia (</w:t>
      </w:r>
      <m:oMath>
        <m:sSup>
          <m:e>
            <m:r>
              <m:t>37</m:t>
            </m:r>
          </m:e>
          <m:sup>
            <m:r>
              <m:rPr>
                <m:sty m:val="p"/>
              </m:rPr>
              <m:t>∘</m:t>
            </m:r>
          </m:sup>
        </m:sSup>
        <m:sSup>
          <m:e>
            <m:r>
              <m:t>35</m:t>
            </m:r>
          </m:e>
          <m:sup>
            <m:r>
              <m:rPr>
                <m:sty m:val="p"/>
              </m:rPr>
              <m:t>′</m:t>
            </m:r>
          </m:sup>
        </m:sSup>
        <m:r>
          <m:rPr>
            <m:nor/>
            <m:sty m:val="p"/>
          </m:rPr>
          <m:t>N</m:t>
        </m:r>
      </m:oMath>
      <w:r>
        <w:rPr>
          <w:rFonts w:ascii="Times New Roman" w:hAnsi="Times New Roman" w:eastAsia="Times New Roman"/>
          <w:sz w:val="20"/>
        </w:rPr>
        <w:t xml:space="preserve">,</w:t>
      </w:r>
      <w:r>
        <w:rPr>
          <w:rFonts w:ascii="Times New Roman" w:hAnsi="Times New Roman" w:eastAsia="Times New Roman"/>
          <w:sz w:val="20"/>
        </w:rPr>
        <w:t xml:space="preserve"> </w:t>
      </w:r>
      <m:oMath>
        <m:sSup>
          <m:e>
            <m:r>
              <m:t>71</m:t>
            </m:r>
          </m:e>
          <m:sup>
            <m:r>
              <m:rPr>
                <m:sty m:val="p"/>
              </m:rPr>
              <m:t>∘</m:t>
            </m:r>
          </m:sup>
        </m:sSup>
        <m:sSup>
          <m:e>
            <m:r>
              <m:t>39</m:t>
            </m:r>
          </m:e>
          <m:sup>
            <m:r>
              <m:rPr>
                <m:sty m:val="p"/>
              </m:rPr>
              <m:t>′</m:t>
            </m:r>
          </m:sup>
        </m:sSup>
        <m:r>
          <m:rPr>
            <m:nor/>
            <m:sty m:val="p"/>
          </m:rPr>
          <m:t>E</m:t>
        </m:r>
      </m:oMath>
      <w:r>
        <w:rPr>
          <w:rFonts w:ascii="Times New Roman" w:hAnsi="Times New Roman" w:eastAsia="Times New Roman"/>
          <w:sz w:val="20"/>
        </w:rPr>
        <w:t xml:space="preserve">) represents an extreme high-altitude, continental mountain regime characterized by deep arid valleys, narrow gorges, and rugged peaks exceeding 5,400 m in relief. In February 2023, extreme anomalous snowfall triggered a catastrophic avalanche cycle across the Shughnon District, resulting in severe infrastructure destruction and humanitarian emergencies. The snowpack is continental and facetted, with avalanche paths spanning massive vertical descents (</w:t>
      </w:r>
      <m:oMath>
        <m:r>
          <m:rPr>
            <m:sty m:val="p"/>
          </m:rPr>
          <m:t>&gt;</m:t>
        </m:r>
        <m:r>
          <m:t>2</m:t>
        </m:r>
        <m:r>
          <m:rPr>
            <m:sty m:val="p"/>
          </m:rPr>
          <m:t>,</m:t>
        </m:r>
        <m:r>
          <m:t>000</m:t>
        </m:r>
      </m:oMath>
      <w:r>
        <w:rPr>
          <w:rFonts w:ascii="Times New Roman" w:hAnsi="Times New Roman" w:eastAsia="Times New Roman"/>
          <w:sz w:val="20"/>
        </w:rPr>
        <w:t xml:space="preserve"> m).</w:t>
      </w:r>
    </w:p>
    <w:p>
      <w:pPr>
        <w:numPr>
          <w:ilvl w:val="0"/>
          <w:numId w:val="1003"/>
        </w:numPr>
        <w:spacing w:after="0" w:line="240" w:lineRule="auto"/>
      </w:pPr>
      <w:r>
        <w:rPr>
          <w:rFonts w:ascii="Times New Roman" w:hAnsi="Times New Roman" w:eastAsia="Times New Roman"/>
          <w:b/>
          <w:bCs/>
          <w:sz w:val="20"/>
        </w:rPr>
        <w:t xml:space="preserve">Scandinavian Arctic (Troms</w:t>
      </w:r>
      <w:r>
        <w:rPr>
          <w:rFonts w:ascii="Times New Roman" w:hAnsi="Times New Roman" w:eastAsia="Times New Roman"/>
          <w:b/>
          <w:bCs/>
          <w:sz w:val="20"/>
        </w:rPr>
        <w:t xml:space="preserve">ø</w:t>
      </w:r>
      <w:r>
        <w:rPr>
          <w:rFonts w:ascii="Times New Roman" w:hAnsi="Times New Roman" w:eastAsia="Times New Roman"/>
          <w:b/>
          <w:bCs/>
          <w:sz w:val="20"/>
        </w:rPr>
        <w:t xml:space="preserve">, Norway):</w:t>
      </w:r>
      <w:r>
        <w:rPr>
          <w:rFonts w:ascii="Times New Roman" w:hAnsi="Times New Roman" w:eastAsia="Times New Roman"/>
          <w:sz w:val="20"/>
        </w:rPr>
        <w:t xml:space="preserve"> </w:t>
      </w:r>
      <w:r>
        <w:rPr>
          <w:rFonts w:ascii="Times New Roman" w:hAnsi="Times New Roman" w:eastAsia="Times New Roman"/>
          <w:sz w:val="20"/>
        </w:rPr>
        <w:t xml:space="preserve">Situated at</w:t>
      </w:r>
      <w:r>
        <w:rPr>
          <w:rFonts w:ascii="Times New Roman" w:hAnsi="Times New Roman" w:eastAsia="Times New Roman"/>
          <w:sz w:val="20"/>
        </w:rPr>
        <w:t xml:space="preserve"> </w:t>
      </w:r>
      <m:oMath>
        <m:sSup>
          <m:e>
            <m:r>
              <m:t>69</m:t>
            </m:r>
          </m:e>
          <m:sup>
            <m:r>
              <m:rPr>
                <m:sty m:val="p"/>
              </m:rPr>
              <m:t>∘</m:t>
            </m:r>
          </m:sup>
        </m:sSup>
        <m:sSup>
          <m:e>
            <m:r>
              <m:t>39</m:t>
            </m:r>
          </m:e>
          <m:sup>
            <m:r>
              <m:rPr>
                <m:sty m:val="p"/>
              </m:rPr>
              <m:t>′</m:t>
            </m:r>
          </m:sup>
        </m:sSup>
        <m:r>
          <m:rPr>
            <m:nor/>
            <m:sty m:val="p"/>
          </m:rPr>
          <m:t>N</m:t>
        </m:r>
      </m:oMath>
      <w:r>
        <w:rPr>
          <w:rFonts w:ascii="Times New Roman" w:hAnsi="Times New Roman" w:eastAsia="Times New Roman"/>
          <w:sz w:val="20"/>
        </w:rPr>
        <w:t xml:space="preserve">,</w:t>
      </w:r>
      <w:r>
        <w:rPr>
          <w:rFonts w:ascii="Times New Roman" w:hAnsi="Times New Roman" w:eastAsia="Times New Roman"/>
          <w:sz w:val="20"/>
        </w:rPr>
        <w:t xml:space="preserve"> </w:t>
      </w:r>
      <m:oMath>
        <m:sSup>
          <m:e>
            <m:r>
              <m:t>18</m:t>
            </m:r>
          </m:e>
          <m:sup>
            <m:r>
              <m:rPr>
                <m:sty m:val="p"/>
              </m:rPr>
              <m:t>∘</m:t>
            </m:r>
          </m:sup>
        </m:sSup>
        <m:sSup>
          <m:e>
            <m:r>
              <m:t>57</m:t>
            </m:r>
          </m:e>
          <m:sup>
            <m:r>
              <m:rPr>
                <m:sty m:val="p"/>
              </m:rPr>
              <m:t>′</m:t>
            </m:r>
          </m:sup>
        </m:sSup>
        <m:r>
          <m:rPr>
            <m:nor/>
            <m:sty m:val="p"/>
          </m:rPr>
          <m:t>E</m:t>
        </m:r>
      </m:oMath>
      <w:r>
        <w:rPr>
          <w:rFonts w:ascii="Times New Roman" w:hAnsi="Times New Roman" w:eastAsia="Times New Roman"/>
          <w:sz w:val="20"/>
        </w:rPr>
        <w:t xml:space="preserve"> </w:t>
      </w:r>
      <w:r>
        <w:rPr>
          <w:rFonts w:ascii="Times New Roman" w:hAnsi="Times New Roman" w:eastAsia="Times New Roman"/>
          <w:sz w:val="20"/>
        </w:rPr>
        <w:t xml:space="preserve">in Northern Norway, this region features coastal maritime Arctic mountains rising directly from fjords to rugged alpine massifs. The snowpack is heavily influenced by cyclonic storms, freezing rain, and high winds, producing complex slab avalanches and wet debris. The Troms</w:t>
      </w:r>
      <w:r>
        <w:rPr>
          <w:rFonts w:ascii="Times New Roman" w:hAnsi="Times New Roman" w:eastAsia="Times New Roman"/>
          <w:sz w:val="20"/>
        </w:rPr>
        <w:t xml:space="preserve">ø</w:t>
      </w:r>
      <w:r>
        <w:rPr>
          <w:rFonts w:ascii="Times New Roman" w:hAnsi="Times New Roman" w:eastAsia="Times New Roman"/>
          <w:sz w:val="20"/>
        </w:rPr>
        <w:t xml:space="preserve"> </w:t>
      </w:r>
      <w:r>
        <w:rPr>
          <w:rFonts w:ascii="Times New Roman" w:hAnsi="Times New Roman" w:eastAsia="Times New Roman"/>
          <w:sz w:val="20"/>
        </w:rPr>
        <w:t xml:space="preserve">inventory provides detailed polygon annotations categorized according to the European Avalanche Warning Services (EAWS) destructive size scale (classes D1 through D4).</w:t>
      </w:r>
    </w:p>
    <w:p>
      <w:pPr>
        <w:numPr>
          <w:ilvl w:val="0"/>
          <w:numId w:val="1003"/>
        </w:numPr>
        <w:spacing w:after="0" w:line="240" w:lineRule="auto"/>
      </w:pPr>
      <w:r>
        <w:rPr>
          <w:rFonts w:ascii="Times New Roman" w:hAnsi="Times New Roman" w:eastAsia="Times New Roman"/>
          <w:b/>
          <w:bCs/>
          <w:sz w:val="20"/>
        </w:rPr>
        <w:t xml:space="preserve">Greenland Sub-Polar Alpine (Nuuk, Greenland):</w:t>
      </w:r>
      <w:r>
        <w:rPr>
          <w:rFonts w:ascii="Times New Roman" w:hAnsi="Times New Roman" w:eastAsia="Times New Roman"/>
          <w:sz w:val="20"/>
        </w:rPr>
        <w:t xml:space="preserve"> </w:t>
      </w:r>
      <w:r>
        <w:rPr>
          <w:rFonts w:ascii="Times New Roman" w:hAnsi="Times New Roman" w:eastAsia="Times New Roman"/>
          <w:sz w:val="20"/>
        </w:rPr>
        <w:t xml:space="preserve">Surrounding the capital region of Nuuk (</w:t>
      </w:r>
      <m:oMath>
        <m:sSup>
          <m:e>
            <m:r>
              <m:t>64</m:t>
            </m:r>
          </m:e>
          <m:sup>
            <m:r>
              <m:rPr>
                <m:sty m:val="p"/>
              </m:rPr>
              <m:t>∘</m:t>
            </m:r>
          </m:sup>
        </m:sSup>
        <m:sSup>
          <m:e>
            <m:r>
              <m:t>11</m:t>
            </m:r>
          </m:e>
          <m:sup>
            <m:r>
              <m:rPr>
                <m:sty m:val="p"/>
              </m:rPr>
              <m:t>′</m:t>
            </m:r>
          </m:sup>
        </m:sSup>
        <m:r>
          <m:rPr>
            <m:nor/>
            <m:sty m:val="p"/>
          </m:rPr>
          <m:t>N</m:t>
        </m:r>
      </m:oMath>
      <w:r>
        <w:rPr>
          <w:rFonts w:ascii="Times New Roman" w:hAnsi="Times New Roman" w:eastAsia="Times New Roman"/>
          <w:sz w:val="20"/>
        </w:rPr>
        <w:t xml:space="preserve">,</w:t>
      </w:r>
      <w:r>
        <w:rPr>
          <w:rFonts w:ascii="Times New Roman" w:hAnsi="Times New Roman" w:eastAsia="Times New Roman"/>
          <w:sz w:val="20"/>
        </w:rPr>
        <w:t xml:space="preserve"> </w:t>
      </w:r>
      <m:oMath>
        <m:sSup>
          <m:e>
            <m:r>
              <m:t>51</m:t>
            </m:r>
          </m:e>
          <m:sup>
            <m:r>
              <m:rPr>
                <m:sty m:val="p"/>
              </m:rPr>
              <m:t>∘</m:t>
            </m:r>
          </m:sup>
        </m:sSup>
        <m:sSup>
          <m:e>
            <m:r>
              <m:t>44</m:t>
            </m:r>
          </m:e>
          <m:sup>
            <m:r>
              <m:rPr>
                <m:sty m:val="p"/>
              </m:rPr>
              <m:t>′</m:t>
            </m:r>
          </m:sup>
        </m:sSup>
        <m:r>
          <m:rPr>
            <m:nor/>
            <m:sty m:val="p"/>
          </m:rPr>
          <m:t>W</m:t>
        </m:r>
      </m:oMath>
      <w:r>
        <w:rPr>
          <w:rFonts w:ascii="Times New Roman" w:hAnsi="Times New Roman" w:eastAsia="Times New Roman"/>
          <w:sz w:val="20"/>
        </w:rPr>
        <w:t xml:space="preserve">), this coastal sub-polar environment consists of rugged coastal mountains, deep fjords, and permafrost terrain. Two events (April 2016 and April 2021) capture widespread avalanche releases in a polar maritime regime under intense wind-drift conditions.</w:t>
      </w:r>
    </w:p>
    <w:bookmarkEnd w:id="10"/>
    <w:bookmarkStart w:id="11" w:name="X63e668be9de61f69c3ea777ff53a023239bd62e"/>
    <w:p>
      <w:pPr>
        <w:pStyle w:val="Heading2"/>
        <w:spacing w:after="0" w:line="240" w:lineRule="auto"/>
      </w:pPr>
      <w:r>
        <w:rPr>
          <w:rFonts w:ascii="Times New Roman" w:hAnsi="Times New Roman" w:eastAsia="Times New Roman"/>
          <w:sz w:val="20"/>
        </w:rPr>
        <w:t xml:space="preserve">Remote Sensing and Topographic Data Modalities</w:t>
      </w:r>
    </w:p>
    <w:p>
      <w:pPr>
        <w:pStyle w:val="FirstParagraph"/>
        <w:spacing w:after="0" w:line="240" w:lineRule="auto"/>
      </w:pPr>
      <w:r>
        <w:rPr>
          <w:rFonts w:ascii="Times New Roman" w:hAnsi="Times New Roman" w:eastAsia="Times New Roman"/>
          <w:sz w:val="20"/>
        </w:rPr>
        <w:t xml:space="preserve">For each of the seven events, the benchmark provides co-registered, multi-modal geospatial rasters:</w:t>
      </w:r>
    </w:p>
    <w:p>
      <w:pPr>
        <w:numPr>
          <w:ilvl w:val="0"/>
          <w:numId w:val="1004"/>
        </w:numPr>
        <w:spacing w:after="0" w:line="240" w:lineRule="auto"/>
      </w:pPr>
      <w:r>
        <w:rPr>
          <w:rFonts w:ascii="Times New Roman" w:hAnsi="Times New Roman" w:eastAsia="Times New Roman"/>
          <w:b/>
          <w:bCs/>
          <w:sz w:val="20"/>
        </w:rPr>
        <w:t xml:space="preserve">Sentinel-1 C-band SAR Imagery:</w:t>
      </w:r>
      <w:r>
        <w:rPr>
          <w:rFonts w:ascii="Times New Roman" w:hAnsi="Times New Roman" w:eastAsia="Times New Roman"/>
          <w:sz w:val="20"/>
        </w:rPr>
        <w:t xml:space="preserve"> </w:t>
      </w:r>
      <w:r>
        <w:rPr>
          <w:rFonts w:ascii="Times New Roman" w:hAnsi="Times New Roman" w:eastAsia="Times New Roman"/>
          <w:sz w:val="20"/>
        </w:rPr>
        <w:t xml:space="preserve">Dual-polarization intensity data (co-polarization VV and cross-polarization VH) acquired in Interferometric Wide (IW) swath mode. For each event, a pre-event reference acquisition and a post-event acquisition are preprocessed via the ESA SNAP toolbox, applying orbit state vector updates, border noise removal, calibration to backscatter coefficient</w:t>
      </w:r>
      <w:r>
        <w:rPr>
          <w:rFonts w:ascii="Times New Roman" w:hAnsi="Times New Roman" w:eastAsia="Times New Roman"/>
          <w:sz w:val="20"/>
        </w:rPr>
        <w:t xml:space="preserve"> </w:t>
      </w:r>
      <m:oMath>
        <m:sSup>
          <m:e>
            <m:r>
              <m:t>σ</m:t>
            </m:r>
          </m:e>
          <m:sup>
            <m:r>
              <m:t>0</m:t>
            </m:r>
          </m:sup>
        </m:sSup>
      </m:oMath>
      <w:r>
        <w:rPr>
          <w:rFonts w:ascii="Times New Roman" w:hAnsi="Times New Roman" w:eastAsia="Times New Roman"/>
          <w:sz w:val="20"/>
        </w:rPr>
        <w:t xml:space="preserve"> </w:t>
      </w:r>
      <w:r>
        <w:rPr>
          <w:rFonts w:ascii="Times New Roman" w:hAnsi="Times New Roman" w:eastAsia="Times New Roman"/>
          <w:sz w:val="20"/>
        </w:rPr>
        <w:t xml:space="preserve">(in decibels, dB), and Range-Doppler terrain correction at 10 m spatial resolution.</w:t>
      </w:r>
    </w:p>
    <w:p>
      <w:pPr>
        <w:numPr>
          <w:ilvl w:val="0"/>
          <w:numId w:val="1004"/>
        </w:numPr>
        <w:spacing w:after="0" w:line="240" w:lineRule="auto"/>
      </w:pPr>
      <w:r>
        <w:rPr>
          <w:rFonts w:ascii="Times New Roman" w:hAnsi="Times New Roman" w:eastAsia="Times New Roman"/>
          <w:b/>
          <w:bCs/>
          <w:sz w:val="20"/>
        </w:rPr>
        <w:t xml:space="preserve">Local Incidence Angle (LIA):</w:t>
      </w:r>
      <w:r>
        <w:rPr>
          <w:rFonts w:ascii="Times New Roman" w:hAnsi="Times New Roman" w:eastAsia="Times New Roman"/>
          <w:sz w:val="20"/>
        </w:rPr>
        <w:t xml:space="preserve"> </w:t>
      </w:r>
      <w:r>
        <w:rPr>
          <w:rFonts w:ascii="Times New Roman" w:hAnsi="Times New Roman" w:eastAsia="Times New Roman"/>
          <w:sz w:val="20"/>
        </w:rPr>
        <w:t xml:space="preserve">Exact per-pixel local incidence angle rasters computed from satellite orbit geometry and the digital elevation model, quantifying the angle between the surface normal and the incoming radar wave.</w:t>
      </w:r>
    </w:p>
    <w:p>
      <w:pPr>
        <w:numPr>
          <w:ilvl w:val="0"/>
          <w:numId w:val="1004"/>
        </w:numPr>
        <w:spacing w:after="0" w:line="240" w:lineRule="auto"/>
      </w:pPr>
      <w:r>
        <w:rPr>
          <w:rFonts w:ascii="Times New Roman" w:hAnsi="Times New Roman" w:eastAsia="Times New Roman"/>
          <w:b/>
          <w:bCs/>
          <w:sz w:val="20"/>
        </w:rPr>
        <w:t xml:space="preserve">Copernicus DEM (GLO-30):</w:t>
      </w:r>
      <w:r>
        <w:rPr>
          <w:rFonts w:ascii="Times New Roman" w:hAnsi="Times New Roman" w:eastAsia="Times New Roman"/>
          <w:sz w:val="20"/>
        </w:rPr>
        <w:t xml:space="preserve"> </w:t>
      </w:r>
      <w:r>
        <w:rPr>
          <w:rFonts w:ascii="Times New Roman" w:hAnsi="Times New Roman" w:eastAsia="Times New Roman"/>
          <w:sz w:val="20"/>
        </w:rPr>
        <w:t xml:space="preserve">High-quality 30 m global digital elevation model resampled to the 10 m Sentinel-1 SAR grid, providing continuous elevation measurements across all alpine catchments.</w:t>
      </w:r>
    </w:p>
    <w:p>
      <w:pPr>
        <w:numPr>
          <w:ilvl w:val="0"/>
          <w:numId w:val="1004"/>
        </w:numPr>
        <w:spacing w:after="0" w:line="240" w:lineRule="auto"/>
      </w:pPr>
      <w:r>
        <w:rPr>
          <w:rFonts w:ascii="Times New Roman" w:hAnsi="Times New Roman" w:eastAsia="Times New Roman"/>
          <w:b/>
          <w:bCs/>
          <w:sz w:val="20"/>
        </w:rPr>
        <w:t xml:space="preserve">Terrain Slope and Aspect:</w:t>
      </w:r>
      <w:r>
        <w:rPr>
          <w:rFonts w:ascii="Times New Roman" w:hAnsi="Times New Roman" w:eastAsia="Times New Roman"/>
          <w:sz w:val="20"/>
        </w:rPr>
        <w:t xml:space="preserve"> </w:t>
      </w:r>
      <w:r>
        <w:rPr>
          <w:rFonts w:ascii="Times New Roman" w:hAnsi="Times New Roman" w:eastAsia="Times New Roman"/>
          <w:sz w:val="20"/>
        </w:rPr>
        <w:t xml:space="preserve">Derived terrain slope (</w:t>
      </w:r>
      <m:oMath>
        <m:sSub>
          <m:e>
            <m:r>
              <m:t>θ</m:t>
            </m:r>
          </m:e>
          <m:sub>
            <m:r>
              <m:rPr>
                <m:nor/>
                <m:sty m:val="p"/>
              </m:rPr>
              <m:t>slope</m:t>
            </m:r>
          </m:sub>
        </m:sSub>
        <m:r>
          <m:rPr>
            <m:sty m:val="p"/>
          </m:rPr>
          <m:t>∈</m:t>
        </m:r>
        <m:r>
          <m:rPr>
            <m:sty m:val="p"/>
          </m:rPr>
          <m:t>[</m:t>
        </m:r>
        <m:sSup>
          <m:e>
            <m:r>
              <m:t>0</m:t>
            </m:r>
          </m:e>
          <m:sup>
            <m:r>
              <m:rPr>
                <m:sty m:val="p"/>
              </m:rPr>
              <m:t>∘</m:t>
            </m:r>
          </m:sup>
        </m:sSup>
        <m:r>
          <m:rPr>
            <m:sty m:val="p"/>
          </m:rPr>
          <m:t>,</m:t>
        </m:r>
        <m:sSup>
          <m:e>
            <m:r>
              <m:t>90</m:t>
            </m:r>
          </m:e>
          <m:sup>
            <m:r>
              <m:rPr>
                <m:sty m:val="p"/>
              </m:rPr>
              <m:t>∘</m:t>
            </m:r>
          </m:sup>
        </m:sSup>
        <m:r>
          <m:rPr>
            <m:sty m:val="p"/>
          </m:rPr>
          <m:t>]</m:t>
        </m:r>
      </m:oMath>
      <w:r>
        <w:rPr>
          <w:rFonts w:ascii="Times New Roman" w:hAnsi="Times New Roman" w:eastAsia="Times New Roman"/>
          <w:sz w:val="20"/>
        </w:rPr>
        <w:t xml:space="preserve">) and aspect (</w:t>
      </w:r>
      <m:oMath>
        <m:r>
          <m:t>α</m:t>
        </m:r>
        <m:r>
          <m:rPr>
            <m:sty m:val="p"/>
          </m:rPr>
          <m:t>∈</m:t>
        </m:r>
        <m:r>
          <m:rPr>
            <m:sty m:val="p"/>
          </m:rPr>
          <m:t>[</m:t>
        </m:r>
        <m:sSup>
          <m:e>
            <m:r>
              <m:t>0</m:t>
            </m:r>
          </m:e>
          <m:sup>
            <m:r>
              <m:rPr>
                <m:sty m:val="p"/>
              </m:rPr>
              <m:t>∘</m:t>
            </m:r>
          </m:sup>
        </m:sSup>
        <m:r>
          <m:rPr>
            <m:sty m:val="p"/>
          </m:rPr>
          <m:t>,</m:t>
        </m:r>
        <m:sSup>
          <m:e>
            <m:r>
              <m:t>360</m:t>
            </m:r>
          </m:e>
          <m:sup>
            <m:r>
              <m:rPr>
                <m:sty m:val="p"/>
              </m:rPr>
              <m:t>∘</m:t>
            </m:r>
          </m:sup>
        </m:sSup>
        <m:r>
          <m:rPr>
            <m:sty m:val="p"/>
          </m:rPr>
          <m:t>]</m:t>
        </m:r>
      </m:oMath>
      <w:r>
        <w:rPr>
          <w:rFonts w:ascii="Times New Roman" w:hAnsi="Times New Roman" w:eastAsia="Times New Roman"/>
          <w:sz w:val="20"/>
        </w:rPr>
        <w:t xml:space="preserve">) rasters extracted using 2D spatial gradients from the Copernicus DEM.</w:t>
      </w:r>
    </w:p>
    <w:p>
      <w:pPr>
        <w:numPr>
          <w:ilvl w:val="0"/>
          <w:numId w:val="1004"/>
        </w:numPr>
        <w:spacing w:after="0" w:line="240" w:lineRule="auto"/>
      </w:pPr>
      <w:r>
        <w:rPr>
          <w:rFonts w:ascii="Times New Roman" w:hAnsi="Times New Roman" w:eastAsia="Times New Roman"/>
          <w:b/>
          <w:bCs/>
          <w:sz w:val="20"/>
        </w:rPr>
        <w:t xml:space="preserve">Ground Truth Validation Inventories:</w:t>
      </w:r>
      <w:r>
        <w:rPr>
          <w:rFonts w:ascii="Times New Roman" w:hAnsi="Times New Roman" w:eastAsia="Times New Roman"/>
          <w:sz w:val="20"/>
        </w:rPr>
        <w:t xml:space="preserve"> </w:t>
      </w:r>
      <w:r>
        <w:rPr>
          <w:rFonts w:ascii="Times New Roman" w:hAnsi="Times New Roman" w:eastAsia="Times New Roman"/>
          <w:sz w:val="20"/>
        </w:rPr>
        <w:t xml:space="preserve">Manual expert delineations combining optical satellite confirmation, field reports, and local avalanche bulletin records</w:t>
      </w:r>
      <w:r>
        <w:rPr>
          <w:rFonts w:ascii="Times New Roman" w:hAnsi="Times New Roman" w:eastAsia="Times New Roman"/>
          <w:sz w:val="20"/>
        </w:rPr>
        <w:t xml:space="preserve"> </w:t>
      </w:r>
      <w:r>
        <w:rPr>
          <w:rFonts w:ascii="Times New Roman" w:hAnsi="Times New Roman" w:eastAsia="Times New Roman"/>
          <w:sz w:val="20"/>
        </w:rPr>
        <w:t xml:space="preserve">(Gatti 2026)</w:t>
      </w:r>
      <w:r>
        <w:rPr>
          <w:rFonts w:ascii="Times New Roman" w:hAnsi="Times New Roman" w:eastAsia="Times New Roman"/>
          <w:sz w:val="20"/>
        </w:rPr>
        <w:t xml:space="preserve">, delivered both as raster masks (</w:t>
      </w:r>
      <m:oMath>
        <m:r>
          <m:rPr>
            <m:sty m:val="p"/>
          </m:rPr>
          <m:t>{</m:t>
        </m:r>
        <m:r>
          <m:t>0</m:t>
        </m:r>
        <m:r>
          <m:rPr>
            <m:sty m:val="p"/>
          </m:rPr>
          <m:t>,</m:t>
        </m:r>
        <m:r>
          <m:t>1</m:t>
        </m:r>
        <m:r>
          <m:rPr>
            <m:sty m:val="p"/>
          </m:rPr>
          <m:t>}</m:t>
        </m:r>
      </m:oMath>
      <w:r>
        <w:rPr>
          <w:rFonts w:ascii="Times New Roman" w:hAnsi="Times New Roman" w:eastAsia="Times New Roman"/>
          <w:sz w:val="20"/>
        </w:rPr>
        <w:t xml:space="preserve">) and vector GeoPackages containing exact polygon boundaries and metadata.</w:t>
      </w:r>
    </w:p>
    <w:bookmarkEnd w:id="11"/>
    <w:bookmarkStart w:id="12" w:name="X4f6f22e5607acb77bb7c33c9525553c36992490"/>
    <w:p>
      <w:pPr>
        <w:pStyle w:val="Heading2"/>
        <w:spacing w:after="0" w:line="240" w:lineRule="auto"/>
      </w:pPr>
      <w:r>
        <w:rPr>
          <w:rFonts w:ascii="Times New Roman" w:hAnsi="Times New Roman" w:eastAsia="Times New Roman"/>
          <w:sz w:val="20"/>
        </w:rPr>
        <w:t xml:space="preserve">Partitioning for Cross-System Generalization</w:t>
      </w:r>
    </w:p>
    <w:p>
      <w:pPr>
        <w:pStyle w:val="FirstParagraph"/>
        <w:spacing w:after="0" w:line="240" w:lineRule="auto"/>
      </w:pPr>
      <w:r>
        <w:rPr>
          <w:rFonts w:ascii="Times New Roman" w:hAnsi="Times New Roman" w:eastAsia="Times New Roman"/>
          <w:sz w:val="20"/>
        </w:rPr>
        <w:t xml:space="preserve">To limit spatial autocorrelation and characterize cross-system transfer, we partition the dataset at the regional mountain-system level. The European Alps (Livigno 2024 and Jan 2025) and Greenland (Nuuk 2016) form the training cohort (555 polygons). Model selection and threshold calibration use only Livigno March 2025 and Nuuk 2021 (208 polygons). Troms</w:t>
      </w:r>
      <w:r>
        <w:rPr>
          <w:rFonts w:ascii="Times New Roman" w:hAnsi="Times New Roman" w:eastAsia="Times New Roman"/>
          <w:sz w:val="20"/>
        </w:rPr>
        <w:t xml:space="preserve">ø</w:t>
      </w:r>
      <w:r>
        <w:rPr>
          <w:rFonts w:ascii="Times New Roman" w:hAnsi="Times New Roman" w:eastAsia="Times New Roman"/>
          <w:sz w:val="20"/>
        </w:rPr>
        <w:t xml:space="preserve"> </w:t>
      </w:r>
      <w:r>
        <w:rPr>
          <w:rFonts w:ascii="Times New Roman" w:hAnsi="Times New Roman" w:eastAsia="Times New Roman"/>
          <w:sz w:val="20"/>
        </w:rPr>
        <w:t xml:space="preserve">(117 polygons) and Pamir (113 polygons) are held out from training and selection. Table 8 uses the finite-raster valid masks: 2,311,510 pixels in Troms</w:t>
      </w:r>
      <w:r>
        <w:rPr>
          <w:rFonts w:ascii="Times New Roman" w:hAnsi="Times New Roman" w:eastAsia="Times New Roman"/>
          <w:sz w:val="20"/>
        </w:rPr>
        <w:t xml:space="preserve">ø</w:t>
      </w:r>
      <w:r>
        <w:rPr>
          <w:rFonts w:ascii="Times New Roman" w:hAnsi="Times New Roman" w:eastAsia="Times New Roman"/>
          <w:sz w:val="20"/>
        </w:rPr>
        <w:t xml:space="preserve"> </w:t>
      </w:r>
      <w:r>
        <w:rPr>
          <w:rFonts w:ascii="Times New Roman" w:hAnsi="Times New Roman" w:eastAsia="Times New Roman"/>
          <w:sz w:val="20"/>
        </w:rPr>
        <w:t xml:space="preserve">and 3,503,382 in Pamir, equivalent to</w:t>
      </w:r>
      <w:r>
        <w:rPr>
          <w:rFonts w:ascii="Times New Roman" w:hAnsi="Times New Roman" w:eastAsia="Times New Roman"/>
          <w:sz w:val="20"/>
        </w:rPr>
        <w:t xml:space="preserve"> </w:t>
      </w:r>
      <m:oMath>
        <m:r>
          <m:t>231.151</m:t>
        </m:r>
      </m:oMath>
      <w:r>
        <w:rPr>
          <w:rFonts w:ascii="Times New Roman" w:hAnsi="Times New Roman" w:eastAsia="Times New Roman"/>
          <w:sz w:val="20"/>
        </w:rPr>
        <w:t xml:space="preserve"> </w:t>
      </w:r>
      <w:r>
        <w:rPr>
          <w:rFonts w:ascii="Times New Roman" w:hAnsi="Times New Roman" w:eastAsia="Times New Roman"/>
          <w:sz w:val="20"/>
        </w:rPr>
        <w:t xml:space="preserve">and</w:t>
      </w:r>
      <w:r>
        <w:rPr>
          <w:rFonts w:ascii="Times New Roman" w:hAnsi="Times New Roman" w:eastAsia="Times New Roman"/>
          <w:sz w:val="20"/>
        </w:rPr>
        <w:t xml:space="preserve"> </w:t>
      </w:r>
      <m:oMath>
        <m:r>
          <m:t>350.338</m:t>
        </m:r>
        <m:r>
          <m:t> </m:t>
        </m:r>
        <m:sSup>
          <m:e>
            <m:r>
              <m:rPr>
                <m:nor/>
                <m:sty m:val="p"/>
              </m:rPr>
              <m:t>km</m:t>
            </m:r>
          </m:e>
          <m:sup>
            <m:r>
              <m:t>2</m:t>
            </m:r>
          </m:sup>
        </m:sSup>
      </m:oMath>
      <w:r>
        <w:rPr>
          <w:rFonts w:ascii="Times New Roman" w:hAnsi="Times New Roman" w:eastAsia="Times New Roman"/>
          <w:sz w:val="20"/>
        </w:rPr>
        <w:t xml:space="preserve"> </w:t>
      </w:r>
      <w:r>
        <w:rPr>
          <w:rFonts w:ascii="Times New Roman" w:hAnsi="Times New Roman" w:eastAsia="Times New Roman"/>
          <w:sz w:val="20"/>
        </w:rPr>
        <w:t xml:space="preserve">on the nominal 10 m grid. At the local affine pixel areas (</w:t>
      </w:r>
      <m:oMath>
        <m:r>
          <m:t>85.15</m:t>
        </m:r>
      </m:oMath>
      <w:r>
        <w:rPr>
          <w:rFonts w:ascii="Times New Roman" w:hAnsi="Times New Roman" w:eastAsia="Times New Roman"/>
          <w:sz w:val="20"/>
        </w:rPr>
        <w:t xml:space="preserve"> </w:t>
      </w:r>
      <w:r>
        <w:rPr>
          <w:rFonts w:ascii="Times New Roman" w:hAnsi="Times New Roman" w:eastAsia="Times New Roman"/>
          <w:sz w:val="20"/>
        </w:rPr>
        <w:t xml:space="preserve">and</w:t>
      </w:r>
      <w:r>
        <w:rPr>
          <w:rFonts w:ascii="Times New Roman" w:hAnsi="Times New Roman" w:eastAsia="Times New Roman"/>
          <w:sz w:val="20"/>
        </w:rPr>
        <w:t xml:space="preserve"> </w:t>
      </w:r>
      <m:oMath>
        <m:r>
          <m:t>76.34</m:t>
        </m:r>
        <m:r>
          <m:t> </m:t>
        </m:r>
        <m:sSup>
          <m:e>
            <m:r>
              <m:rPr>
                <m:nor/>
                <m:sty m:val="p"/>
              </m:rPr>
              <m:t>m</m:t>
            </m:r>
          </m:e>
          <m:sup>
            <m:r>
              <m:t>2</m:t>
            </m:r>
          </m:sup>
        </m:sSup>
        <m:r>
          <m:rPr>
            <m:sty m:val="p"/>
          </m:rPr>
          <m:t>/</m:t>
        </m:r>
        <m:r>
          <m:rPr>
            <m:nor/>
            <m:sty m:val="p"/>
          </m:rPr>
          <m:t>px</m:t>
        </m:r>
      </m:oMath>
      <w:r>
        <w:rPr>
          <w:rFonts w:ascii="Times New Roman" w:hAnsi="Times New Roman" w:eastAsia="Times New Roman"/>
          <w:sz w:val="20"/>
        </w:rPr>
        <w:t xml:space="preserve">), the valid footprints are</w:t>
      </w:r>
      <w:r>
        <w:rPr>
          <w:rFonts w:ascii="Times New Roman" w:hAnsi="Times New Roman" w:eastAsia="Times New Roman"/>
          <w:sz w:val="20"/>
        </w:rPr>
        <w:t xml:space="preserve"> </w:t>
      </w:r>
      <m:oMath>
        <m:r>
          <m:t>196.820</m:t>
        </m:r>
      </m:oMath>
      <w:r>
        <w:rPr>
          <w:rFonts w:ascii="Times New Roman" w:hAnsi="Times New Roman" w:eastAsia="Times New Roman"/>
          <w:sz w:val="20"/>
        </w:rPr>
        <w:t xml:space="preserve"> </w:t>
      </w:r>
      <w:r>
        <w:rPr>
          <w:rFonts w:ascii="Times New Roman" w:hAnsi="Times New Roman" w:eastAsia="Times New Roman"/>
          <w:sz w:val="20"/>
        </w:rPr>
        <w:t xml:space="preserve">and</w:t>
      </w:r>
      <w:r>
        <w:rPr>
          <w:rFonts w:ascii="Times New Roman" w:hAnsi="Times New Roman" w:eastAsia="Times New Roman"/>
          <w:sz w:val="20"/>
        </w:rPr>
        <w:t xml:space="preserve"> </w:t>
      </w:r>
      <m:oMath>
        <m:r>
          <m:t>267.435</m:t>
        </m:r>
        <m:r>
          <m:t> </m:t>
        </m:r>
        <m:sSup>
          <m:e>
            <m:r>
              <m:rPr>
                <m:nor/>
                <m:sty m:val="p"/>
              </m:rPr>
              <m:t>km</m:t>
            </m:r>
          </m:e>
          <m:sup>
            <m:r>
              <m:t>2</m:t>
            </m:r>
          </m:sup>
        </m:sSup>
      </m:oMath>
      <w:r>
        <w:rPr>
          <w:rFonts w:ascii="Times New Roman" w:hAnsi="Times New Roman" w:eastAsia="Times New Roman"/>
          <w:sz w:val="20"/>
        </w:rPr>
        <w:t xml:space="preserve">. Numerator and denominator scale together, so TopoRadar-Net’s false-alarm densities are</w:t>
      </w:r>
      <w:r>
        <w:rPr>
          <w:rFonts w:ascii="Times New Roman" w:hAnsi="Times New Roman" w:eastAsia="Times New Roman"/>
          <w:sz w:val="20"/>
        </w:rPr>
        <w:t xml:space="preserve"> </w:t>
      </w:r>
      <m:oMath>
        <m:r>
          <m:t>0.38</m:t>
        </m:r>
      </m:oMath>
      <w:r>
        <w:rPr>
          <w:rFonts w:ascii="Times New Roman" w:hAnsi="Times New Roman" w:eastAsia="Times New Roman"/>
          <w:sz w:val="20"/>
        </w:rPr>
        <w:t xml:space="preserve"> </w:t>
      </w:r>
      <w:r>
        <w:rPr>
          <w:rFonts w:ascii="Times New Roman" w:hAnsi="Times New Roman" w:eastAsia="Times New Roman"/>
          <w:sz w:val="20"/>
        </w:rPr>
        <w:t xml:space="preserve">and</w:t>
      </w:r>
      <w:r>
        <w:rPr>
          <w:rFonts w:ascii="Times New Roman" w:hAnsi="Times New Roman" w:eastAsia="Times New Roman"/>
          <w:sz w:val="20"/>
        </w:rPr>
        <w:t xml:space="preserve"> </w:t>
      </w:r>
      <m:oMath>
        <m:r>
          <m:t>0.48</m:t>
        </m:r>
        <m:r>
          <m:t> </m:t>
        </m:r>
        <m:sSup>
          <m:e>
            <m:r>
              <m:rPr>
                <m:nor/>
                <m:sty m:val="p"/>
              </m:rPr>
              <m:t>ha/km</m:t>
            </m:r>
          </m:e>
          <m:sup>
            <m:r>
              <m:t>2</m:t>
            </m:r>
          </m:sup>
        </m:sSup>
      </m:oMath>
      <w:r>
        <w:rPr>
          <w:rFonts w:ascii="Times New Roman" w:hAnsi="Times New Roman" w:eastAsia="Times New Roman"/>
          <w:sz w:val="20"/>
        </w:rPr>
        <w:t xml:space="preserve"> </w:t>
      </w:r>
      <w:r>
        <w:rPr>
          <w:rFonts w:ascii="Times New Roman" w:hAnsi="Times New Roman" w:eastAsia="Times New Roman"/>
          <w:sz w:val="20"/>
        </w:rPr>
        <w:t xml:space="preserve">under either area convention.</w:t>
      </w:r>
    </w:p>
    <w:bookmarkEnd w:id="12"/>
    <w:bookmarkEnd w:id="13"/>
    <w:bookmarkStart w:id="25" w:name="methodology"/>
    <w:p>
      <w:pPr>
        <w:pStyle w:val="Heading1"/>
        <w:spacing w:after="0" w:line="240" w:lineRule="auto"/>
      </w:pPr>
      <w:r>
        <w:rPr>
          <w:rFonts w:ascii="Times New Roman" w:hAnsi="Times New Roman" w:eastAsia="Times New Roman"/>
          <w:sz w:val="20"/>
        </w:rPr>
        <w:t xml:space="preserve">Methodology</w:t>
      </w:r>
    </w:p>
    <w:bookmarkStart w:id="14" w:name="Xafa9ea77df00d5b0df714ee976b06cb2ceea739"/>
    <w:p>
      <w:pPr>
        <w:pStyle w:val="Heading2"/>
        <w:spacing w:after="0" w:line="240" w:lineRule="auto"/>
      </w:pPr>
      <w:r>
        <w:rPr>
          <w:rFonts w:ascii="Times New Roman" w:hAnsi="Times New Roman" w:eastAsia="Times New Roman"/>
          <w:sz w:val="20"/>
        </w:rPr>
        <w:t xml:space="preserve">Physical Principles of Radar-Topographic Interaction</w:t>
      </w:r>
    </w:p>
    <w:p>
      <w:pPr>
        <w:pStyle w:val="FirstParagraph"/>
        <w:spacing w:after="0" w:line="240" w:lineRule="auto"/>
      </w:pPr>
      <w:r>
        <w:rPr>
          <w:rFonts w:ascii="Times New Roman" w:hAnsi="Times New Roman" w:eastAsia="Times New Roman"/>
          <w:sz w:val="20"/>
        </w:rPr>
        <w:t xml:space="preserve">In spaceborne Synthetic Aperture Radar (SAR), the calibrated radar backscatter coefficient</w:t>
      </w:r>
      <w:r>
        <w:rPr>
          <w:rFonts w:ascii="Times New Roman" w:hAnsi="Times New Roman" w:eastAsia="Times New Roman"/>
          <w:sz w:val="20"/>
        </w:rPr>
        <w:t xml:space="preserve"> </w:t>
      </w:r>
      <m:oMath>
        <m:sSup>
          <m:e>
            <m:r>
              <m:t>σ</m:t>
            </m:r>
          </m:e>
          <m:sup>
            <m:r>
              <m:t>0</m:t>
            </m:r>
          </m:sup>
        </m:sSup>
      </m:oMath>
      <w:r>
        <w:rPr>
          <w:rFonts w:ascii="Times New Roman" w:hAnsi="Times New Roman" w:eastAsia="Times New Roman"/>
          <w:sz w:val="20"/>
        </w:rPr>
        <w:t xml:space="preserve"> </w:t>
      </w:r>
      <w:r>
        <w:rPr>
          <w:rFonts w:ascii="Times New Roman" w:hAnsi="Times New Roman" w:eastAsia="Times New Roman"/>
          <w:sz w:val="20"/>
        </w:rPr>
        <w:t xml:space="preserve">reflects the complex interaction between transmitted microwave pulses (wavelength</w:t>
      </w:r>
      <w:r>
        <w:rPr>
          <w:rFonts w:ascii="Times New Roman" w:hAnsi="Times New Roman" w:eastAsia="Times New Roman"/>
          <w:sz w:val="20"/>
        </w:rPr>
        <w:t xml:space="preserve"> </w:t>
      </w:r>
      <m:oMath>
        <m:r>
          <m:t>λ</m:t>
        </m:r>
        <m:r>
          <m:rPr>
            <m:sty m:val="p"/>
          </m:rPr>
          <m:t>≈</m:t>
        </m:r>
        <m:r>
          <m:t>5.55</m:t>
        </m:r>
      </m:oMath>
      <w:r>
        <w:rPr>
          <w:rFonts w:ascii="Times New Roman" w:hAnsi="Times New Roman" w:eastAsia="Times New Roman"/>
          <w:sz w:val="20"/>
        </w:rPr>
        <w:t xml:space="preserve"> cm for Sentinel-1 C-band) and surface dielectric and geometric roughness properties</w:t>
      </w:r>
      <w:r>
        <w:rPr>
          <w:rFonts w:ascii="Times New Roman" w:hAnsi="Times New Roman" w:eastAsia="Times New Roman"/>
          <w:sz w:val="20"/>
        </w:rPr>
        <w:t xml:space="preserve"> </w:t>
      </w:r>
      <w:r>
        <w:rPr>
          <w:rFonts w:ascii="Times New Roman" w:hAnsi="Times New Roman" w:eastAsia="Times New Roman"/>
          <w:sz w:val="20"/>
        </w:rPr>
        <w:t xml:space="preserve">(Small 2011)</w:t>
      </w:r>
      <w:r>
        <w:rPr>
          <w:rFonts w:ascii="Times New Roman" w:hAnsi="Times New Roman" w:eastAsia="Times New Roman"/>
          <w:sz w:val="20"/>
        </w:rPr>
        <w:t xml:space="preserve">. When a slab avalanche releases, the rapid down-slope displacement of snow breaks the cohesive winter mantle into fragmented clods and chaotic debris piles. In dry snow regimes, smooth undisturbed snow behaves largely as a volume-scattering or specular surface, yielding low backscatter (</w:t>
      </w:r>
      <m:oMath>
        <m:sSubSup>
          <m:e>
            <m:r>
              <m:t>σ</m:t>
            </m:r>
          </m:e>
          <m:sub>
            <m:r>
              <m:rPr>
                <m:nor/>
                <m:sty m:val="p"/>
              </m:rPr>
              <m:t>VH</m:t>
            </m:r>
          </m:sub>
          <m:sup>
            <m:r>
              <m:t>0</m:t>
            </m:r>
          </m:sup>
        </m:sSubSup>
        <m:r>
          <m:rPr>
            <m:sty m:val="p"/>
          </m:rPr>
          <m:t>≈</m:t>
        </m:r>
        <m:r>
          <m:rPr>
            <m:sty m:val="p"/>
          </m:rPr>
          <m:t>−</m:t>
        </m:r>
        <m:r>
          <m:t>20</m:t>
        </m:r>
      </m:oMath>
      <w:r>
        <w:rPr>
          <w:rFonts w:ascii="Times New Roman" w:hAnsi="Times New Roman" w:eastAsia="Times New Roman"/>
          <w:sz w:val="20"/>
        </w:rPr>
        <w:t xml:space="preserve"> dB to</w:t>
      </w:r>
      <w:r>
        <w:rPr>
          <w:rFonts w:ascii="Times New Roman" w:hAnsi="Times New Roman" w:eastAsia="Times New Roman"/>
          <w:sz w:val="20"/>
        </w:rPr>
        <w:t xml:space="preserve"> </w:t>
      </w:r>
      <m:oMath>
        <m:r>
          <m:rPr>
            <m:sty m:val="p"/>
          </m:rPr>
          <m:t>−</m:t>
        </m:r>
        <m:r>
          <m:t>24</m:t>
        </m:r>
      </m:oMath>
      <w:r>
        <w:rPr>
          <w:rFonts w:ascii="Times New Roman" w:hAnsi="Times New Roman" w:eastAsia="Times New Roman"/>
          <w:sz w:val="20"/>
        </w:rPr>
        <w:t xml:space="preserve"> dB)</w:t>
      </w:r>
      <w:r>
        <w:rPr>
          <w:rFonts w:ascii="Times New Roman" w:hAnsi="Times New Roman" w:eastAsia="Times New Roman"/>
          <w:sz w:val="20"/>
        </w:rPr>
        <w:t xml:space="preserve"> </w:t>
      </w:r>
      <w:r>
        <w:rPr>
          <w:rFonts w:ascii="Times New Roman" w:hAnsi="Times New Roman" w:eastAsia="Times New Roman"/>
          <w:sz w:val="20"/>
        </w:rPr>
        <w:t xml:space="preserve">(Tompkin and Leinss 2021)</w:t>
      </w:r>
      <w:r>
        <w:rPr>
          <w:rFonts w:ascii="Times New Roman" w:hAnsi="Times New Roman" w:eastAsia="Times New Roman"/>
          <w:sz w:val="20"/>
        </w:rPr>
        <w:t xml:space="preserve">, while terrain topography influences winter snow depth and microtopographic roughness</w:t>
      </w:r>
      <w:r>
        <w:rPr>
          <w:rFonts w:ascii="Times New Roman" w:hAnsi="Times New Roman" w:eastAsia="Times New Roman"/>
          <w:sz w:val="20"/>
        </w:rPr>
        <w:t xml:space="preserve"> </w:t>
      </w:r>
      <w:r>
        <w:rPr>
          <w:rFonts w:ascii="Times New Roman" w:hAnsi="Times New Roman" w:eastAsia="Times New Roman"/>
          <w:sz w:val="20"/>
        </w:rPr>
        <w:t xml:space="preserve">(Veitinger et al. 2014)</w:t>
      </w:r>
      <w:r>
        <w:rPr>
          <w:rFonts w:ascii="Times New Roman" w:hAnsi="Times New Roman" w:eastAsia="Times New Roman"/>
          <w:sz w:val="20"/>
        </w:rPr>
        <w:t xml:space="preserve">. In contrast, granulated avalanche debris exhibits intense diffuse surface scattering and multiple internal reflections, typically resulting in an anomalous positive backscatter delta:</w:t>
      </w:r>
    </w:p>
    <w:p>
      <w:pPr>
        <w:pStyle w:val="BodyText"/>
        <w:spacing w:after="0" w:line="240" w:lineRule="auto"/>
      </w:pPr>
      <m:oMathPara>
        <m:oMathParaPr>
          <m:jc m:val="center"/>
        </m:oMathParaPr>
        <m:oMath>
          <m:m>
            <m:mPr>
              <m:baseJc m:val="center"/>
              <m:plcHide m:val="on"/>
              <m:mcs>
                <m:mc>
                  <m:mcPr>
                    <m:mcJc m:val="right"/>
                    <m:count m:val="1"/>
                  </m:mcPr>
                </m:mc>
              </m:mcs>
            </m:mPr>
            <m:mr>
              <m:e>
                <m:r>
                  <m:rPr>
                    <m:sty m:val="p"/>
                  </m:rPr>
                  <m:t>Δ</m:t>
                </m:r>
                <m:sSubSup>
                  <m:e>
                    <m:r>
                      <m:t>σ</m:t>
                    </m:r>
                  </m:e>
                  <m:sub>
                    <m:r>
                      <m:rPr>
                        <m:nor/>
                        <m:sty m:val="p"/>
                      </m:rPr>
                      <m:t>VH</m:t>
                    </m:r>
                  </m:sub>
                  <m:sup>
                    <m:r>
                      <m:t>0</m:t>
                    </m:r>
                  </m:sup>
                </m:sSubSup>
                <m:r>
                  <m:rPr>
                    <m:sty m:val="p"/>
                  </m:rPr>
                  <m:t>=</m:t>
                </m:r>
                <m:sSubSup>
                  <m:e>
                    <m:r>
                      <m:t>σ</m:t>
                    </m:r>
                  </m:e>
                  <m:sub>
                    <m:r>
                      <m:rPr>
                        <m:nor/>
                        <m:sty m:val="p"/>
                      </m:rPr>
                      <m:t>post,VH</m:t>
                    </m:r>
                  </m:sub>
                  <m:sup>
                    <m:r>
                      <m:t>0</m:t>
                    </m:r>
                  </m:sup>
                </m:sSubSup>
                <m:r>
                  <m:rPr>
                    <m:sty m:val="p"/>
                  </m:rPr>
                  <m:t>−</m:t>
                </m:r>
                <m:sSubSup>
                  <m:e>
                    <m:r>
                      <m:t>σ</m:t>
                    </m:r>
                  </m:e>
                  <m:sub>
                    <m:r>
                      <m:rPr>
                        <m:nor/>
                        <m:sty m:val="p"/>
                      </m:rPr>
                      <m:t>pre,VH</m:t>
                    </m:r>
                  </m:sub>
                  <m:sup>
                    <m:r>
                      <m:t>0</m:t>
                    </m:r>
                  </m:sup>
                </m:sSubSup>
              </m:e>
            </m:mr>
            <m:mr>
              <m:e>
                <m:r>
                  <m:rPr>
                    <m:sty m:val="p"/>
                  </m:rPr>
                  <m:t>Δ</m:t>
                </m:r>
                <m:sSubSup>
                  <m:e>
                    <m:r>
                      <m:t>σ</m:t>
                    </m:r>
                  </m:e>
                  <m:sub>
                    <m:r>
                      <m:rPr>
                        <m:nor/>
                        <m:sty m:val="p"/>
                      </m:rPr>
                      <m:t>VV</m:t>
                    </m:r>
                  </m:sub>
                  <m:sup>
                    <m:r>
                      <m:t>0</m:t>
                    </m:r>
                  </m:sup>
                </m:sSubSup>
                <m:r>
                  <m:rPr>
                    <m:sty m:val="p"/>
                  </m:rPr>
                  <m:t>=</m:t>
                </m:r>
                <m:sSubSup>
                  <m:e>
                    <m:r>
                      <m:t>σ</m:t>
                    </m:r>
                  </m:e>
                  <m:sub>
                    <m:r>
                      <m:rPr>
                        <m:nor/>
                        <m:sty m:val="p"/>
                      </m:rPr>
                      <m:t>post,VV</m:t>
                    </m:r>
                  </m:sub>
                  <m:sup>
                    <m:r>
                      <m:t>0</m:t>
                    </m:r>
                  </m:sup>
                </m:sSubSup>
                <m:r>
                  <m:rPr>
                    <m:sty m:val="p"/>
                  </m:rPr>
                  <m:t>−</m:t>
                </m:r>
                <m:sSubSup>
                  <m:e>
                    <m:r>
                      <m:t>σ</m:t>
                    </m:r>
                  </m:e>
                  <m:sub>
                    <m:r>
                      <m:rPr>
                        <m:nor/>
                        <m:sty m:val="p"/>
                      </m:rPr>
                      <m:t>pre,VV</m:t>
                    </m:r>
                  </m:sub>
                  <m:sup>
                    <m:r>
                      <m:t>0</m:t>
                    </m:r>
                  </m:sup>
                </m:sSubSup>
              </m:e>
            </m:mr>
          </m:m>
        </m:oMath>
      </m:oMathPara>
    </w:p>
    <w:p>
      <w:pPr>
        <w:pStyle w:val="FirstParagraph"/>
        <w:spacing w:after="0" w:line="240" w:lineRule="auto"/>
      </w:pPr>
      <w:r>
        <w:rPr>
          <w:rFonts w:ascii="Times New Roman" w:hAnsi="Times New Roman" w:eastAsia="Times New Roman"/>
          <w:sz w:val="20"/>
        </w:rPr>
        <w:t xml:space="preserve">Additionally, depolarizing volume scattering in rough debris modifies the cross-polarization ratio, yielding an informative differential metric:</w:t>
      </w:r>
    </w:p>
    <w:p>
      <w:pPr>
        <w:pStyle w:val="BodyText"/>
        <w:spacing w:after="0" w:line="240" w:lineRule="auto"/>
      </w:pPr>
      <m:oMathPara>
        <m:oMathParaPr>
          <m:jc m:val="center"/>
        </m:oMathParaPr>
        <m:oMath>
          <m:r>
            <m:rPr>
              <m:sty m:val="p"/>
            </m:rPr>
            <m:t>Δ</m:t>
          </m:r>
          <m:r>
            <m:rPr>
              <m:nor/>
              <m:sty m:val="p"/>
            </m:rPr>
            <m:t>CR</m:t>
          </m:r>
          <m:r>
            <m:rPr>
              <m:sty m:val="p"/>
            </m:rPr>
            <m:t>=</m:t>
          </m:r>
          <m:r>
            <m:rPr>
              <m:sty m:val="p"/>
            </m:rPr>
            <m:t>(</m:t>
          </m:r>
          <m:sSubSup>
            <m:e>
              <m:r>
                <m:t>σ</m:t>
              </m:r>
            </m:e>
            <m:sub>
              <m:r>
                <m:rPr>
                  <m:nor/>
                  <m:sty m:val="p"/>
                </m:rPr>
                <m:t>post,VH</m:t>
              </m:r>
            </m:sub>
            <m:sup>
              <m:r>
                <m:t>0</m:t>
              </m:r>
            </m:sup>
          </m:sSubSup>
          <m:r>
            <m:rPr>
              <m:sty m:val="p"/>
            </m:rPr>
            <m:t>−</m:t>
          </m:r>
          <m:sSubSup>
            <m:e>
              <m:r>
                <m:t>σ</m:t>
              </m:r>
            </m:e>
            <m:sub>
              <m:r>
                <m:rPr>
                  <m:nor/>
                  <m:sty m:val="p"/>
                </m:rPr>
                <m:t>post,VV</m:t>
              </m:r>
            </m:sub>
            <m:sup>
              <m:r>
                <m:t>0</m:t>
              </m:r>
            </m:sup>
          </m:sSubSup>
          <m:r>
            <m:rPr>
              <m:sty m:val="p"/>
            </m:rPr>
            <m:t>)</m:t>
          </m:r>
          <m:r>
            <m:rPr>
              <m:sty m:val="p"/>
            </m:rPr>
            <m:t>−</m:t>
          </m:r>
          <m:r>
            <m:rPr>
              <m:sty m:val="p"/>
            </m:rPr>
            <m:t>(</m:t>
          </m:r>
          <m:sSubSup>
            <m:e>
              <m:r>
                <m:t>σ</m:t>
              </m:r>
            </m:e>
            <m:sub>
              <m:r>
                <m:rPr>
                  <m:nor/>
                  <m:sty m:val="p"/>
                </m:rPr>
                <m:t>pre,VH</m:t>
              </m:r>
            </m:sub>
            <m:sup>
              <m:r>
                <m:t>0</m:t>
              </m:r>
            </m:sup>
          </m:sSubSup>
          <m:r>
            <m:rPr>
              <m:sty m:val="p"/>
            </m:rPr>
            <m:t>−</m:t>
          </m:r>
          <m:sSubSup>
            <m:e>
              <m:r>
                <m:t>σ</m:t>
              </m:r>
            </m:e>
            <m:sub>
              <m:r>
                <m:rPr>
                  <m:nor/>
                  <m:sty m:val="p"/>
                </m:rPr>
                <m:t>pre,VV</m:t>
              </m:r>
            </m:sub>
            <m:sup>
              <m:r>
                <m:t>0</m:t>
              </m:r>
            </m:sup>
          </m:sSubSup>
          <m:r>
            <m:rPr>
              <m:sty m:val="p"/>
            </m:rPr>
            <m:t>)</m:t>
          </m:r>
        </m:oMath>
      </m:oMathPara>
    </w:p>
    <w:p>
      <w:pPr>
        <w:pStyle w:val="FirstParagraph"/>
        <w:spacing w:after="0" w:line="240" w:lineRule="auto"/>
      </w:pPr>
      <w:r>
        <w:rPr>
          <w:rFonts w:ascii="Times New Roman" w:hAnsi="Times New Roman" w:eastAsia="Times New Roman"/>
          <w:sz w:val="20"/>
        </w:rPr>
        <w:t xml:space="preserve">However, in steep alpine topography, this backscatter anomaly is heavily modulated by local radar illumination geometry</w:t>
      </w:r>
      <w:r>
        <w:rPr>
          <w:rFonts w:ascii="Times New Roman" w:hAnsi="Times New Roman" w:eastAsia="Times New Roman"/>
          <w:sz w:val="20"/>
        </w:rPr>
        <w:t xml:space="preserve"> </w:t>
      </w:r>
      <w:r>
        <w:rPr>
          <w:rFonts w:ascii="Times New Roman" w:hAnsi="Times New Roman" w:eastAsia="Times New Roman"/>
          <w:sz w:val="20"/>
        </w:rPr>
        <w:t xml:space="preserve">(Tompkin and Leinss 2021)</w:t>
      </w:r>
      <w:r>
        <w:rPr>
          <w:rFonts w:ascii="Times New Roman" w:hAnsi="Times New Roman" w:eastAsia="Times New Roman"/>
          <w:sz w:val="20"/>
        </w:rPr>
        <w:t xml:space="preserve">. Let</w:t>
      </w:r>
      <w:r>
        <w:rPr>
          <w:rFonts w:ascii="Times New Roman" w:hAnsi="Times New Roman" w:eastAsia="Times New Roman"/>
          <w:sz w:val="20"/>
        </w:rPr>
        <w:t xml:space="preserve"> </w:t>
      </w:r>
      <m:oMath>
        <m:r>
          <m:rPr>
            <m:sty m:val="bi"/>
          </m:rPr>
          <m:t>n</m:t>
        </m:r>
        <m:r>
          <m:rPr>
            <m:sty m:val="p"/>
          </m:rPr>
          <m:t>=</m:t>
        </m:r>
        <m:r>
          <m:rPr>
            <m:sty m:val="p"/>
          </m:rPr>
          <m:t>(</m:t>
        </m:r>
        <m:r>
          <m:rPr>
            <m:sty m:val="p"/>
          </m:rPr>
          <m:t>−</m:t>
        </m:r>
        <m:r>
          <m:rPr>
            <m:sty m:val="p"/>
          </m:rPr>
          <m:t>sin</m:t>
        </m:r>
        <m:r>
          <m:t>θ</m:t>
        </m:r>
        <m:r>
          <m:rPr>
            <m:sty m:val="p"/>
          </m:rPr>
          <m:t>sin</m:t>
        </m:r>
        <m:r>
          <m:t>α</m:t>
        </m:r>
        <m:r>
          <m:rPr>
            <m:sty m:val="p"/>
          </m:rPr>
          <m:t>,</m:t>
        </m:r>
        <m:r>
          <m:rPr>
            <m:sty m:val="p"/>
          </m:rPr>
          <m:t>−</m:t>
        </m:r>
        <m:r>
          <m:rPr>
            <m:sty m:val="p"/>
          </m:rPr>
          <m:t>sin</m:t>
        </m:r>
        <m:r>
          <m:t>θ</m:t>
        </m:r>
        <m:r>
          <m:rPr>
            <m:sty m:val="p"/>
          </m:rPr>
          <m:t>cos</m:t>
        </m:r>
        <m:r>
          <m:t>α</m:t>
        </m:r>
        <m:r>
          <m:rPr>
            <m:sty m:val="p"/>
          </m:rPr>
          <m:t>,</m:t>
        </m:r>
        <m:r>
          <m:rPr>
            <m:sty m:val="p"/>
          </m:rPr>
          <m:t>cos</m:t>
        </m:r>
        <m:r>
          <m:t>θ</m:t>
        </m:r>
        <m:sSup>
          <m:e>
            <m:r>
              <m:rPr>
                <m:sty m:val="p"/>
              </m:rPr>
              <m:t>)</m:t>
            </m:r>
          </m:e>
          <m:sup>
            <m:r>
              <m:t>T</m:t>
            </m:r>
          </m:sup>
        </m:sSup>
      </m:oMath>
      <w:r>
        <w:rPr>
          <w:rFonts w:ascii="Times New Roman" w:hAnsi="Times New Roman" w:eastAsia="Times New Roman"/>
          <w:sz w:val="20"/>
        </w:rPr>
        <w:t xml:space="preserve"> </w:t>
      </w:r>
      <w:r>
        <w:rPr>
          <w:rFonts w:ascii="Times New Roman" w:hAnsi="Times New Roman" w:eastAsia="Times New Roman"/>
          <w:sz w:val="20"/>
        </w:rPr>
        <w:t xml:space="preserve">denote the terrain surface unit normal defined by slope steepness</w:t>
      </w:r>
      <w:r>
        <w:rPr>
          <w:rFonts w:ascii="Times New Roman" w:hAnsi="Times New Roman" w:eastAsia="Times New Roman"/>
          <w:sz w:val="20"/>
        </w:rPr>
        <w:t xml:space="preserve"> </w:t>
      </w:r>
      <m:oMath>
        <m:r>
          <m:t>θ</m:t>
        </m:r>
      </m:oMath>
      <w:r>
        <w:rPr>
          <w:rFonts w:ascii="Times New Roman" w:hAnsi="Times New Roman" w:eastAsia="Times New Roman"/>
          <w:sz w:val="20"/>
        </w:rPr>
        <w:t xml:space="preserve"> </w:t>
      </w:r>
      <w:r>
        <w:rPr>
          <w:rFonts w:ascii="Times New Roman" w:hAnsi="Times New Roman" w:eastAsia="Times New Roman"/>
          <w:sz w:val="20"/>
        </w:rPr>
        <w:t xml:space="preserve">and aspect azimuth</w:t>
      </w:r>
      <w:r>
        <w:rPr>
          <w:rFonts w:ascii="Times New Roman" w:hAnsi="Times New Roman" w:eastAsia="Times New Roman"/>
          <w:sz w:val="20"/>
        </w:rPr>
        <w:t xml:space="preserve"> </w:t>
      </w:r>
      <m:oMath>
        <m:r>
          <m:t>α</m:t>
        </m:r>
      </m:oMath>
      <w:r>
        <w:rPr>
          <w:rFonts w:ascii="Times New Roman" w:hAnsi="Times New Roman" w:eastAsia="Times New Roman"/>
          <w:sz w:val="20"/>
        </w:rPr>
        <w:t xml:space="preserve">. Let</w:t>
      </w:r>
      <w:r>
        <w:rPr>
          <w:rFonts w:ascii="Times New Roman" w:hAnsi="Times New Roman" w:eastAsia="Times New Roman"/>
          <w:sz w:val="20"/>
        </w:rPr>
        <w:t xml:space="preserve"> </w:t>
      </w:r>
      <m:oMath>
        <m:r>
          <m:rPr>
            <m:sty m:val="bi"/>
          </m:rPr>
          <m:t>s</m:t>
        </m:r>
        <m:r>
          <m:rPr>
            <m:sty m:val="p"/>
          </m:rPr>
          <m:t>=</m:t>
        </m:r>
        <m:r>
          <m:rPr>
            <m:sty m:val="p"/>
          </m:rPr>
          <m:t>(</m:t>
        </m:r>
        <m:r>
          <m:rPr>
            <m:sty m:val="p"/>
          </m:rPr>
          <m:t>sin</m:t>
        </m:r>
        <m:sSub>
          <m:e>
            <m:r>
              <m:t>θ</m:t>
            </m:r>
          </m:e>
          <m:sub>
            <m:r>
              <m:rPr>
                <m:nor/>
                <m:sty m:val="p"/>
              </m:rPr>
              <m:t>inc</m:t>
            </m:r>
          </m:sub>
        </m:sSub>
        <m:r>
          <m:rPr>
            <m:sty m:val="p"/>
          </m:rPr>
          <m:t>sin</m:t>
        </m:r>
        <m:sSub>
          <m:e>
            <m:r>
              <m:t>ϕ</m:t>
            </m:r>
          </m:e>
          <m:sub>
            <m:r>
              <m:rPr>
                <m:nor/>
                <m:sty m:val="p"/>
              </m:rPr>
              <m:t>look</m:t>
            </m:r>
          </m:sub>
        </m:sSub>
        <m:r>
          <m:rPr>
            <m:sty m:val="p"/>
          </m:rPr>
          <m:t>,</m:t>
        </m:r>
        <m:r>
          <m:rPr>
            <m:sty m:val="p"/>
          </m:rPr>
          <m:t>sin</m:t>
        </m:r>
        <m:sSub>
          <m:e>
            <m:r>
              <m:t>θ</m:t>
            </m:r>
          </m:e>
          <m:sub>
            <m:r>
              <m:rPr>
                <m:nor/>
                <m:sty m:val="p"/>
              </m:rPr>
              <m:t>inc</m:t>
            </m:r>
          </m:sub>
        </m:sSub>
        <m:r>
          <m:rPr>
            <m:sty m:val="p"/>
          </m:rPr>
          <m:t>cos</m:t>
        </m:r>
        <m:sSub>
          <m:e>
            <m:r>
              <m:t>ϕ</m:t>
            </m:r>
          </m:e>
          <m:sub>
            <m:r>
              <m:rPr>
                <m:nor/>
                <m:sty m:val="p"/>
              </m:rPr>
              <m:t>look</m:t>
            </m:r>
          </m:sub>
        </m:sSub>
        <m:r>
          <m:rPr>
            <m:sty m:val="p"/>
          </m:rPr>
          <m:t>,</m:t>
        </m:r>
        <m:r>
          <m:rPr>
            <m:sty m:val="p"/>
          </m:rPr>
          <m:t>cos</m:t>
        </m:r>
        <m:sSub>
          <m:e>
            <m:r>
              <m:t>θ</m:t>
            </m:r>
          </m:e>
          <m:sub>
            <m:r>
              <m:rPr>
                <m:nor/>
                <m:sty m:val="p"/>
              </m:rPr>
              <m:t>inc</m:t>
            </m:r>
          </m:sub>
        </m:sSub>
        <m:sSup>
          <m:e>
            <m:r>
              <m:rPr>
                <m:sty m:val="p"/>
              </m:rPr>
              <m:t>)</m:t>
            </m:r>
          </m:e>
          <m:sup>
            <m:r>
              <m:t>T</m:t>
            </m:r>
          </m:sup>
        </m:sSup>
      </m:oMath>
      <w:r>
        <w:rPr>
          <w:rFonts w:ascii="Times New Roman" w:hAnsi="Times New Roman" w:eastAsia="Times New Roman"/>
          <w:sz w:val="20"/>
        </w:rPr>
        <w:t xml:space="preserve"> </w:t>
      </w:r>
      <w:r>
        <w:rPr>
          <w:rFonts w:ascii="Times New Roman" w:hAnsi="Times New Roman" w:eastAsia="Times New Roman"/>
          <w:sz w:val="20"/>
        </w:rPr>
        <w:t xml:space="preserve">denote the incident radar unit vector pointing toward the satellite antenna at nominal incidence angle</w:t>
      </w:r>
      <w:r>
        <w:rPr>
          <w:rFonts w:ascii="Times New Roman" w:hAnsi="Times New Roman" w:eastAsia="Times New Roman"/>
          <w:sz w:val="20"/>
        </w:rPr>
        <w:t xml:space="preserve"> </w:t>
      </w:r>
      <m:oMath>
        <m:sSub>
          <m:e>
            <m:r>
              <m:t>θ</m:t>
            </m:r>
          </m:e>
          <m:sub>
            <m:r>
              <m:rPr>
                <m:nor/>
                <m:sty m:val="p"/>
              </m:rPr>
              <m:t>inc</m:t>
            </m:r>
          </m:sub>
        </m:sSub>
      </m:oMath>
      <w:r>
        <w:rPr>
          <w:rFonts w:ascii="Times New Roman" w:hAnsi="Times New Roman" w:eastAsia="Times New Roman"/>
          <w:sz w:val="20"/>
        </w:rPr>
        <w:t xml:space="preserve"> </w:t>
      </w:r>
      <w:r>
        <w:rPr>
          <w:rFonts w:ascii="Times New Roman" w:hAnsi="Times New Roman" w:eastAsia="Times New Roman"/>
          <w:sz w:val="20"/>
        </w:rPr>
        <w:t xml:space="preserve">and look azimuth</w:t>
      </w:r>
      <w:r>
        <w:rPr>
          <w:rFonts w:ascii="Times New Roman" w:hAnsi="Times New Roman" w:eastAsia="Times New Roman"/>
          <w:sz w:val="20"/>
        </w:rPr>
        <w:t xml:space="preserve"> </w:t>
      </w:r>
      <m:oMath>
        <m:sSub>
          <m:e>
            <m:r>
              <m:t>ϕ</m:t>
            </m:r>
          </m:e>
          <m:sub>
            <m:r>
              <m:rPr>
                <m:nor/>
                <m:sty m:val="p"/>
              </m:rPr>
              <m:t>look</m:t>
            </m:r>
          </m:sub>
        </m:sSub>
      </m:oMath>
      <w:r>
        <w:rPr>
          <w:rFonts w:ascii="Times New Roman" w:hAnsi="Times New Roman" w:eastAsia="Times New Roman"/>
          <w:sz w:val="20"/>
        </w:rPr>
        <w:t xml:space="preserve">. The cosine of the local incidence angle (LIA)</w:t>
      </w:r>
      <w:r>
        <w:rPr>
          <w:rFonts w:ascii="Times New Roman" w:hAnsi="Times New Roman" w:eastAsia="Times New Roman"/>
          <w:sz w:val="20"/>
        </w:rPr>
        <w:t xml:space="preserve"> </w:t>
      </w:r>
      <m:oMath>
        <m:r>
          <m:t>ψ</m:t>
        </m:r>
      </m:oMath>
      <w:r>
        <w:rPr>
          <w:rFonts w:ascii="Times New Roman" w:hAnsi="Times New Roman" w:eastAsia="Times New Roman"/>
          <w:sz w:val="20"/>
        </w:rPr>
        <w:t xml:space="preserve"> </w:t>
      </w:r>
      <w:r>
        <w:rPr>
          <w:rFonts w:ascii="Times New Roman" w:hAnsi="Times New Roman" w:eastAsia="Times New Roman"/>
          <w:sz w:val="20"/>
        </w:rPr>
        <w:t xml:space="preserve">is governed by their inner product:</w:t>
      </w:r>
    </w:p>
    <w:p>
      <w:pPr>
        <w:pStyle w:val="BodyText"/>
        <w:spacing w:after="0" w:line="240" w:lineRule="auto"/>
      </w:pPr>
      <m:oMathPara>
        <m:oMathParaPr>
          <m:jc m:val="center"/>
        </m:oMathParaPr>
        <m:oMath>
          <m:r>
            <m:rPr>
              <m:sty m:val="p"/>
            </m:rPr>
            <m:t>cos</m:t>
          </m:r>
          <m:r>
            <m:t>ψ</m:t>
          </m:r>
          <m:r>
            <m:rPr>
              <m:sty m:val="p"/>
            </m:rPr>
            <m:t>=</m:t>
          </m:r>
          <m:r>
            <m:rPr>
              <m:sty m:val="bi"/>
            </m:rPr>
            <m:t>n</m:t>
          </m:r>
          <m:r>
            <m:rPr>
              <m:sty m:val="p"/>
            </m:rPr>
            <m:t>⋅</m:t>
          </m:r>
          <m:r>
            <m:rPr>
              <m:sty m:val="bi"/>
            </m:rPr>
            <m:t>s</m:t>
          </m:r>
          <m:r>
            <m:rPr>
              <m:sty m:val="p"/>
            </m:rPr>
            <m:t>=</m:t>
          </m:r>
          <m:r>
            <m:rPr>
              <m:sty m:val="p"/>
            </m:rPr>
            <m:t>cos</m:t>
          </m:r>
          <m:r>
            <m:t>θ</m:t>
          </m:r>
          <m:r>
            <m:rPr>
              <m:sty m:val="p"/>
            </m:rPr>
            <m:t>cos</m:t>
          </m:r>
          <m:sSub>
            <m:e>
              <m:r>
                <m:t>θ</m:t>
              </m:r>
            </m:e>
            <m:sub>
              <m:r>
                <m:rPr>
                  <m:nor/>
                  <m:sty m:val="p"/>
                </m:rPr>
                <m:t>inc</m:t>
              </m:r>
            </m:sub>
          </m:sSub>
          <m:r>
            <m:rPr>
              <m:sty m:val="p"/>
            </m:rPr>
            <m:t>−</m:t>
          </m:r>
          <m:r>
            <m:rPr>
              <m:sty m:val="p"/>
            </m:rPr>
            <m:t>sin</m:t>
          </m:r>
          <m:r>
            <m:t>θ</m:t>
          </m:r>
          <m:r>
            <m:rPr>
              <m:sty m:val="p"/>
            </m:rPr>
            <m:t>sin</m:t>
          </m:r>
          <m:sSub>
            <m:e>
              <m:r>
                <m:t>θ</m:t>
              </m:r>
            </m:e>
            <m:sub>
              <m:r>
                <m:rPr>
                  <m:nor/>
                  <m:sty m:val="p"/>
                </m:rPr>
                <m:t>inc</m:t>
              </m:r>
            </m:sub>
          </m:sSub>
          <m:r>
            <m:rPr>
              <m:sty m:val="p"/>
            </m:rPr>
            <m:t>cos</m:t>
          </m:r>
          <m:r>
            <m:rPr>
              <m:sty m:val="p"/>
            </m:rPr>
            <m:t>(</m:t>
          </m:r>
          <m:r>
            <m:t>α</m:t>
          </m:r>
          <m:r>
            <m:rPr>
              <m:sty m:val="p"/>
            </m:rPr>
            <m:t>−</m:t>
          </m:r>
          <m:sSub>
            <m:e>
              <m:r>
                <m:t>ϕ</m:t>
              </m:r>
            </m:e>
            <m:sub>
              <m:r>
                <m:rPr>
                  <m:nor/>
                  <m:sty m:val="p"/>
                </m:rPr>
                <m:t>look</m:t>
              </m:r>
            </m:sub>
          </m:sSub>
          <m:r>
            <m:rPr>
              <m:sty m:val="p"/>
            </m:rPr>
            <m:t>)</m:t>
          </m:r>
          <m:r>
            <m:t>  </m:t>
          </m:r>
          <m:r>
            <m:rPr>
              <m:sty m:val="p"/>
            </m:rPr>
            <m:t>(</m:t>
          </m:r>
          <m:r>
            <m:rPr>
              <m:nor/>
              <m:sty m:val="p"/>
            </m:rPr>
            <m:t>4</m:t>
          </m:r>
          <m:r>
            <m:rPr>
              <m:sty m:val="p"/>
            </m:rPr>
            <m:t>)</m:t>
          </m:r>
        </m:oMath>
      </m:oMathPara>
    </w:p>
    <w:p>
      <w:pPr>
        <w:pStyle w:val="FirstParagraph"/>
        <w:spacing w:after="0" w:line="240" w:lineRule="auto"/>
      </w:pPr>
      <w:r>
        <w:rPr>
          <w:rFonts w:ascii="Times New Roman" w:hAnsi="Times New Roman" w:eastAsia="Times New Roman"/>
          <w:sz w:val="20"/>
        </w:rPr>
        <w:t xml:space="preserve">Eq. (4) reveals that local incidence angle is intrinsically coupled to the directional alignment term</w:t>
      </w:r>
      <w:r>
        <w:rPr>
          <w:rFonts w:ascii="Times New Roman" w:hAnsi="Times New Roman" w:eastAsia="Times New Roman"/>
          <w:sz w:val="20"/>
        </w:rPr>
        <w:t xml:space="preserve"> </w:t>
      </w:r>
      <m:oMath>
        <m:sSub>
          <m:e>
            <m:r>
              <m:t>θ</m:t>
            </m:r>
          </m:e>
          <m:sub>
            <m:r>
              <m:rPr>
                <m:nor/>
                <m:sty m:val="p"/>
              </m:rPr>
              <m:t>align</m:t>
            </m:r>
          </m:sub>
        </m:sSub>
        <m:r>
          <m:rPr>
            <m:sty m:val="p"/>
          </m:rPr>
          <m:t>=</m:t>
        </m:r>
        <m:r>
          <m:rPr>
            <m:sty m:val="p"/>
          </m:rPr>
          <m:t>cos</m:t>
        </m:r>
        <m:r>
          <m:rPr>
            <m:sty m:val="p"/>
          </m:rPr>
          <m:t>(</m:t>
        </m:r>
        <m:r>
          <m:t>α</m:t>
        </m:r>
        <m:r>
          <m:rPr>
            <m:sty m:val="p"/>
          </m:rPr>
          <m:t>−</m:t>
        </m:r>
        <m:sSub>
          <m:e>
            <m:r>
              <m:t>ϕ</m:t>
            </m:r>
          </m:e>
          <m:sub>
            <m:r>
              <m:rPr>
                <m:nor/>
                <m:sty m:val="p"/>
              </m:rPr>
              <m:t>look</m:t>
            </m:r>
          </m:sub>
        </m:sSub>
        <m:r>
          <m:rPr>
            <m:sty m:val="p"/>
          </m:rPr>
          <m:t>)</m:t>
        </m:r>
      </m:oMath>
      <w:r>
        <w:rPr>
          <w:rFonts w:ascii="Times New Roman" w:hAnsi="Times New Roman" w:eastAsia="Times New Roman"/>
          <w:sz w:val="20"/>
        </w:rPr>
        <w:t xml:space="preserve">. When</w:t>
      </w:r>
      <w:r>
        <w:rPr>
          <w:rFonts w:ascii="Times New Roman" w:hAnsi="Times New Roman" w:eastAsia="Times New Roman"/>
          <w:sz w:val="20"/>
        </w:rPr>
        <w:t xml:space="preserve"> </w:t>
      </w:r>
      <m:oMath>
        <m:sSub>
          <m:e>
            <m:r>
              <m:t>θ</m:t>
            </m:r>
          </m:e>
          <m:sub>
            <m:r>
              <m:rPr>
                <m:nor/>
                <m:sty m:val="p"/>
              </m:rPr>
              <m:t>align</m:t>
            </m:r>
          </m:sub>
        </m:sSub>
        <m:r>
          <m:rPr>
            <m:sty m:val="p"/>
          </m:rPr>
          <m:t>&gt;</m:t>
        </m:r>
        <m:r>
          <m:t>0</m:t>
        </m:r>
      </m:oMath>
      <w:r>
        <w:rPr>
          <w:rFonts w:ascii="Times New Roman" w:hAnsi="Times New Roman" w:eastAsia="Times New Roman"/>
          <w:sz w:val="20"/>
        </w:rPr>
        <w:t xml:space="preserve">, the slope faces toward the sensor (foreslope), driving</w:t>
      </w:r>
      <w:r>
        <w:rPr>
          <w:rFonts w:ascii="Times New Roman" w:hAnsi="Times New Roman" w:eastAsia="Times New Roman"/>
          <w:sz w:val="20"/>
        </w:rPr>
        <w:t xml:space="preserve"> </w:t>
      </w:r>
      <m:oMath>
        <m:r>
          <m:t>ψ</m:t>
        </m:r>
        <m:r>
          <m:rPr>
            <m:sty m:val="p"/>
          </m:rPr>
          <m:t>→</m:t>
        </m:r>
        <m:sSup>
          <m:e>
            <m:r>
              <m:t>0</m:t>
            </m:r>
          </m:e>
          <m:sup>
            <m:r>
              <m:rPr>
                <m:sty m:val="p"/>
              </m:rPr>
              <m:t>∘</m:t>
            </m:r>
          </m:sup>
        </m:sSup>
      </m:oMath>
      <w:r>
        <w:rPr>
          <w:rFonts w:ascii="Times New Roman" w:hAnsi="Times New Roman" w:eastAsia="Times New Roman"/>
          <w:sz w:val="20"/>
        </w:rPr>
        <w:t xml:space="preserve"> </w:t>
      </w:r>
      <w:r>
        <w:rPr>
          <w:rFonts w:ascii="Times New Roman" w:hAnsi="Times New Roman" w:eastAsia="Times New Roman"/>
          <w:sz w:val="20"/>
        </w:rPr>
        <w:t xml:space="preserve">and causing intense radiometric compression (foreshortening/layover) that generates spurious high-backscatter ridges. Conversely, when</w:t>
      </w:r>
      <w:r>
        <w:rPr>
          <w:rFonts w:ascii="Times New Roman" w:hAnsi="Times New Roman" w:eastAsia="Times New Roman"/>
          <w:sz w:val="20"/>
        </w:rPr>
        <w:t xml:space="preserve"> </w:t>
      </w:r>
      <m:oMath>
        <m:sSub>
          <m:e>
            <m:r>
              <m:t>θ</m:t>
            </m:r>
          </m:e>
          <m:sub>
            <m:r>
              <m:rPr>
                <m:nor/>
                <m:sty m:val="p"/>
              </m:rPr>
              <m:t>align</m:t>
            </m:r>
          </m:sub>
        </m:sSub>
        <m:r>
          <m:rPr>
            <m:sty m:val="p"/>
          </m:rPr>
          <m:t>&lt;</m:t>
        </m:r>
        <m:r>
          <m:t>0</m:t>
        </m:r>
      </m:oMath>
      <w:r>
        <w:rPr>
          <w:rFonts w:ascii="Times New Roman" w:hAnsi="Times New Roman" w:eastAsia="Times New Roman"/>
          <w:sz w:val="20"/>
        </w:rPr>
        <w:t xml:space="preserve">, the slope faces away from the sensor (backslope), producing large incidence angles (</w:t>
      </w:r>
      <m:oMath>
        <m:r>
          <m:t>ψ</m:t>
        </m:r>
        <m:r>
          <m:rPr>
            <m:sty m:val="p"/>
          </m:rPr>
          <m:t>&gt;</m:t>
        </m:r>
        <m:sSup>
          <m:e>
            <m:r>
              <m:t>50</m:t>
            </m:r>
          </m:e>
          <m:sup>
            <m:r>
              <m:rPr>
                <m:sty m:val="p"/>
              </m:rPr>
              <m:t>∘</m:t>
            </m:r>
          </m:sup>
        </m:sSup>
      </m:oMath>
      <w:r>
        <w:rPr>
          <w:rFonts w:ascii="Times New Roman" w:hAnsi="Times New Roman" w:eastAsia="Times New Roman"/>
          <w:sz w:val="20"/>
        </w:rPr>
        <w:t xml:space="preserve">) where true avalanche debris exhibits the highest relative contrast against the dark background snowpack</w:t>
      </w:r>
      <w:r>
        <w:rPr>
          <w:rFonts w:ascii="Times New Roman" w:hAnsi="Times New Roman" w:eastAsia="Times New Roman"/>
          <w:sz w:val="20"/>
        </w:rPr>
        <w:t xml:space="preserve"> </w:t>
      </w:r>
      <w:r>
        <w:rPr>
          <w:rFonts w:ascii="Times New Roman" w:hAnsi="Times New Roman" w:eastAsia="Times New Roman"/>
          <w:sz w:val="20"/>
        </w:rPr>
        <w:t xml:space="preserve">(Tompkin and Leinss 2021)</w:t>
      </w:r>
      <w:r>
        <w:rPr>
          <w:rFonts w:ascii="Times New Roman" w:hAnsi="Times New Roman" w:eastAsia="Times New Roman"/>
          <w:sz w:val="20"/>
        </w:rPr>
        <w:t xml:space="preserve">. If</w:t>
      </w:r>
      <w:r>
        <w:rPr>
          <w:rFonts w:ascii="Times New Roman" w:hAnsi="Times New Roman" w:eastAsia="Times New Roman"/>
          <w:sz w:val="20"/>
        </w:rPr>
        <w:t xml:space="preserve"> </w:t>
      </w:r>
      <m:oMath>
        <m:r>
          <m:t>ψ</m:t>
        </m:r>
        <m:r>
          <m:rPr>
            <m:sty m:val="p"/>
          </m:rPr>
          <m:t>≥</m:t>
        </m:r>
        <m:sSup>
          <m:e>
            <m:r>
              <m:t>90</m:t>
            </m:r>
          </m:e>
          <m:sup>
            <m:r>
              <m:rPr>
                <m:sty m:val="p"/>
              </m:rPr>
              <m:t>∘</m:t>
            </m:r>
          </m:sup>
        </m:sSup>
      </m:oMath>
      <w:r>
        <w:rPr>
          <w:rFonts w:ascii="Times New Roman" w:hAnsi="Times New Roman" w:eastAsia="Times New Roman"/>
          <w:sz w:val="20"/>
        </w:rPr>
        <w:t xml:space="preserve">, true radar shadow occurs.</w:t>
      </w:r>
    </w:p>
    <w:p>
      <w:pPr>
        <w:pStyle w:val="BodyText"/>
        <w:spacing w:after="0" w:line="240" w:lineRule="auto"/>
      </w:pPr>
      <w:r>
        <w:rPr>
          <w:rFonts w:ascii="Times New Roman" w:hAnsi="Times New Roman" w:eastAsia="Times New Roman"/>
          <w:sz w:val="20"/>
        </w:rPr>
        <w:t xml:space="preserve">To provide the neural network with a complete, continuous, and singularity-free representation of terrain geometry without angular modular discontinuities at</w:t>
      </w:r>
      <w:r>
        <w:rPr>
          <w:rFonts w:ascii="Times New Roman" w:hAnsi="Times New Roman" w:eastAsia="Times New Roman"/>
          <w:sz w:val="20"/>
        </w:rPr>
        <w:t xml:space="preserve"> </w:t>
      </w:r>
      <m:oMath>
        <m:sSup>
          <m:e>
            <m:r>
              <m:t>0</m:t>
            </m:r>
          </m:e>
          <m:sup>
            <m:r>
              <m:rPr>
                <m:sty m:val="p"/>
              </m:rPr>
              <m:t>∘</m:t>
            </m:r>
          </m:sup>
        </m:sSup>
        <m:r>
          <m:rPr>
            <m:sty m:val="p"/>
          </m:rPr>
          <m:t>/</m:t>
        </m:r>
        <m:sSup>
          <m:e>
            <m:r>
              <m:t>360</m:t>
            </m:r>
          </m:e>
          <m:sup>
            <m:r>
              <m:rPr>
                <m:sty m:val="p"/>
              </m:rPr>
              <m:t>∘</m:t>
            </m:r>
          </m:sup>
        </m:sSup>
      </m:oMath>
      <w:r>
        <w:rPr>
          <w:rFonts w:ascii="Times New Roman" w:hAnsi="Times New Roman" w:eastAsia="Times New Roman"/>
          <w:sz w:val="20"/>
        </w:rPr>
        <w:t xml:space="preserve">, we define the continuous topographic coordinate vector</w:t>
      </w:r>
      <w:r>
        <w:rPr>
          <w:rFonts w:ascii="Times New Roman" w:hAnsi="Times New Roman" w:eastAsia="Times New Roman"/>
          <w:sz w:val="20"/>
        </w:rPr>
        <w:t xml:space="preserve"> </w:t>
      </w:r>
      <m:oMath>
        <m:r>
          <m:rPr>
            <m:sty m:val="bi"/>
          </m:rPr>
          <m:t>g</m:t>
        </m:r>
        <m:r>
          <m:rPr>
            <m:sty m:val="p"/>
          </m:rPr>
          <m:t>(</m:t>
        </m:r>
        <m:r>
          <m:t>u</m:t>
        </m:r>
        <m:r>
          <m:rPr>
            <m:sty m:val="p"/>
          </m:rPr>
          <m:t>,</m:t>
        </m:r>
        <m:r>
          <m:t>v</m:t>
        </m:r>
        <m:r>
          <m:rPr>
            <m:sty m:val="p"/>
          </m:rPr>
          <m:t>)</m:t>
        </m:r>
        <m:r>
          <m:rPr>
            <m:sty m:val="p"/>
          </m:rPr>
          <m:t>∈</m:t>
        </m:r>
        <m:sSup>
          <m:e>
            <m:r>
              <m:rPr>
                <m:scr m:val="double-struck"/>
                <m:sty m:val="p"/>
              </m:rPr>
              <m:t>R</m:t>
            </m:r>
          </m:e>
          <m:sup>
            <m:r>
              <m:t>6</m:t>
            </m:r>
          </m:sup>
        </m:sSup>
      </m:oMath>
      <w:r>
        <w:rPr>
          <w:rFonts w:ascii="Times New Roman" w:hAnsi="Times New Roman" w:eastAsia="Times New Roman"/>
          <w:sz w:val="20"/>
        </w:rPr>
        <w:t xml:space="preserve"> </w:t>
      </w:r>
      <w:r>
        <w:rPr>
          <w:rFonts w:ascii="Times New Roman" w:hAnsi="Times New Roman" w:eastAsia="Times New Roman"/>
          <w:sz w:val="20"/>
        </w:rPr>
        <w:t xml:space="preserve">at each spatial location</w:t>
      </w:r>
      <w:r>
        <w:rPr>
          <w:rFonts w:ascii="Times New Roman" w:hAnsi="Times New Roman" w:eastAsia="Times New Roman"/>
          <w:sz w:val="20"/>
        </w:rPr>
        <w:t xml:space="preserve"> </w:t>
      </w:r>
      <m:oMath>
        <m:r>
          <m:rPr>
            <m:sty m:val="p"/>
          </m:rPr>
          <m:t>(</m:t>
        </m:r>
        <m:r>
          <m:t>u</m:t>
        </m:r>
        <m:r>
          <m:rPr>
            <m:sty m:val="p"/>
          </m:rPr>
          <m:t>,</m:t>
        </m:r>
        <m:r>
          <m:t>v</m:t>
        </m:r>
        <m:r>
          <m:rPr>
            <m:sty m:val="p"/>
          </m:rPr>
          <m:t>)</m:t>
        </m:r>
      </m:oMath>
      <w:r>
        <w:rPr>
          <w:rFonts w:ascii="Times New Roman" w:hAnsi="Times New Roman" w:eastAsia="Times New Roman"/>
          <w:sz w:val="20"/>
        </w:rPr>
        <w:t xml:space="preserve">:</w:t>
      </w:r>
    </w:p>
    <w:p>
      <w:pPr>
        <w:pStyle w:val="BodyText"/>
        <w:spacing w:after="0" w:line="240" w:lineRule="auto"/>
      </w:pPr>
      <m:oMathPara>
        <m:oMathParaPr>
          <m:jc m:val="center"/>
        </m:oMathParaPr>
        <m:oMath>
          <m:m>
            <m:mPr>
              <m:baseJc m:val="center"/>
              <m:plcHide m:val="on"/>
              <m:mcs>
                <m:mc>
                  <m:mcPr>
                    <m:mcJc m:val="right"/>
                    <m:count m:val="1"/>
                  </m:mcPr>
                </m:mc>
              </m:mcs>
            </m:mPr>
            <m:mr>
              <m:e>
                <m:r>
                  <m:rPr>
                    <m:sty m:val="bi"/>
                  </m:rPr>
                  <m:t>g</m:t>
                </m:r>
                <m:r>
                  <m:rPr>
                    <m:sty m:val="p"/>
                  </m:rPr>
                  <m:t>(</m:t>
                </m:r>
                <m:r>
                  <m:t>u</m:t>
                </m:r>
                <m:r>
                  <m:rPr>
                    <m:sty m:val="p"/>
                  </m:rPr>
                  <m:t>,</m:t>
                </m:r>
                <m:r>
                  <m:t>v</m:t>
                </m:r>
                <m:r>
                  <m:rPr>
                    <m:sty m:val="p"/>
                  </m:rPr>
                  <m:t>)</m:t>
                </m:r>
                <m:r>
                  <m:rPr>
                    <m:sty m:val="p"/>
                  </m:rPr>
                  <m:t>=</m:t>
                </m:r>
                <m:r>
                  <m:rPr>
                    <m:sty m:val="p"/>
                  </m:rPr>
                  <m:t>[</m:t>
                </m:r>
                <m:r>
                  <m:rPr>
                    <m:sty m:val="p"/>
                  </m:rPr>
                  <m:t>cos</m:t>
                </m:r>
                <m:r>
                  <m:t>ψ</m:t>
                </m:r>
                <m:r>
                  <m:rPr>
                    <m:sty m:val="p"/>
                  </m:rPr>
                  <m:t>,</m:t>
                </m:r>
                <m:r>
                  <m:t> </m:t>
                </m:r>
                <m:f>
                  <m:fPr>
                    <m:type m:val="bar"/>
                  </m:fPr>
                  <m:num>
                    <m:r>
                      <m:t>θ</m:t>
                    </m:r>
                  </m:num>
                  <m:den>
                    <m:sSub>
                      <m:e>
                        <m:r>
                          <m:t>θ</m:t>
                        </m:r>
                      </m:e>
                      <m:sub>
                        <m:r>
                          <m:rPr>
                            <m:nor/>
                            <m:sty m:val="p"/>
                          </m:rPr>
                          <m:t>ref</m:t>
                        </m:r>
                      </m:sub>
                    </m:sSub>
                  </m:den>
                </m:f>
                <m:r>
                  <m:rPr>
                    <m:sty m:val="p"/>
                  </m:rPr>
                  <m:t>,</m:t>
                </m:r>
                <m:r>
                  <m:t> </m:t>
                </m:r>
                <m:r>
                  <m:rPr>
                    <m:sty m:val="p"/>
                  </m:rPr>
                  <m:t>sin</m:t>
                </m:r>
                <m:r>
                  <m:t>α</m:t>
                </m:r>
                <m:r>
                  <m:rPr>
                    <m:sty m:val="p"/>
                  </m:rPr>
                  <m:t>,</m:t>
                </m:r>
                <m:r>
                  <m:t> </m:t>
                </m:r>
                <m:r>
                  <m:rPr>
                    <m:sty m:val="p"/>
                  </m:rPr>
                  <m:t>cos</m:t>
                </m:r>
                <m:r>
                  <m:t>α</m:t>
                </m:r>
                <m:r>
                  <m:rPr>
                    <m:sty m:val="p"/>
                  </m:rPr>
                  <m:t>,</m:t>
                </m:r>
              </m:e>
            </m:mr>
            <m:mr>
              <m:e>
                <m:f>
                  <m:fPr>
                    <m:type m:val="bar"/>
                  </m:fPr>
                  <m:num>
                    <m:r>
                      <m:t>H</m:t>
                    </m:r>
                    <m:r>
                      <m:rPr>
                        <m:sty m:val="p"/>
                      </m:rPr>
                      <m:t>−</m:t>
                    </m:r>
                    <m:sSub>
                      <m:e>
                        <m:r>
                          <m:t>μ</m:t>
                        </m:r>
                      </m:e>
                      <m:sub>
                        <m:r>
                          <m:t>H</m:t>
                        </m:r>
                      </m:sub>
                    </m:sSub>
                  </m:num>
                  <m:den>
                    <m:sSub>
                      <m:e>
                        <m:r>
                          <m:t>σ</m:t>
                        </m:r>
                      </m:e>
                      <m:sub>
                        <m:r>
                          <m:t>H</m:t>
                        </m:r>
                      </m:sub>
                    </m:sSub>
                  </m:den>
                </m:f>
                <m:r>
                  <m:rPr>
                    <m:sty m:val="p"/>
                  </m:rPr>
                  <m:t>,</m:t>
                </m:r>
                <m:r>
                  <m:t> </m:t>
                </m:r>
                <m:r>
                  <m:rPr>
                    <m:sty m:val="p"/>
                  </m:rPr>
                  <m:t>cos</m:t>
                </m:r>
                <m:r>
                  <m:rPr>
                    <m:sty m:val="p"/>
                  </m:rPr>
                  <m:t>(</m:t>
                </m:r>
                <m:r>
                  <m:t>α</m:t>
                </m:r>
                <m:r>
                  <m:rPr>
                    <m:sty m:val="p"/>
                  </m:rPr>
                  <m:t>−</m:t>
                </m:r>
                <m:sSub>
                  <m:e>
                    <m:r>
                      <m:t>ϕ</m:t>
                    </m:r>
                  </m:e>
                  <m:sub>
                    <m:r>
                      <m:rPr>
                        <m:nor/>
                        <m:sty m:val="p"/>
                      </m:rPr>
                      <m:t>look</m:t>
                    </m:r>
                  </m:sub>
                </m:sSub>
                <m:r>
                  <m:rPr>
                    <m:sty m:val="p"/>
                  </m:rPr>
                  <m:t>)</m:t>
                </m:r>
                <m:sSup>
                  <m:e>
                    <m:r>
                      <m:rPr>
                        <m:sty m:val="p"/>
                      </m:rPr>
                      <m:t>]</m:t>
                    </m:r>
                  </m:e>
                  <m:sup>
                    <m:r>
                      <m:t>T</m:t>
                    </m:r>
                  </m:sup>
                </m:sSup>
                <m:r>
                  <m:t>  </m:t>
                </m:r>
                <m:r>
                  <m:rPr>
                    <m:sty m:val="p"/>
                  </m:rPr>
                  <m:t>(</m:t>
                </m:r>
                <m:r>
                  <m:rPr>
                    <m:nor/>
                    <m:sty m:val="p"/>
                  </m:rPr>
                  <m:t>5</m:t>
                </m:r>
                <m:r>
                  <m:rPr>
                    <m:sty m:val="p"/>
                  </m:rPr>
                  <m:t>)</m:t>
                </m:r>
              </m:e>
            </m:mr>
          </m:m>
        </m:oMath>
      </m:oMathPara>
    </w:p>
    <w:p>
      <w:pPr>
        <w:pStyle w:val="FirstParagraph"/>
        <w:spacing w:after="0" w:line="240" w:lineRule="auto"/>
      </w:pPr>
      <w:r>
        <w:rPr>
          <w:rFonts w:ascii="Times New Roman" w:hAnsi="Times New Roman" w:eastAsia="Times New Roman"/>
          <w:sz w:val="20"/>
        </w:rPr>
        <w:t xml:space="preserve">where</w:t>
      </w:r>
      <w:r>
        <w:rPr>
          <w:rFonts w:ascii="Times New Roman" w:hAnsi="Times New Roman" w:eastAsia="Times New Roman"/>
          <w:sz w:val="20"/>
        </w:rPr>
        <w:t xml:space="preserve"> </w:t>
      </w:r>
      <m:oMath>
        <m:sSub>
          <m:e>
            <m:r>
              <m:t>θ</m:t>
            </m:r>
          </m:e>
          <m:sub>
            <m:r>
              <m:rPr>
                <m:nor/>
                <m:sty m:val="p"/>
              </m:rPr>
              <m:t>ref</m:t>
            </m:r>
          </m:sub>
        </m:sSub>
        <m:r>
          <m:rPr>
            <m:sty m:val="p"/>
          </m:rPr>
          <m:t>=</m:t>
        </m:r>
        <m:sSup>
          <m:e>
            <m:r>
              <m:t>60</m:t>
            </m:r>
          </m:e>
          <m:sup>
            <m:r>
              <m:rPr>
                <m:sty m:val="p"/>
              </m:rPr>
              <m:t>∘</m:t>
            </m:r>
          </m:sup>
        </m:sSup>
      </m:oMath>
      <w:r>
        <w:rPr>
          <w:rFonts w:ascii="Times New Roman" w:hAnsi="Times New Roman" w:eastAsia="Times New Roman"/>
          <w:sz w:val="20"/>
        </w:rPr>
        <w:t xml:space="preserve"> </w:t>
      </w:r>
      <w:r>
        <w:rPr>
          <w:rFonts w:ascii="Times New Roman" w:hAnsi="Times New Roman" w:eastAsia="Times New Roman"/>
          <w:sz w:val="20"/>
        </w:rPr>
        <w:t xml:space="preserve">is a characteristic alpine scaling factor, and</w:t>
      </w:r>
      <w:r>
        <w:rPr>
          <w:rFonts w:ascii="Times New Roman" w:hAnsi="Times New Roman" w:eastAsia="Times New Roman"/>
          <w:sz w:val="20"/>
        </w:rPr>
        <w:t xml:space="preserve"> </w:t>
      </w:r>
      <m:oMath>
        <m:sSub>
          <m:e>
            <m:r>
              <m:t>μ</m:t>
            </m:r>
          </m:e>
          <m:sub>
            <m:r>
              <m:t>H</m:t>
            </m:r>
          </m:sub>
        </m:sSub>
        <m:r>
          <m:rPr>
            <m:sty m:val="p"/>
          </m:rPr>
          <m:t>,</m:t>
        </m:r>
        <m:sSub>
          <m:e>
            <m:r>
              <m:t>σ</m:t>
            </m:r>
          </m:e>
          <m:sub>
            <m:r>
              <m:t>H</m:t>
            </m:r>
          </m:sub>
        </m:sSub>
      </m:oMath>
      <w:r>
        <w:rPr>
          <w:rFonts w:ascii="Times New Roman" w:hAnsi="Times New Roman" w:eastAsia="Times New Roman"/>
          <w:sz w:val="20"/>
        </w:rPr>
        <w:t xml:space="preserve"> </w:t>
      </w:r>
      <w:r>
        <w:rPr>
          <w:rFonts w:ascii="Times New Roman" w:hAnsi="Times New Roman" w:eastAsia="Times New Roman"/>
          <w:sz w:val="20"/>
        </w:rPr>
        <w:t xml:space="preserve">normalize digital elevation</w:t>
      </w:r>
      <w:r>
        <w:rPr>
          <w:rFonts w:ascii="Times New Roman" w:hAnsi="Times New Roman" w:eastAsia="Times New Roman"/>
          <w:sz w:val="20"/>
        </w:rPr>
        <w:t xml:space="preserve"> </w:t>
      </w:r>
      <m:oMath>
        <m:r>
          <m:t>H</m:t>
        </m:r>
      </m:oMath>
      <w:r>
        <w:rPr>
          <w:rFonts w:ascii="Times New Roman" w:hAnsi="Times New Roman" w:eastAsia="Times New Roman"/>
          <w:sz w:val="20"/>
        </w:rPr>
        <w:t xml:space="preserve">.</w:t>
      </w:r>
    </w:p>
    <w:bookmarkEnd w:id="14"/>
    <w:bookmarkStart w:id="15" w:name="Xe067fcb8bc94837186e231dab67fa893d469a1e"/>
    <w:p>
      <w:pPr>
        <w:pStyle w:val="Heading2"/>
        <w:spacing w:after="0" w:line="240" w:lineRule="auto"/>
      </w:pPr>
      <w:r>
        <w:rPr>
          <w:rFonts w:ascii="Times New Roman" w:hAnsi="Times New Roman" w:eastAsia="Times New Roman"/>
          <w:sz w:val="20"/>
        </w:rPr>
        <w:t xml:space="preserve">Physical and Geometric Formulation of Radar-Topographic Distortion</w:t>
      </w:r>
    </w:p>
    <w:p>
      <w:pPr>
        <w:pStyle w:val="FirstParagraph"/>
        <w:spacing w:after="0" w:line="240" w:lineRule="auto"/>
      </w:pPr>
      <w:r>
        <w:rPr>
          <w:rFonts w:ascii="Times New Roman" w:hAnsi="Times New Roman" w:eastAsia="Times New Roman"/>
          <w:sz w:val="20"/>
        </w:rPr>
        <w:t xml:space="preserve">To formalize why standard 2D convolutional and self-attention backbones face inherent geometric limits in rugged alpine terrain, we analyze the mapping between terrain orientation and observed backscatter intensity.</w:t>
      </w:r>
    </w:p>
    <w:p>
      <w:pPr>
        <w:pStyle w:val="BodyText"/>
        <w:spacing w:after="0" w:line="240" w:lineRule="auto"/>
      </w:pPr>
      <w:r>
        <w:rPr>
          <w:rFonts w:ascii="Times New Roman" w:hAnsi="Times New Roman" w:eastAsia="Times New Roman"/>
          <w:b/>
          <w:bCs/>
          <w:sz w:val="20"/>
        </w:rPr>
        <w:t xml:space="preserve">Proposition 1 (Geometric Radar-Topographic Illumination Modulation).</w:t>
      </w:r>
      <w:r>
        <w:rPr>
          <w:rFonts w:ascii="Times New Roman" w:hAnsi="Times New Roman" w:eastAsia="Times New Roman"/>
          <w:sz w:val="20"/>
        </w:rPr>
        <w:t xml:space="preserve"> </w:t>
      </w:r>
      <w:r>
        <w:rPr>
          <w:rFonts w:ascii="Times New Roman" w:hAnsi="Times New Roman" w:eastAsia="Times New Roman"/>
          <w:sz w:val="20"/>
        </w:rPr>
        <w:t xml:space="preserve">Let</w:t>
      </w:r>
      <w:r>
        <w:rPr>
          <w:rFonts w:ascii="Times New Roman" w:hAnsi="Times New Roman" w:eastAsia="Times New Roman"/>
          <w:sz w:val="20"/>
        </w:rPr>
        <w:t xml:space="preserve"> </w:t>
      </w:r>
      <m:oMath>
        <m:r>
          <m:t>z</m:t>
        </m:r>
        <m:r>
          <m:rPr>
            <m:sty m:val="p"/>
          </m:rPr>
          <m:t>=</m:t>
        </m:r>
        <m:r>
          <m:t>H</m:t>
        </m:r>
        <m:r>
          <m:rPr>
            <m:sty m:val="p"/>
          </m:rPr>
          <m:t>(</m:t>
        </m:r>
        <m:r>
          <m:t>u</m:t>
        </m:r>
        <m:r>
          <m:rPr>
            <m:sty m:val="p"/>
          </m:rPr>
          <m:t>,</m:t>
        </m:r>
        <m:r>
          <m:t>v</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be a topographic surface defined on spatial coordinates</w:t>
      </w:r>
      <w:r>
        <w:rPr>
          <w:rFonts w:ascii="Times New Roman" w:hAnsi="Times New Roman" w:eastAsia="Times New Roman"/>
          <w:sz w:val="20"/>
        </w:rPr>
        <w:t xml:space="preserve"> </w:t>
      </w:r>
      <m:oMath>
        <m:r>
          <m:rPr>
            <m:sty m:val="p"/>
          </m:rPr>
          <m:t>(</m:t>
        </m:r>
        <m:r>
          <m:t>u</m:t>
        </m:r>
        <m:r>
          <m:rPr>
            <m:sty m:val="p"/>
          </m:rPr>
          <m:t>,</m:t>
        </m:r>
        <m:r>
          <m:t>v</m:t>
        </m:r>
        <m:r>
          <m:rPr>
            <m:sty m:val="p"/>
          </m:rPr>
          <m:t>)</m:t>
        </m:r>
        <m:r>
          <m:rPr>
            <m:sty m:val="p"/>
          </m:rPr>
          <m:t>∈</m:t>
        </m:r>
        <m:r>
          <m:rPr>
            <m:sty m:val="p"/>
          </m:rPr>
          <m:t>Ω</m:t>
        </m:r>
        <m:r>
          <m:rPr>
            <m:sty m:val="p"/>
          </m:rPr>
          <m:t>⊂</m:t>
        </m:r>
        <m:sSup>
          <m:e>
            <m:r>
              <m:rPr>
                <m:scr m:val="double-struck"/>
                <m:sty m:val="p"/>
              </m:rPr>
              <m:t>R</m:t>
            </m:r>
          </m:e>
          <m:sup>
            <m:r>
              <m:t>2</m:t>
            </m:r>
          </m:sup>
        </m:sSup>
      </m:oMath>
      <w:r>
        <w:rPr>
          <w:rFonts w:ascii="Times New Roman" w:hAnsi="Times New Roman" w:eastAsia="Times New Roman"/>
          <w:sz w:val="20"/>
        </w:rPr>
        <w:t xml:space="preserve">, illuminated by an incident radar look vector</w:t>
      </w:r>
      <w:r>
        <w:rPr>
          <w:rFonts w:ascii="Times New Roman" w:hAnsi="Times New Roman" w:eastAsia="Times New Roman"/>
          <w:sz w:val="20"/>
        </w:rPr>
        <w:t xml:space="preserve"> </w:t>
      </w:r>
      <m:oMath>
        <m:r>
          <m:rPr>
            <m:sty m:val="bi"/>
          </m:rPr>
          <m:t>s</m:t>
        </m:r>
        <m:r>
          <m:rPr>
            <m:sty m:val="p"/>
          </m:rPr>
          <m:t>(</m:t>
        </m:r>
        <m:sSub>
          <m:e>
            <m:r>
              <m:t>θ</m:t>
            </m:r>
          </m:e>
          <m:sub>
            <m:r>
              <m:rPr>
                <m:nor/>
                <m:sty m:val="p"/>
              </m:rPr>
              <m:t>inc</m:t>
            </m:r>
          </m:sub>
        </m:sSub>
        <m:r>
          <m:rPr>
            <m:sty m:val="p"/>
          </m:rPr>
          <m:t>,</m:t>
        </m:r>
        <m:sSub>
          <m:e>
            <m:r>
              <m:t>ϕ</m:t>
            </m:r>
          </m:e>
          <m:sub>
            <m:r>
              <m:rPr>
                <m:nor/>
                <m:sty m:val="p"/>
              </m:rPr>
              <m:t>look</m:t>
            </m:r>
          </m:sub>
        </m:sSub>
        <m:r>
          <m:rPr>
            <m:sty m:val="p"/>
          </m:rPr>
          <m:t>)</m:t>
        </m:r>
      </m:oMath>
      <w:r>
        <w:rPr>
          <w:rFonts w:ascii="Times New Roman" w:hAnsi="Times New Roman" w:eastAsia="Times New Roman"/>
          <w:sz w:val="20"/>
        </w:rPr>
        <w:t xml:space="preserve">. Under radiometric terrain modeling</w:t>
      </w:r>
      <w:r>
        <w:rPr>
          <w:rFonts w:ascii="Times New Roman" w:hAnsi="Times New Roman" w:eastAsia="Times New Roman"/>
          <w:sz w:val="20"/>
        </w:rPr>
        <w:t xml:space="preserve"> </w:t>
      </w:r>
      <w:r>
        <w:rPr>
          <w:rFonts w:ascii="Times New Roman" w:hAnsi="Times New Roman" w:eastAsia="Times New Roman"/>
          <w:sz w:val="20"/>
        </w:rPr>
        <w:t xml:space="preserve">(Small 2011)</w:t>
      </w:r>
      <w:r>
        <w:rPr>
          <w:rFonts w:ascii="Times New Roman" w:hAnsi="Times New Roman" w:eastAsia="Times New Roman"/>
          <w:sz w:val="20"/>
        </w:rPr>
        <w:t xml:space="preserve">, observed radar backscatter across sloped terrain is influenced by local ground scattering area. Under first-order facet geometry, the ratio between nominal flat-surface ground area and local tilted facet area is conventionally characterized by the geometric modulation factor:</w:t>
      </w:r>
    </w:p>
    <w:p>
      <w:pPr>
        <w:pStyle w:val="BodyText"/>
        <w:spacing w:after="0" w:line="240" w:lineRule="auto"/>
      </w:pPr>
      <m:oMathPara>
        <m:oMathParaPr>
          <m:jc m:val="center"/>
        </m:oMathParaPr>
        <m:oMath>
          <m:r>
            <m:rPr>
              <m:scr m:val="script"/>
              <m:sty m:val="p"/>
            </m:rPr>
            <m:t>G</m:t>
          </m:r>
          <m:r>
            <m:rPr>
              <m:sty m:val="p"/>
            </m:rPr>
            <m:t>(</m:t>
          </m:r>
          <m:r>
            <m:t>u</m:t>
          </m:r>
          <m:r>
            <m:rPr>
              <m:sty m:val="p"/>
            </m:rPr>
            <m:t>,</m:t>
          </m:r>
          <m:r>
            <m:t>v</m:t>
          </m:r>
          <m:r>
            <m:rPr>
              <m:sty m:val="p"/>
            </m:rPr>
            <m:t>)</m:t>
          </m:r>
          <m:r>
            <m:rPr>
              <m:sty m:val="p"/>
            </m:rPr>
            <m:t>≈</m:t>
          </m:r>
          <m:f>
            <m:fPr>
              <m:type m:val="bar"/>
            </m:fPr>
            <m:num>
              <m:r>
                <m:rPr>
                  <m:sty m:val="p"/>
                </m:rPr>
                <m:t>cos</m:t>
              </m:r>
              <m:r>
                <m:t>ψ</m:t>
              </m:r>
              <m:r>
                <m:rPr>
                  <m:sty m:val="p"/>
                </m:rPr>
                <m:t>(</m:t>
              </m:r>
              <m:r>
                <m:t>u</m:t>
              </m:r>
              <m:r>
                <m:rPr>
                  <m:sty m:val="p"/>
                </m:rPr>
                <m:t>,</m:t>
              </m:r>
              <m:r>
                <m:t>v</m:t>
              </m:r>
              <m:r>
                <m:rPr>
                  <m:sty m:val="p"/>
                </m:rPr>
                <m:t>)</m:t>
              </m:r>
            </m:num>
            <m:den>
              <m:r>
                <m:rPr>
                  <m:sty m:val="p"/>
                </m:rPr>
                <m:t>sin</m:t>
              </m:r>
              <m:sSub>
                <m:e>
                  <m:r>
                    <m:t>θ</m:t>
                  </m:r>
                </m:e>
                <m:sub>
                  <m:r>
                    <m:rPr>
                      <m:nor/>
                      <m:sty m:val="p"/>
                    </m:rPr>
                    <m:t>inc</m:t>
                  </m:r>
                </m:sub>
              </m:sSub>
            </m:den>
          </m:f>
        </m:oMath>
      </m:oMathPara>
    </w:p>
    <w:p>
      <w:pPr>
        <w:pStyle w:val="FirstParagraph"/>
        <w:spacing w:after="0" w:line="240" w:lineRule="auto"/>
      </w:pPr>
      <w:r>
        <w:rPr>
          <w:rFonts w:ascii="Times New Roman" w:hAnsi="Times New Roman" w:eastAsia="Times New Roman"/>
          <w:sz w:val="20"/>
        </w:rPr>
        <w:t xml:space="preserve">where the local incidence angle</w:t>
      </w:r>
      <w:r>
        <w:rPr>
          <w:rFonts w:ascii="Times New Roman" w:hAnsi="Times New Roman" w:eastAsia="Times New Roman"/>
          <w:sz w:val="20"/>
        </w:rPr>
        <w:t xml:space="preserve"> </w:t>
      </w:r>
      <m:oMath>
        <m:r>
          <m:t>ψ</m:t>
        </m:r>
        <m:r>
          <m:rPr>
            <m:sty m:val="p"/>
          </m:rPr>
          <m:t>(</m:t>
        </m:r>
        <m:r>
          <m:t>u</m:t>
        </m:r>
        <m:r>
          <m:rPr>
            <m:sty m:val="p"/>
          </m:rPr>
          <m:t>,</m:t>
        </m:r>
        <m:r>
          <m:t>v</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satisfies Eq. (4), with local slope</w:t>
      </w:r>
      <w:r>
        <w:rPr>
          <w:rFonts w:ascii="Times New Roman" w:hAnsi="Times New Roman" w:eastAsia="Times New Roman"/>
          <w:sz w:val="20"/>
        </w:rPr>
        <w:t xml:space="preserve"> </w:t>
      </w:r>
      <m:oMath>
        <m:r>
          <m:t>θ</m:t>
        </m:r>
        <m:r>
          <m:rPr>
            <m:sty m:val="p"/>
          </m:rPr>
          <m:t>=</m:t>
        </m:r>
        <m:r>
          <m:rPr>
            <m:sty m:val="p"/>
          </m:rPr>
          <m:t>arctan</m:t>
        </m:r>
        <m:r>
          <m:rPr>
            <m:sty m:val="p"/>
          </m:rPr>
          <m:t>(</m:t>
        </m:r>
        <m:r>
          <m:rPr>
            <m:sty m:val="p"/>
          </m:rPr>
          <m:t>∥</m:t>
        </m:r>
        <m:r>
          <m:rPr>
            <m:sty m:val="p"/>
          </m:rPr>
          <m:t>∇</m:t>
        </m:r>
        <m:r>
          <m:t>H</m:t>
        </m:r>
        <m:r>
          <m:rPr>
            <m:sty m:val="p"/>
          </m:rPr>
          <m:t>(</m:t>
        </m:r>
        <m:r>
          <m:t>u</m:t>
        </m:r>
        <m:r>
          <m:rPr>
            <m:sty m:val="p"/>
          </m:rPr>
          <m:t>,</m:t>
        </m:r>
        <m:r>
          <m:t>v</m:t>
        </m:r>
        <m:r>
          <m:rPr>
            <m:sty m:val="p"/>
          </m:rPr>
          <m:t>)</m:t>
        </m:r>
        <m:r>
          <m:rPr>
            <m:sty m:val="p"/>
          </m:rPr>
          <m:t>∥</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and aspect</w:t>
      </w:r>
      <w:r>
        <w:rPr>
          <w:rFonts w:ascii="Times New Roman" w:hAnsi="Times New Roman" w:eastAsia="Times New Roman"/>
          <w:sz w:val="20"/>
        </w:rPr>
        <w:t xml:space="preserve"> </w:t>
      </w:r>
      <m:oMath>
        <m:r>
          <m:t>α</m:t>
        </m:r>
        <m:r>
          <m:rPr>
            <m:sty m:val="p"/>
          </m:rPr>
          <m:t>=</m:t>
        </m:r>
        <m:r>
          <m:rPr>
            <m:nor/>
            <m:sty m:val="p"/>
          </m:rPr>
          <m:t>atan2</m:t>
        </m:r>
        <m:r>
          <m:rPr>
            <m:sty m:val="p"/>
          </m:rPr>
          <m:t>(</m:t>
        </m:r>
        <m:r>
          <m:rPr>
            <m:sty m:val="p"/>
          </m:rPr>
          <m:t>−</m:t>
        </m:r>
        <m:sSub>
          <m:e>
            <m:r>
              <m:rPr>
                <m:sty m:val="p"/>
              </m:rPr>
              <m:t>∂</m:t>
            </m:r>
          </m:e>
          <m:sub>
            <m:r>
              <m:t>u</m:t>
            </m:r>
          </m:sub>
        </m:sSub>
        <m:r>
          <m:t>H</m:t>
        </m:r>
        <m:r>
          <m:rPr>
            <m:sty m:val="p"/>
          </m:rPr>
          <m:t>,</m:t>
        </m:r>
        <m:r>
          <m:rPr>
            <m:sty m:val="p"/>
          </m:rPr>
          <m:t>−</m:t>
        </m:r>
        <m:sSub>
          <m:e>
            <m:r>
              <m:rPr>
                <m:sty m:val="p"/>
              </m:rPr>
              <m:t>∂</m:t>
            </m:r>
          </m:e>
          <m:sub>
            <m:r>
              <m:t>v</m:t>
            </m:r>
          </m:sub>
        </m:sSub>
        <m:r>
          <m:t>H</m:t>
        </m:r>
        <m:r>
          <m:rPr>
            <m:sty m:val="p"/>
          </m:rPr>
          <m:t>)</m:t>
        </m:r>
      </m:oMath>
      <w:r>
        <w:rPr>
          <w:rFonts w:ascii="Times New Roman" w:hAnsi="Times New Roman" w:eastAsia="Times New Roman"/>
          <w:sz w:val="20"/>
        </w:rPr>
        <w:t xml:space="preserve">.</w:t>
      </w:r>
    </w:p>
    <w:p>
      <w:pPr>
        <w:pStyle w:val="BodyText"/>
        <w:spacing w:after="0" w:line="240" w:lineRule="auto"/>
      </w:pPr>
      <w:r>
        <w:rPr>
          <w:rFonts w:ascii="Times New Roman" w:hAnsi="Times New Roman" w:eastAsia="Times New Roman"/>
          <w:b/>
          <w:bCs/>
          <w:sz w:val="20"/>
        </w:rPr>
        <w:t xml:space="preserve">Proposition 2 (Geometric Ambiguity of Shift-Invariant 2D Linear Convolutions).</w:t>
      </w:r>
      <w:r>
        <w:rPr>
          <w:rFonts w:ascii="Times New Roman" w:hAnsi="Times New Roman" w:eastAsia="Times New Roman"/>
          <w:sz w:val="20"/>
        </w:rPr>
        <w:t xml:space="preserve"> </w:t>
      </w:r>
      <w:r>
        <w:rPr>
          <w:rFonts w:ascii="Times New Roman" w:hAnsi="Times New Roman" w:eastAsia="Times New Roman"/>
          <w:sz w:val="20"/>
        </w:rPr>
        <w:t xml:space="preserve">Let</w:t>
      </w:r>
      <w:r>
        <w:rPr>
          <w:rFonts w:ascii="Times New Roman" w:hAnsi="Times New Roman" w:eastAsia="Times New Roman"/>
          <w:sz w:val="20"/>
        </w:rPr>
        <w:t xml:space="preserve"> </w:t>
      </w:r>
      <m:oMath>
        <m:r>
          <m:rPr>
            <m:scr m:val="script"/>
            <m:sty m:val="p"/>
          </m:rPr>
          <m:t>K</m:t>
        </m:r>
        <m:r>
          <m:rPr>
            <m:sty m:val="p"/>
          </m:rPr>
          <m:t>*</m:t>
        </m:r>
        <m:r>
          <m:t>I</m:t>
        </m:r>
      </m:oMath>
      <w:r>
        <w:rPr>
          <w:rFonts w:ascii="Times New Roman" w:hAnsi="Times New Roman" w:eastAsia="Times New Roman"/>
          <w:sz w:val="20"/>
        </w:rPr>
        <w:t xml:space="preserve"> </w:t>
      </w:r>
      <w:r>
        <w:rPr>
          <w:rFonts w:ascii="Times New Roman" w:hAnsi="Times New Roman" w:eastAsia="Times New Roman"/>
          <w:sz w:val="20"/>
        </w:rPr>
        <w:t xml:space="preserve">denote any 2D spatial convolution with shift-invariant kernel</w:t>
      </w:r>
      <w:r>
        <w:rPr>
          <w:rFonts w:ascii="Times New Roman" w:hAnsi="Times New Roman" w:eastAsia="Times New Roman"/>
          <w:sz w:val="20"/>
        </w:rPr>
        <w:t xml:space="preserve"> </w:t>
      </w:r>
      <m:oMath>
        <m:r>
          <m:rPr>
            <m:scr m:val="script"/>
            <m:sty m:val="p"/>
          </m:rPr>
          <m:t>K</m:t>
        </m:r>
      </m:oMath>
      <w:r>
        <w:rPr>
          <w:rFonts w:ascii="Times New Roman" w:hAnsi="Times New Roman" w:eastAsia="Times New Roman"/>
          <w:sz w:val="20"/>
        </w:rPr>
        <w:t xml:space="preserve"> </w:t>
      </w:r>
      <w:r>
        <w:rPr>
          <w:rFonts w:ascii="Times New Roman" w:hAnsi="Times New Roman" w:eastAsia="Times New Roman"/>
          <w:sz w:val="20"/>
        </w:rPr>
        <w:t xml:space="preserve">operating purely on bitemporal SAR channels</w:t>
      </w:r>
      <w:r>
        <w:rPr>
          <w:rFonts w:ascii="Times New Roman" w:hAnsi="Times New Roman" w:eastAsia="Times New Roman"/>
          <w:sz w:val="20"/>
        </w:rPr>
        <w:t xml:space="preserve"> </w:t>
      </w:r>
      <m:oMath>
        <m:r>
          <m:t>I</m:t>
        </m:r>
        <m:r>
          <m:rPr>
            <m:sty m:val="p"/>
          </m:rPr>
          <m:t>=</m:t>
        </m:r>
        <m:r>
          <m:rPr>
            <m:sty m:val="p"/>
          </m:rPr>
          <m:t>(</m:t>
        </m:r>
        <m:sSubSup>
          <m:e>
            <m:r>
              <m:t>σ</m:t>
            </m:r>
          </m:e>
          <m:sub>
            <m:r>
              <m:rPr>
                <m:nor/>
                <m:sty m:val="p"/>
              </m:rPr>
              <m:t>pre</m:t>
            </m:r>
          </m:sub>
          <m:sup>
            <m:r>
              <m:t>0</m:t>
            </m:r>
          </m:sup>
        </m:sSubSup>
        <m:r>
          <m:rPr>
            <m:sty m:val="p"/>
          </m:rPr>
          <m:t>,</m:t>
        </m:r>
        <m:sSubSup>
          <m:e>
            <m:r>
              <m:t>σ</m:t>
            </m:r>
          </m:e>
          <m:sub>
            <m:r>
              <m:rPr>
                <m:nor/>
                <m:sty m:val="p"/>
              </m:rPr>
              <m:t>post</m:t>
            </m:r>
          </m:sub>
          <m:sup>
            <m:r>
              <m:t>0</m:t>
            </m:r>
          </m:sup>
        </m:sSubSup>
        <m:r>
          <m:rPr>
            <m:sty m:val="p"/>
          </m:rPr>
          <m:t>)</m:t>
        </m:r>
      </m:oMath>
      <w:r>
        <w:rPr>
          <w:rFonts w:ascii="Times New Roman" w:hAnsi="Times New Roman" w:eastAsia="Times New Roman"/>
          <w:sz w:val="20"/>
        </w:rPr>
        <w:t xml:space="preserve">. Because the geometric modulation factor</w:t>
      </w:r>
      <w:r>
        <w:rPr>
          <w:rFonts w:ascii="Times New Roman" w:hAnsi="Times New Roman" w:eastAsia="Times New Roman"/>
          <w:sz w:val="20"/>
        </w:rPr>
        <w:t xml:space="preserve"> </w:t>
      </w:r>
      <m:oMath>
        <m:r>
          <m:rPr>
            <m:scr m:val="script"/>
            <m:sty m:val="p"/>
          </m:rPr>
          <m:t>G</m:t>
        </m:r>
        <m:r>
          <m:rPr>
            <m:sty m:val="p"/>
          </m:rPr>
          <m:t>(</m:t>
        </m:r>
        <m:r>
          <m:t>u</m:t>
        </m:r>
        <m:r>
          <m:rPr>
            <m:sty m:val="p"/>
          </m:rPr>
          <m:t>,</m:t>
        </m:r>
        <m:r>
          <m:t>v</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depends on localized directional aspect alignment</w:t>
      </w:r>
      <w:r>
        <w:rPr>
          <w:rFonts w:ascii="Times New Roman" w:hAnsi="Times New Roman" w:eastAsia="Times New Roman"/>
          <w:sz w:val="20"/>
        </w:rPr>
        <w:t xml:space="preserve"> </w:t>
      </w:r>
      <m:oMath>
        <m:r>
          <m:rPr>
            <m:sty m:val="p"/>
          </m:rPr>
          <m:t>cos</m:t>
        </m:r>
        <m:r>
          <m:rPr>
            <m:sty m:val="p"/>
          </m:rPr>
          <m:t>(</m:t>
        </m:r>
        <m:r>
          <m:t>α</m:t>
        </m:r>
        <m:r>
          <m:rPr>
            <m:sty m:val="p"/>
          </m:rPr>
          <m:t>(</m:t>
        </m:r>
        <m:r>
          <m:t>u</m:t>
        </m:r>
        <m:r>
          <m:rPr>
            <m:sty m:val="p"/>
          </m:rPr>
          <m:t>,</m:t>
        </m:r>
        <m:r>
          <m:t>v</m:t>
        </m:r>
        <m:r>
          <m:rPr>
            <m:sty m:val="p"/>
          </m:rPr>
          <m:t>)</m:t>
        </m:r>
        <m:r>
          <m:rPr>
            <m:sty m:val="p"/>
          </m:rPr>
          <m:t>−</m:t>
        </m:r>
        <m:sSub>
          <m:e>
            <m:r>
              <m:t>ϕ</m:t>
            </m:r>
          </m:e>
          <m:sub>
            <m:r>
              <m:rPr>
                <m:nor/>
                <m:sty m:val="p"/>
              </m:rPr>
              <m:t>look</m:t>
            </m:r>
          </m:sub>
        </m:sSub>
        <m:r>
          <m:rPr>
            <m:sty m:val="p"/>
          </m:rPr>
          <m:t>)</m:t>
        </m:r>
      </m:oMath>
      <w:r>
        <w:rPr>
          <w:rFonts w:ascii="Times New Roman" w:hAnsi="Times New Roman" w:eastAsia="Times New Roman"/>
          <w:sz w:val="20"/>
        </w:rPr>
        <w:t xml:space="preserve">, it is spatially non-stationary and lacks translational symmetry across arbitrary mountain ridgelines. On steep radar-facing foreslopes (</w:t>
      </w:r>
      <m:oMath>
        <m:sSub>
          <m:e>
            <m:r>
              <m:t>θ</m:t>
            </m:r>
          </m:e>
          <m:sub>
            <m:r>
              <m:rPr>
                <m:nor/>
                <m:sty m:val="p"/>
              </m:rPr>
              <m:t>align</m:t>
            </m:r>
          </m:sub>
        </m:sSub>
        <m:r>
          <m:rPr>
            <m:sty m:val="p"/>
          </m:rPr>
          <m:t>&gt;</m:t>
        </m:r>
        <m:r>
          <m:t>0</m:t>
        </m:r>
        <m:r>
          <m:rPr>
            <m:sty m:val="p"/>
          </m:rPr>
          <m:t>,</m:t>
        </m:r>
        <m:r>
          <m:t>ψ</m:t>
        </m:r>
        <m:r>
          <m:rPr>
            <m:sty m:val="p"/>
          </m:rPr>
          <m:t>→</m:t>
        </m:r>
        <m:sSup>
          <m:e>
            <m:r>
              <m:t>0</m:t>
            </m:r>
          </m:e>
          <m:sup>
            <m:r>
              <m:rPr>
                <m:sty m:val="p"/>
              </m:rPr>
              <m:t>∘</m:t>
            </m:r>
          </m:sup>
        </m:sSup>
      </m:oMath>
      <w:r>
        <w:rPr>
          <w:rFonts w:ascii="Times New Roman" w:hAnsi="Times New Roman" w:eastAsia="Times New Roman"/>
          <w:sz w:val="20"/>
        </w:rPr>
        <w:t xml:space="preserve">), foreshortening compression elevates backscatter, producing bright spatial textures that resemble rough avalanche debris. Conversely, on backslopes facing away from the radar (</w:t>
      </w:r>
      <m:oMath>
        <m:sSub>
          <m:e>
            <m:r>
              <m:t>θ</m:t>
            </m:r>
          </m:e>
          <m:sub>
            <m:r>
              <m:rPr>
                <m:nor/>
                <m:sty m:val="p"/>
              </m:rPr>
              <m:t>align</m:t>
            </m:r>
          </m:sub>
        </m:sSub>
        <m:r>
          <m:rPr>
            <m:sty m:val="p"/>
          </m:rPr>
          <m:t>&lt;</m:t>
        </m:r>
        <m:r>
          <m:t>0</m:t>
        </m:r>
        <m:r>
          <m:rPr>
            <m:sty m:val="p"/>
          </m:rPr>
          <m:t>,</m:t>
        </m:r>
        <m:r>
          <m:t>ψ</m:t>
        </m:r>
        <m:r>
          <m:rPr>
            <m:sty m:val="p"/>
          </m:rPr>
          <m:t>&gt;</m:t>
        </m:r>
        <m:sSup>
          <m:e>
            <m:r>
              <m:t>50</m:t>
            </m:r>
          </m:e>
          <m:sup>
            <m:r>
              <m:rPr>
                <m:sty m:val="p"/>
              </m:rPr>
              <m:t>∘</m:t>
            </m:r>
          </m:sup>
        </m:sSup>
      </m:oMath>
      <w:r>
        <w:rPr>
          <w:rFonts w:ascii="Times New Roman" w:hAnsi="Times New Roman" w:eastAsia="Times New Roman"/>
          <w:sz w:val="20"/>
        </w:rPr>
        <w:t xml:space="preserve">), the background snowpack is radiometrically dark. Consequently, a spatially shift-invariant 2D linear convolutional kernel operating exclusively on SAR intensity channels lacks the orientation-conditioned parameters necessary to dynamically normalize</w:t>
      </w:r>
      <w:r>
        <w:rPr>
          <w:rFonts w:ascii="Times New Roman" w:hAnsi="Times New Roman" w:eastAsia="Times New Roman"/>
          <w:sz w:val="20"/>
        </w:rPr>
        <w:t xml:space="preserve"> </w:t>
      </w:r>
      <m:oMath>
        <m:r>
          <m:rPr>
            <m:scr m:val="script"/>
            <m:sty m:val="p"/>
          </m:rPr>
          <m:t>G</m:t>
        </m:r>
        <m:r>
          <m:rPr>
            <m:sty m:val="p"/>
          </m:rPr>
          <m:t>(</m:t>
        </m:r>
        <m:r>
          <m:t>u</m:t>
        </m:r>
        <m:r>
          <m:rPr>
            <m:sty m:val="p"/>
          </m:rPr>
          <m:t>,</m:t>
        </m:r>
        <m:r>
          <m:t>v</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across opposing mountain facets.</w:t>
      </w:r>
    </w:p>
    <w:p>
      <w:pPr>
        <w:pStyle w:val="BodyText"/>
        <w:spacing w:after="0" w:line="240" w:lineRule="auto"/>
      </w:pPr>
      <w:r>
        <w:rPr>
          <w:rFonts w:ascii="Times New Roman" w:hAnsi="Times New Roman" w:eastAsia="Times New Roman"/>
          <w:b/>
          <w:bCs/>
          <w:sz w:val="20"/>
        </w:rPr>
        <w:t xml:space="preserve">Proposition 3 (Continuous Aspect-Look Representation via Manifold</w:t>
      </w:r>
      <w:r>
        <w:rPr>
          <w:rFonts w:ascii="Times New Roman" w:hAnsi="Times New Roman" w:eastAsia="Times New Roman"/>
          <w:b/>
          <w:bCs/>
          <w:sz w:val="20"/>
        </w:rPr>
        <w:t xml:space="preserve"> </w:t>
      </w:r>
      <m:oMath>
        <m:r>
          <m:rPr>
            <m:scr m:val="script"/>
            <m:sty m:val="p"/>
          </m:rPr>
          <m:t>M</m:t>
        </m:r>
      </m:oMath>
      <w:r>
        <w:rPr>
          <w:rFonts w:ascii="Times New Roman" w:hAnsi="Times New Roman" w:eastAsia="Times New Roman"/>
          <w:b/>
          <w:bCs/>
          <w:sz w:val="20"/>
        </w:rPr>
        <w:t xml:space="preserve">).</w:t>
      </w:r>
      <w:r>
        <w:rPr>
          <w:rFonts w:ascii="Times New Roman" w:hAnsi="Times New Roman" w:eastAsia="Times New Roman"/>
          <w:sz w:val="20"/>
        </w:rPr>
        <w:t xml:space="preserve"> </w:t>
      </w:r>
      <w:r>
        <w:rPr>
          <w:rFonts w:ascii="Times New Roman" w:hAnsi="Times New Roman" w:eastAsia="Times New Roman"/>
          <w:sz w:val="20"/>
        </w:rPr>
        <w:t xml:space="preserve">Representing directional terrain coordinates via the continuous vector</w:t>
      </w:r>
      <w:r>
        <w:rPr>
          <w:rFonts w:ascii="Times New Roman" w:hAnsi="Times New Roman" w:eastAsia="Times New Roman"/>
          <w:sz w:val="20"/>
        </w:rPr>
        <w:t xml:space="preserve"> </w:t>
      </w:r>
      <m:oMath>
        <m:r>
          <m:rPr>
            <m:scr m:val="script"/>
            <m:sty m:val="p"/>
          </m:rPr>
          <m:t>M</m:t>
        </m:r>
        <m:r>
          <m:rPr>
            <m:sty m:val="p"/>
          </m:rPr>
          <m:t>(</m:t>
        </m:r>
        <m:r>
          <m:t>u</m:t>
        </m:r>
        <m:r>
          <m:rPr>
            <m:sty m:val="p"/>
          </m:rPr>
          <m:t>,</m:t>
        </m:r>
        <m:r>
          <m:t>v</m:t>
        </m:r>
        <m:r>
          <m:rPr>
            <m:sty m:val="p"/>
          </m:rPr>
          <m:t>)</m:t>
        </m:r>
        <m:r>
          <m:rPr>
            <m:sty m:val="p"/>
          </m:rPr>
          <m:t>=</m:t>
        </m:r>
        <m:r>
          <m:rPr>
            <m:sty m:val="p"/>
          </m:rPr>
          <m:t>[</m:t>
        </m:r>
        <m:r>
          <m:rPr>
            <m:sty m:val="p"/>
          </m:rPr>
          <m:t>sin</m:t>
        </m:r>
        <m:r>
          <m:t>α</m:t>
        </m:r>
        <m:r>
          <m:rPr>
            <m:sty m:val="p"/>
          </m:rPr>
          <m:t>,</m:t>
        </m:r>
        <m:r>
          <m:rPr>
            <m:sty m:val="p"/>
          </m:rPr>
          <m:t>cos</m:t>
        </m:r>
        <m:r>
          <m:t>α</m:t>
        </m:r>
        <m:r>
          <m:rPr>
            <m:sty m:val="p"/>
          </m:rPr>
          <m:t>,</m:t>
        </m:r>
        <m:r>
          <m:rPr>
            <m:sty m:val="p"/>
          </m:rPr>
          <m:t>cos</m:t>
        </m:r>
        <m:r>
          <m:t>ψ</m:t>
        </m:r>
        <m:r>
          <m:rPr>
            <m:sty m:val="p"/>
          </m:rPr>
          <m:t>,</m:t>
        </m:r>
        <m:sSub>
          <m:e>
            <m:r>
              <m:t>θ</m:t>
            </m:r>
          </m:e>
          <m:sub>
            <m:r>
              <m:rPr>
                <m:nor/>
                <m:sty m:val="p"/>
              </m:rPr>
              <m:t>align</m:t>
            </m:r>
          </m:sub>
        </m:sSub>
        <m:sSup>
          <m:e>
            <m:r>
              <m:rPr>
                <m:sty m:val="p"/>
              </m:rPr>
              <m:t>]</m:t>
            </m:r>
          </m:e>
          <m:sup>
            <m:r>
              <m:t>T</m:t>
            </m:r>
          </m:sup>
        </m:sSup>
        <m:r>
          <m:rPr>
            <m:sty m:val="p"/>
          </m:rPr>
          <m:t>∈</m:t>
        </m:r>
        <m:r>
          <m:rPr>
            <m:sty m:val="p"/>
          </m:rPr>
          <m:t>[</m:t>
        </m:r>
        <m:r>
          <m:rPr>
            <m:sty m:val="p"/>
          </m:rPr>
          <m:t>−</m:t>
        </m:r>
        <m:r>
          <m:t>1</m:t>
        </m:r>
        <m:r>
          <m:rPr>
            <m:sty m:val="p"/>
          </m:rPr>
          <m:t>,</m:t>
        </m:r>
        <m:r>
          <m:t>1</m:t>
        </m:r>
        <m:sSup>
          <m:e>
            <m:r>
              <m:rPr>
                <m:sty m:val="p"/>
              </m:rPr>
              <m:t>]</m:t>
            </m:r>
          </m:e>
          <m:sup>
            <m:r>
              <m:t>4</m:t>
            </m:r>
          </m:sup>
        </m:sSup>
      </m:oMath>
      <w:r>
        <w:rPr>
          <w:rFonts w:ascii="Times New Roman" w:hAnsi="Times New Roman" w:eastAsia="Times New Roman"/>
          <w:sz w:val="20"/>
        </w:rPr>
        <w:t xml:space="preserve"> </w:t>
      </w:r>
      <w:r>
        <w:rPr>
          <w:rFonts w:ascii="Times New Roman" w:hAnsi="Times New Roman" w:eastAsia="Times New Roman"/>
          <w:sz w:val="20"/>
        </w:rPr>
        <w:t xml:space="preserve">removes the</w:t>
      </w:r>
      <w:r>
        <w:rPr>
          <w:rFonts w:ascii="Times New Roman" w:hAnsi="Times New Roman" w:eastAsia="Times New Roman"/>
          <w:sz w:val="20"/>
        </w:rPr>
        <w:t xml:space="preserve"> </w:t>
      </w:r>
      <m:oMath>
        <m:sSup>
          <m:e>
            <m:r>
              <m:t>0</m:t>
            </m:r>
          </m:e>
          <m:sup>
            <m:r>
              <m:rPr>
                <m:sty m:val="p"/>
              </m:rPr>
              <m:t>∘</m:t>
            </m:r>
          </m:sup>
        </m:sSup>
        <m:r>
          <m:rPr>
            <m:sty m:val="p"/>
          </m:rPr>
          <m:t>/</m:t>
        </m:r>
        <m:sSup>
          <m:e>
            <m:r>
              <m:t>360</m:t>
            </m:r>
          </m:e>
          <m:sup>
            <m:r>
              <m:rPr>
                <m:sty m:val="p"/>
              </m:rPr>
              <m:t>∘</m:t>
            </m:r>
          </m:sup>
        </m:sSup>
      </m:oMath>
      <w:r>
        <w:rPr>
          <w:rFonts w:ascii="Times New Roman" w:hAnsi="Times New Roman" w:eastAsia="Times New Roman"/>
          <w:sz w:val="20"/>
        </w:rPr>
        <w:t xml:space="preserve"> </w:t>
      </w:r>
      <w:r>
        <w:rPr>
          <w:rFonts w:ascii="Times New Roman" w:hAnsi="Times New Roman" w:eastAsia="Times New Roman"/>
          <w:sz w:val="20"/>
        </w:rPr>
        <w:t xml:space="preserve">circular branch-cut discontinuity of modular aspect representation</w:t>
      </w:r>
      <w:r>
        <w:rPr>
          <w:rFonts w:ascii="Times New Roman" w:hAnsi="Times New Roman" w:eastAsia="Times New Roman"/>
          <w:sz w:val="20"/>
        </w:rPr>
        <w:t xml:space="preserve"> </w:t>
      </w:r>
      <m:oMath>
        <m:r>
          <m:t>α</m:t>
        </m:r>
        <m:r>
          <m:t> </m:t>
        </m:r>
        <m:r>
          <m:rPr>
            <m:sty m:val="p"/>
          </m:rPr>
          <m:t>(</m:t>
        </m:r>
        <m:r>
          <m:rPr>
            <m:sty m:val="p"/>
          </m:rPr>
          <m:t>mod</m:t>
        </m:r>
        <m:r>
          <m:t> </m:t>
        </m:r>
        <m:sSup>
          <m:e>
            <m:r>
              <m:t>360</m:t>
            </m:r>
          </m:e>
          <m:sup>
            <m:r>
              <m:rPr>
                <m:sty m:val="p"/>
              </m:rPr>
              <m:t>∘</m:t>
            </m:r>
          </m:sup>
        </m:sSup>
        <m:r>
          <m:rPr>
            <m:sty m:val="p"/>
          </m:rPr>
          <m:t>)</m:t>
        </m:r>
      </m:oMath>
      <w:r>
        <w:rPr>
          <w:rFonts w:ascii="Times New Roman" w:hAnsi="Times New Roman" w:eastAsia="Times New Roman"/>
          <w:sz w:val="20"/>
        </w:rPr>
        <w:t xml:space="preserve">. In TopoRadar-Net, the multi-scale cross-attention mechanism uses SAR change features to query these regionally pooled geometric representations, dynamically conditioning feature activations on local terrain orientation.</w:t>
      </w:r>
    </w:p>
    <w:bookmarkEnd w:id="15"/>
    <w:bookmarkStart w:id="22" w:name="toporadar-net-architecture"/>
    <w:p>
      <w:pPr>
        <w:pStyle w:val="Heading2"/>
        <w:spacing w:after="0" w:line="240" w:lineRule="auto"/>
      </w:pPr>
      <w:r>
        <w:rPr>
          <w:rFonts w:ascii="Times New Roman" w:hAnsi="Times New Roman" w:eastAsia="Times New Roman"/>
          <w:sz w:val="20"/>
        </w:rPr>
        <w:t xml:space="preserve">TopoRadar-Net Architecture</w:t>
      </w:r>
    </w:p>
    <w:p>
      <w:pPr>
        <w:pStyle w:val="Figure"/>
        <w:spacing w:after="0" w:line="240" w:lineRule="auto"/>
      </w:pPr>
      <w:r>
        <w:rPr>
          <w:rFonts w:ascii="Times New Roman" w:hAnsi="Times New Roman" w:eastAsia="Times New Roman"/>
          <w:sz w:val="20"/>
        </w:rPr>
        <w:drawing>
          <wp:inline>
            <wp:extent cx="5120640" cy="2566416"/>
            <wp:effectExtent b="0" l="0" r="0" t="0"/>
            <wp:docPr descr="" title="" id="17" name="Picture"/>
            <a:graphic>
              <a:graphicData uri="http://schemas.openxmlformats.org/drawingml/2006/picture">
                <pic:pic>
                  <pic:nvPicPr>
                    <pic:cNvPr descr="fig_architecture.png" id="18" name="Picture"/>
                    <pic:cNvPicPr>
                      <a:picLocks noChangeArrowheads="1" noChangeAspect="1"/>
                    </pic:cNvPicPr>
                  </pic:nvPicPr>
                  <pic:blipFill>
                    <a:blip r:embed="rId16"/>
                    <a:stretch>
                      <a:fillRect/>
                    </a:stretch>
                  </pic:blipFill>
                  <pic:spPr bwMode="auto">
                    <a:xfrm>
                      <a:off x="0" y="0"/>
                      <a:ext cx="5120640" cy="2566416"/>
                    </a:xfrm>
                    <a:prstGeom prst="rect">
                      <a:avLst/>
                    </a:prstGeom>
                    <a:noFill/>
                    <a:ln w="9525">
                      <a:noFill/>
                      <a:headEnd/>
                      <a:tailEnd/>
                    </a:ln>
                  </pic:spPr>
                </pic:pic>
              </a:graphicData>
            </a:graphic>
          </wp:inline>
        </w:drawing>
      </w:r>
    </w:p>
    <w:p>
      <w:pPr>
        <w:pStyle w:val="FirstParagraph"/>
        <w:spacing w:after="0" w:line="240" w:lineRule="auto"/>
      </w:pPr>
      <w:r>
        <w:rPr>
          <w:rFonts w:ascii="Times New Roman" w:hAnsi="Times New Roman" w:eastAsia="Times New Roman"/>
          <w:b/>
          <w:bCs/>
          <w:sz w:val="20"/>
        </w:rPr>
        <w:t xml:space="preserve">Fig. 1.</w:t>
      </w:r>
      <w:r>
        <w:rPr>
          <w:rFonts w:ascii="Times New Roman" w:hAnsi="Times New Roman" w:eastAsia="Times New Roman"/>
          <w:sz w:val="20"/>
        </w:rPr>
        <w:t xml:space="preserve"> </w:t>
      </w:r>
      <w:r>
        <w:rPr>
          <w:rFonts w:ascii="Times New Roman" w:hAnsi="Times New Roman" w:eastAsia="Times New Roman"/>
          <w:sz w:val="20"/>
        </w:rPr>
        <w:t xml:space="preserve">Overall architecture of TopoRadar-Net. Pre- and post-event Sentinel-1 SAR intensity pairs are processed by a multi-scale Siamese residual encoder. Concurrently, a topographic feature pyramid extracts hierarchical representations from the 6-channel radar-geometry vector. At each decoder stage, the Radar-Topographic Cross-Attention Block (RTCAB) uses SAR difference features to query regionally-pooled terrain geometry, followed by spatial gating that conditions pixel features on terrain context. This simplified training schematic omits the ground-truth target input to Geo-Loss for clarity.</w:t>
      </w:r>
    </w:p>
    <w:p>
      <w:pPr>
        <w:pStyle w:val="BodyText"/>
        <w:spacing w:after="0" w:line="240" w:lineRule="auto"/>
      </w:pPr>
      <w:r>
        <w:rPr>
          <w:rFonts w:ascii="Times New Roman" w:hAnsi="Times New Roman" w:eastAsia="Times New Roman"/>
          <w:sz w:val="20"/>
        </w:rPr>
        <w:t xml:space="preserve">Fig. 1 illustrates the overall architecture of TopoRadar-Net. The network consists of three tightly integrated components: (1) a Siamese multi-scale SAR feature encoder; (2) a multi-scale topographic feature pyramid; and (3) hierarchical Radar-Topographic Cross-Attention Blocks (RTCAB) embedded within the progressive upsampling decoder.</w:t>
      </w:r>
    </w:p>
    <w:bookmarkStart w:id="19" w:name="siamese-multi-scale-sar-feature-encoder"/>
    <w:p>
      <w:pPr>
        <w:pStyle w:val="Heading3"/>
        <w:spacing w:after="0" w:line="240" w:lineRule="auto"/>
      </w:pPr>
      <w:r>
        <w:rPr>
          <w:rFonts w:ascii="Times New Roman" w:hAnsi="Times New Roman" w:eastAsia="Times New Roman"/>
          <w:sz w:val="20"/>
        </w:rPr>
        <w:t xml:space="preserve">Siamese Multi-Scale SAR Feature Encoder</w:t>
      </w:r>
    </w:p>
    <w:p>
      <w:pPr>
        <w:pStyle w:val="FirstParagraph"/>
        <w:spacing w:after="0" w:line="240" w:lineRule="auto"/>
      </w:pPr>
      <w:r>
        <w:rPr>
          <w:rFonts w:ascii="Times New Roman" w:hAnsi="Times New Roman" w:eastAsia="Times New Roman"/>
          <w:sz w:val="20"/>
        </w:rPr>
        <w:t xml:space="preserve">The pre-event SAR image</w:t>
      </w:r>
      <w:r>
        <w:rPr>
          <w:rFonts w:ascii="Times New Roman" w:hAnsi="Times New Roman" w:eastAsia="Times New Roman"/>
          <w:sz w:val="20"/>
        </w:rPr>
        <w:t xml:space="preserve"> </w:t>
      </w:r>
      <m:oMath>
        <m:sSub>
          <m:e>
            <m:r>
              <m:rPr>
                <m:sty m:val="bi"/>
              </m:rPr>
              <m:t>X</m:t>
            </m:r>
          </m:e>
          <m:sub>
            <m:r>
              <m:rPr>
                <m:nor/>
                <m:sty m:val="p"/>
              </m:rPr>
              <m:t>pre</m:t>
            </m:r>
          </m:sub>
        </m:sSub>
        <m:r>
          <m:rPr>
            <m:sty m:val="p"/>
          </m:rPr>
          <m:t>∈</m:t>
        </m:r>
        <m:sSup>
          <m:e>
            <m:r>
              <m:rPr>
                <m:scr m:val="double-struck"/>
                <m:sty m:val="p"/>
              </m:rPr>
              <m:t>R</m:t>
            </m:r>
          </m:e>
          <m:sup>
            <m:r>
              <m:t>2</m:t>
            </m:r>
            <m:r>
              <m:rPr>
                <m:sty m:val="p"/>
              </m:rPr>
              <m:t>×</m:t>
            </m:r>
            <m:r>
              <m:t>H</m:t>
            </m:r>
            <m:r>
              <m:rPr>
                <m:sty m:val="p"/>
              </m:rPr>
              <m:t>×</m:t>
            </m:r>
            <m:r>
              <m:t>W</m:t>
            </m:r>
          </m:sup>
        </m:sSup>
      </m:oMath>
      <w:r>
        <w:rPr>
          <w:rFonts w:ascii="Times New Roman" w:hAnsi="Times New Roman" w:eastAsia="Times New Roman"/>
          <w:sz w:val="20"/>
        </w:rPr>
        <w:t xml:space="preserve"> </w:t>
      </w:r>
      <w:r>
        <w:rPr>
          <w:rFonts w:ascii="Times New Roman" w:hAnsi="Times New Roman" w:eastAsia="Times New Roman"/>
          <w:sz w:val="20"/>
        </w:rPr>
        <w:t xml:space="preserve">and post-event SAR image</w:t>
      </w:r>
      <w:r>
        <w:rPr>
          <w:rFonts w:ascii="Times New Roman" w:hAnsi="Times New Roman" w:eastAsia="Times New Roman"/>
          <w:sz w:val="20"/>
        </w:rPr>
        <w:t xml:space="preserve"> </w:t>
      </w:r>
      <m:oMath>
        <m:sSub>
          <m:e>
            <m:r>
              <m:rPr>
                <m:sty m:val="bi"/>
              </m:rPr>
              <m:t>X</m:t>
            </m:r>
          </m:e>
          <m:sub>
            <m:r>
              <m:rPr>
                <m:nor/>
                <m:sty m:val="p"/>
              </m:rPr>
              <m:t>post</m:t>
            </m:r>
          </m:sub>
        </m:sSub>
        <m:r>
          <m:rPr>
            <m:sty m:val="p"/>
          </m:rPr>
          <m:t>∈</m:t>
        </m:r>
        <m:sSup>
          <m:e>
            <m:r>
              <m:rPr>
                <m:scr m:val="double-struck"/>
                <m:sty m:val="p"/>
              </m:rPr>
              <m:t>R</m:t>
            </m:r>
          </m:e>
          <m:sup>
            <m:r>
              <m:t>2</m:t>
            </m:r>
            <m:r>
              <m:rPr>
                <m:sty m:val="p"/>
              </m:rPr>
              <m:t>×</m:t>
            </m:r>
            <m:r>
              <m:t>H</m:t>
            </m:r>
            <m:r>
              <m:rPr>
                <m:sty m:val="p"/>
              </m:rPr>
              <m:t>×</m:t>
            </m:r>
            <m:r>
              <m:t>W</m:t>
            </m:r>
          </m:sup>
        </m:sSup>
      </m:oMath>
      <w:r>
        <w:rPr>
          <w:rFonts w:ascii="Times New Roman" w:hAnsi="Times New Roman" w:eastAsia="Times New Roman"/>
          <w:sz w:val="20"/>
        </w:rPr>
        <w:t xml:space="preserve"> </w:t>
      </w:r>
      <w:r>
        <w:rPr>
          <w:rFonts w:ascii="Times New Roman" w:hAnsi="Times New Roman" w:eastAsia="Times New Roman"/>
          <w:sz w:val="20"/>
        </w:rPr>
        <w:t xml:space="preserve">(containing dual-polarization VH and VV channels) are passed through four hierarchical residual convolutional stages with shared weights. Each stage</w:t>
      </w:r>
      <w:r>
        <w:rPr>
          <w:rFonts w:ascii="Times New Roman" w:hAnsi="Times New Roman" w:eastAsia="Times New Roman"/>
          <w:sz w:val="20"/>
        </w:rPr>
        <w:t xml:space="preserve"> </w:t>
      </w:r>
      <m:oMath>
        <m:r>
          <m:t>l</m:t>
        </m:r>
        <m:r>
          <m:rPr>
            <m:sty m:val="p"/>
          </m:rPr>
          <m:t>∈</m:t>
        </m:r>
        <m:r>
          <m:rPr>
            <m:sty m:val="p"/>
          </m:rPr>
          <m:t>{</m:t>
        </m:r>
        <m:r>
          <m:t>1</m:t>
        </m:r>
        <m:r>
          <m:rPr>
            <m:sty m:val="p"/>
          </m:rPr>
          <m:t>,</m:t>
        </m:r>
        <m:r>
          <m:t>2</m:t>
        </m:r>
        <m:r>
          <m:rPr>
            <m:sty m:val="p"/>
          </m:rPr>
          <m:t>,</m:t>
        </m:r>
        <m:r>
          <m:t>3</m:t>
        </m:r>
        <m:r>
          <m:rPr>
            <m:sty m:val="p"/>
          </m:rPr>
          <m:t>,</m:t>
        </m:r>
        <m:r>
          <m:t>4</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comprises two</w:t>
      </w:r>
      <w:r>
        <w:rPr>
          <w:rFonts w:ascii="Times New Roman" w:hAnsi="Times New Roman" w:eastAsia="Times New Roman"/>
          <w:sz w:val="20"/>
        </w:rPr>
        <w:t xml:space="preserve"> </w:t>
      </w:r>
      <m:oMath>
        <m:r>
          <m:t>3</m:t>
        </m:r>
        <m:r>
          <m:rPr>
            <m:sty m:val="p"/>
          </m:rPr>
          <m:t>×</m:t>
        </m:r>
        <m:r>
          <m:t>3</m:t>
        </m:r>
      </m:oMath>
      <w:r>
        <w:rPr>
          <w:rFonts w:ascii="Times New Roman" w:hAnsi="Times New Roman" w:eastAsia="Times New Roman"/>
          <w:sz w:val="20"/>
        </w:rPr>
        <w:t xml:space="preserve"> </w:t>
      </w:r>
      <w:r>
        <w:rPr>
          <w:rFonts w:ascii="Times New Roman" w:hAnsi="Times New Roman" w:eastAsia="Times New Roman"/>
          <w:sz w:val="20"/>
        </w:rPr>
        <w:t xml:space="preserve">convolutional layers with Batch Normalization, GELU activations, and a residual skip connection:</w:t>
      </w:r>
    </w:p>
    <w:p>
      <w:pPr>
        <w:pStyle w:val="BodyText"/>
        <w:spacing w:after="0" w:line="240" w:lineRule="auto"/>
      </w:pPr>
      <m:oMathPara>
        <m:oMathParaPr>
          <m:jc m:val="center"/>
        </m:oMathParaPr>
        <m:oMath>
          <m:sSubSup>
            <m:e>
              <m:r>
                <m:rPr>
                  <m:sty m:val="bi"/>
                </m:rPr>
                <m:t>F</m:t>
              </m:r>
            </m:e>
            <m:sub>
              <m:r>
                <m:rPr>
                  <m:nor/>
                  <m:sty m:val="p"/>
                </m:rPr>
                <m:t>pre</m:t>
              </m:r>
            </m:sub>
            <m:sup>
              <m:r>
                <m:t>l</m:t>
              </m:r>
            </m:sup>
          </m:sSubSup>
          <m:r>
            <m:rPr>
              <m:sty m:val="p"/>
            </m:rPr>
            <m:t>=</m:t>
          </m:r>
          <m:sSub>
            <m:e>
              <m:r>
                <m:rPr>
                  <m:scr m:val="script"/>
                  <m:sty m:val="p"/>
                </m:rPr>
                <m:t>E</m:t>
              </m:r>
            </m:e>
            <m:sub>
              <m:r>
                <m:t>l</m:t>
              </m:r>
            </m:sub>
          </m:sSub>
          <m:r>
            <m:rPr>
              <m:sty m:val="p"/>
            </m:rPr>
            <m:t>(</m:t>
          </m:r>
          <m:sSubSup>
            <m:e>
              <m:r>
                <m:rPr>
                  <m:sty m:val="bi"/>
                </m:rPr>
                <m:t>F</m:t>
              </m:r>
            </m:e>
            <m:sub>
              <m:r>
                <m:rPr>
                  <m:nor/>
                  <m:sty m:val="p"/>
                </m:rPr>
                <m:t>pre</m:t>
              </m:r>
            </m:sub>
            <m:sup>
              <m:r>
                <m:t>l</m:t>
              </m:r>
              <m:r>
                <m:rPr>
                  <m:sty m:val="p"/>
                </m:rPr>
                <m:t>−</m:t>
              </m:r>
              <m:r>
                <m:t>1</m:t>
              </m:r>
            </m:sup>
          </m:sSubSup>
          <m:r>
            <m:rPr>
              <m:sty m:val="p"/>
            </m:rPr>
            <m:t>)</m:t>
          </m:r>
          <m:r>
            <m:rPr>
              <m:sty m:val="p"/>
            </m:rPr>
            <m:t>,</m:t>
          </m:r>
          <m:r>
            <m:t> </m:t>
          </m:r>
          <m:sSubSup>
            <m:e>
              <m:r>
                <m:rPr>
                  <m:sty m:val="bi"/>
                </m:rPr>
                <m:t>F</m:t>
              </m:r>
            </m:e>
            <m:sub>
              <m:r>
                <m:rPr>
                  <m:nor/>
                  <m:sty m:val="p"/>
                </m:rPr>
                <m:t>post</m:t>
              </m:r>
            </m:sub>
            <m:sup>
              <m:r>
                <m:t>l</m:t>
              </m:r>
            </m:sup>
          </m:sSubSup>
          <m:r>
            <m:rPr>
              <m:sty m:val="p"/>
            </m:rPr>
            <m:t>=</m:t>
          </m:r>
          <m:sSub>
            <m:e>
              <m:r>
                <m:rPr>
                  <m:scr m:val="script"/>
                  <m:sty m:val="p"/>
                </m:rPr>
                <m:t>E</m:t>
              </m:r>
            </m:e>
            <m:sub>
              <m:r>
                <m:t>l</m:t>
              </m:r>
            </m:sub>
          </m:sSub>
          <m:r>
            <m:rPr>
              <m:sty m:val="p"/>
            </m:rPr>
            <m:t>(</m:t>
          </m:r>
          <m:sSubSup>
            <m:e>
              <m:r>
                <m:rPr>
                  <m:sty m:val="bi"/>
                </m:rPr>
                <m:t>F</m:t>
              </m:r>
            </m:e>
            <m:sub>
              <m:r>
                <m:rPr>
                  <m:nor/>
                  <m:sty m:val="p"/>
                </m:rPr>
                <m:t>post</m:t>
              </m:r>
            </m:sub>
            <m:sup>
              <m:r>
                <m:t>l</m:t>
              </m:r>
              <m:r>
                <m:rPr>
                  <m:sty m:val="p"/>
                </m:rPr>
                <m:t>−</m:t>
              </m:r>
              <m:r>
                <m:t>1</m:t>
              </m:r>
            </m:sup>
          </m:sSubSup>
          <m:r>
            <m:rPr>
              <m:sty m:val="p"/>
            </m:rPr>
            <m:t>)</m:t>
          </m:r>
        </m:oMath>
      </m:oMathPara>
    </w:p>
    <w:p>
      <w:pPr>
        <w:pStyle w:val="FirstParagraph"/>
        <w:spacing w:after="0" w:line="240" w:lineRule="auto"/>
      </w:pPr>
      <w:r>
        <w:rPr>
          <w:rFonts w:ascii="Times New Roman" w:hAnsi="Times New Roman" w:eastAsia="Times New Roman"/>
          <w:sz w:val="20"/>
        </w:rPr>
        <w:t xml:space="preserve">yielding feature representations at spatial resolutions</w:t>
      </w:r>
      <w:r>
        <w:rPr>
          <w:rFonts w:ascii="Times New Roman" w:hAnsi="Times New Roman" w:eastAsia="Times New Roman"/>
          <w:sz w:val="20"/>
        </w:rPr>
        <w:t xml:space="preserve"> </w:t>
      </w:r>
      <m:oMath>
        <m:r>
          <m:t>H</m:t>
        </m:r>
        <m:r>
          <m:rPr>
            <m:sty m:val="p"/>
          </m:rPr>
          <m:t>/</m:t>
        </m:r>
        <m:sSup>
          <m:e>
            <m:r>
              <m:t>2</m:t>
            </m:r>
          </m:e>
          <m:sup>
            <m:r>
              <m:t>l</m:t>
            </m:r>
            <m:r>
              <m:rPr>
                <m:sty m:val="p"/>
              </m:rPr>
              <m:t>−</m:t>
            </m:r>
            <m:r>
              <m:t>1</m:t>
            </m:r>
          </m:sup>
        </m:sSup>
        <m:r>
          <m:rPr>
            <m:sty m:val="p"/>
          </m:rPr>
          <m:t>×</m:t>
        </m:r>
        <m:r>
          <m:t>W</m:t>
        </m:r>
        <m:r>
          <m:rPr>
            <m:sty m:val="p"/>
          </m:rPr>
          <m:t>/</m:t>
        </m:r>
        <m:sSup>
          <m:e>
            <m:r>
              <m:t>2</m:t>
            </m:r>
          </m:e>
          <m:sup>
            <m:r>
              <m:t>l</m:t>
            </m:r>
            <m:r>
              <m:rPr>
                <m:sty m:val="p"/>
              </m:rPr>
              <m:t>−</m:t>
            </m:r>
            <m:r>
              <m:t>1</m:t>
            </m:r>
          </m:sup>
        </m:sSup>
      </m:oMath>
      <w:r>
        <w:rPr>
          <w:rFonts w:ascii="Times New Roman" w:hAnsi="Times New Roman" w:eastAsia="Times New Roman"/>
          <w:sz w:val="20"/>
        </w:rPr>
        <w:t xml:space="preserve"> </w:t>
      </w:r>
      <w:r>
        <w:rPr>
          <w:rFonts w:ascii="Times New Roman" w:hAnsi="Times New Roman" w:eastAsia="Times New Roman"/>
          <w:sz w:val="20"/>
        </w:rPr>
        <w:t xml:space="preserve">with channel dimensions</w:t>
      </w:r>
      <w:r>
        <w:rPr>
          <w:rFonts w:ascii="Times New Roman" w:hAnsi="Times New Roman" w:eastAsia="Times New Roman"/>
          <w:sz w:val="20"/>
        </w:rPr>
        <w:t xml:space="preserve"> </w:t>
      </w:r>
      <m:oMath>
        <m:sSub>
          <m:e>
            <m:r>
              <m:t>C</m:t>
            </m:r>
          </m:e>
          <m:sub>
            <m:r>
              <m:t>l</m:t>
            </m:r>
          </m:sub>
        </m:sSub>
        <m:r>
          <m:rPr>
            <m:sty m:val="p"/>
          </m:rPr>
          <m:t>∈</m:t>
        </m:r>
        <m:r>
          <m:rPr>
            <m:sty m:val="p"/>
          </m:rPr>
          <m:t>{</m:t>
        </m:r>
        <m:r>
          <m:t>32</m:t>
        </m:r>
        <m:r>
          <m:rPr>
            <m:sty m:val="p"/>
          </m:rPr>
          <m:t>,</m:t>
        </m:r>
        <m:r>
          <m:t>64</m:t>
        </m:r>
        <m:r>
          <m:rPr>
            <m:sty m:val="p"/>
          </m:rPr>
          <m:t>,</m:t>
        </m:r>
        <m:r>
          <m:t>128</m:t>
        </m:r>
        <m:r>
          <m:rPr>
            <m:sty m:val="p"/>
          </m:rPr>
          <m:t>,</m:t>
        </m:r>
        <m:r>
          <m:t>256</m:t>
        </m:r>
        <m:r>
          <m:rPr>
            <m:sty m:val="p"/>
          </m:rPr>
          <m:t>}</m:t>
        </m:r>
      </m:oMath>
      <w:r>
        <w:rPr>
          <w:rFonts w:ascii="Times New Roman" w:hAnsi="Times New Roman" w:eastAsia="Times New Roman"/>
          <w:sz w:val="20"/>
        </w:rPr>
        <w:t xml:space="preserve">.</w:t>
      </w:r>
    </w:p>
    <w:p>
      <w:pPr>
        <w:pStyle w:val="BodyText"/>
        <w:spacing w:after="0" w:line="240" w:lineRule="auto"/>
      </w:pPr>
      <w:r>
        <w:rPr>
          <w:rFonts w:ascii="Times New Roman" w:hAnsi="Times New Roman" w:eastAsia="Times New Roman"/>
          <w:sz w:val="20"/>
        </w:rPr>
        <w:t xml:space="preserve">At each scale, the bi-temporal features are fused by concatenating the signed difference, the post-event features, and the pre-event features, followed by a</w:t>
      </w:r>
      <w:r>
        <w:rPr>
          <w:rFonts w:ascii="Times New Roman" w:hAnsi="Times New Roman" w:eastAsia="Times New Roman"/>
          <w:sz w:val="20"/>
        </w:rPr>
        <w:t xml:space="preserve"> </w:t>
      </w:r>
      <m:oMath>
        <m:r>
          <m:t>1</m:t>
        </m:r>
        <m:r>
          <m:rPr>
            <m:sty m:val="p"/>
          </m:rPr>
          <m:t>×</m:t>
        </m:r>
        <m:r>
          <m:t>1</m:t>
        </m:r>
      </m:oMath>
      <w:r>
        <w:rPr>
          <w:rFonts w:ascii="Times New Roman" w:hAnsi="Times New Roman" w:eastAsia="Times New Roman"/>
          <w:sz w:val="20"/>
        </w:rPr>
        <w:t xml:space="preserve"> </w:t>
      </w:r>
      <w:r>
        <w:rPr>
          <w:rFonts w:ascii="Times New Roman" w:hAnsi="Times New Roman" w:eastAsia="Times New Roman"/>
          <w:sz w:val="20"/>
        </w:rPr>
        <w:t xml:space="preserve">linear projection:</w:t>
      </w:r>
    </w:p>
    <w:p>
      <w:pPr>
        <w:pStyle w:val="BodyText"/>
        <w:spacing w:after="0" w:line="240" w:lineRule="auto"/>
      </w:pPr>
      <m:oMathPara>
        <m:oMathParaPr>
          <m:jc m:val="center"/>
        </m:oMathParaPr>
        <m:oMath>
          <m:sSubSup>
            <m:e>
              <m:r>
                <m:rPr>
                  <m:sty m:val="bi"/>
                </m:rPr>
                <m:t>F</m:t>
              </m:r>
            </m:e>
            <m:sub>
              <m:r>
                <m:rPr>
                  <m:nor/>
                  <m:sty m:val="p"/>
                </m:rPr>
                <m:t>diff</m:t>
              </m:r>
            </m:sub>
            <m:sup>
              <m:r>
                <m:t>l</m:t>
              </m:r>
            </m:sup>
          </m:sSubSup>
          <m:r>
            <m:rPr>
              <m:sty m:val="p"/>
            </m:rPr>
            <m:t>=</m:t>
          </m:r>
          <m:sSub>
            <m:e>
              <m:r>
                <m:rPr>
                  <m:nor/>
                  <m:sty m:val="p"/>
                </m:rPr>
                <m:t>Conv</m:t>
              </m:r>
            </m:e>
            <m:sub>
              <m:r>
                <m:t>1</m:t>
              </m:r>
              <m:r>
                <m:rPr>
                  <m:sty m:val="p"/>
                </m:rPr>
                <m:t>×</m:t>
              </m:r>
              <m:r>
                <m:t>1</m:t>
              </m:r>
            </m:sub>
          </m:sSub>
          <m:d>
            <m:dPr>
              <m:begChr m:val="("/>
              <m:sepChr m:val=""/>
              <m:endChr m:val=")"/>
              <m:grow/>
            </m:dPr>
            <m:e>
              <m:d>
                <m:dPr>
                  <m:begChr m:val="["/>
                  <m:sepChr m:val=""/>
                  <m:endChr m:val="]"/>
                  <m:grow/>
                </m:dPr>
                <m:e>
                  <m:sSubSup>
                    <m:e>
                      <m:r>
                        <m:rPr>
                          <m:sty m:val="bi"/>
                        </m:rPr>
                        <m:t>F</m:t>
                      </m:r>
                    </m:e>
                    <m:sub>
                      <m:r>
                        <m:rPr>
                          <m:nor/>
                          <m:sty m:val="p"/>
                        </m:rPr>
                        <m:t>post</m:t>
                      </m:r>
                    </m:sub>
                    <m:sup>
                      <m:r>
                        <m:t>l</m:t>
                      </m:r>
                    </m:sup>
                  </m:sSubSup>
                  <m:r>
                    <m:rPr>
                      <m:sty m:val="p"/>
                    </m:rPr>
                    <m:t>−</m:t>
                  </m:r>
                  <m:sSubSup>
                    <m:e>
                      <m:r>
                        <m:rPr>
                          <m:sty m:val="bi"/>
                        </m:rPr>
                        <m:t>F</m:t>
                      </m:r>
                    </m:e>
                    <m:sub>
                      <m:r>
                        <m:rPr>
                          <m:nor/>
                          <m:sty m:val="p"/>
                        </m:rPr>
                        <m:t>pre</m:t>
                      </m:r>
                    </m:sub>
                    <m:sup>
                      <m:r>
                        <m:t>l</m:t>
                      </m:r>
                    </m:sup>
                  </m:sSubSup>
                  <m:r>
                    <m:rPr>
                      <m:sty m:val="p"/>
                    </m:rPr>
                    <m:t>,</m:t>
                  </m:r>
                  <m:r>
                    <m:t> </m:t>
                  </m:r>
                  <m:sSubSup>
                    <m:e>
                      <m:r>
                        <m:rPr>
                          <m:sty m:val="bi"/>
                        </m:rPr>
                        <m:t>F</m:t>
                      </m:r>
                    </m:e>
                    <m:sub>
                      <m:r>
                        <m:rPr>
                          <m:nor/>
                          <m:sty m:val="p"/>
                        </m:rPr>
                        <m:t>post</m:t>
                      </m:r>
                    </m:sub>
                    <m:sup>
                      <m:r>
                        <m:t>l</m:t>
                      </m:r>
                    </m:sup>
                  </m:sSubSup>
                  <m:r>
                    <m:rPr>
                      <m:sty m:val="p"/>
                    </m:rPr>
                    <m:t>,</m:t>
                  </m:r>
                  <m:r>
                    <m:t> </m:t>
                  </m:r>
                  <m:sSubSup>
                    <m:e>
                      <m:r>
                        <m:rPr>
                          <m:sty m:val="bi"/>
                        </m:rPr>
                        <m:t>F</m:t>
                      </m:r>
                    </m:e>
                    <m:sub>
                      <m:r>
                        <m:rPr>
                          <m:nor/>
                          <m:sty m:val="p"/>
                        </m:rPr>
                        <m:t>pre</m:t>
                      </m:r>
                    </m:sub>
                    <m:sup>
                      <m:r>
                        <m:t>l</m:t>
                      </m:r>
                    </m:sup>
                  </m:sSubSup>
                </m:e>
              </m:d>
            </m:e>
          </m:d>
        </m:oMath>
      </m:oMathPara>
    </w:p>
    <w:p>
      <w:pPr>
        <w:pStyle w:val="FirstParagraph"/>
        <w:spacing w:after="0" w:line="240" w:lineRule="auto"/>
      </w:pPr>
      <w:r>
        <w:rPr>
          <w:rFonts w:ascii="Times New Roman" w:hAnsi="Times New Roman" w:eastAsia="Times New Roman"/>
          <w:sz w:val="20"/>
        </w:rPr>
        <w:t xml:space="preserve">This formulation preserves both directional backscatter changes (</w:t>
      </w:r>
      <m:oMath>
        <m:sSubSup>
          <m:e>
            <m:r>
              <m:rPr>
                <m:sty m:val="bi"/>
              </m:rPr>
              <m:t>F</m:t>
            </m:r>
          </m:e>
          <m:sub>
            <m:r>
              <m:rPr>
                <m:nor/>
                <m:sty m:val="p"/>
              </m:rPr>
              <m:t>post</m:t>
            </m:r>
          </m:sub>
          <m:sup>
            <m:r>
              <m:t>l</m:t>
            </m:r>
          </m:sup>
        </m:sSubSup>
        <m:r>
          <m:rPr>
            <m:sty m:val="p"/>
          </m:rPr>
          <m:t>−</m:t>
        </m:r>
        <m:sSubSup>
          <m:e>
            <m:r>
              <m:rPr>
                <m:sty m:val="bi"/>
              </m:rPr>
              <m:t>F</m:t>
            </m:r>
          </m:e>
          <m:sub>
            <m:r>
              <m:rPr>
                <m:nor/>
                <m:sty m:val="p"/>
              </m:rPr>
              <m:t>pre</m:t>
            </m:r>
          </m:sub>
          <m:sup>
            <m:r>
              <m:t>l</m:t>
            </m:r>
          </m:sup>
        </m:sSubSup>
      </m:oMath>
      <w:r>
        <w:rPr>
          <w:rFonts w:ascii="Times New Roman" w:hAnsi="Times New Roman" w:eastAsia="Times New Roman"/>
          <w:sz w:val="20"/>
        </w:rPr>
        <w:t xml:space="preserve">) and baseline radiometric context (</w:t>
      </w:r>
      <m:oMath>
        <m:sSubSup>
          <m:e>
            <m:r>
              <m:rPr>
                <m:sty m:val="bi"/>
              </m:rPr>
              <m:t>F</m:t>
            </m:r>
          </m:e>
          <m:sub>
            <m:r>
              <m:rPr>
                <m:nor/>
                <m:sty m:val="p"/>
              </m:rPr>
              <m:t>pre</m:t>
            </m:r>
          </m:sub>
          <m:sup>
            <m:r>
              <m:t>l</m:t>
            </m:r>
          </m:sup>
        </m:sSubSup>
        <m:r>
          <m:rPr>
            <m:sty m:val="p"/>
          </m:rPr>
          <m:t>,</m:t>
        </m:r>
        <m:sSubSup>
          <m:e>
            <m:r>
              <m:rPr>
                <m:sty m:val="bi"/>
              </m:rPr>
              <m:t>F</m:t>
            </m:r>
          </m:e>
          <m:sub>
            <m:r>
              <m:rPr>
                <m:nor/>
                <m:sty m:val="p"/>
              </m:rPr>
              <m:t>post</m:t>
            </m:r>
          </m:sub>
          <m:sup>
            <m:r>
              <m:t>l</m:t>
            </m:r>
          </m:sup>
        </m:sSubSup>
      </m:oMath>
      <w:r>
        <w:rPr>
          <w:rFonts w:ascii="Times New Roman" w:hAnsi="Times New Roman" w:eastAsia="Times New Roman"/>
          <w:sz w:val="20"/>
        </w:rPr>
        <w:t xml:space="preserve">).</w:t>
      </w:r>
    </w:p>
    <w:bookmarkEnd w:id="19"/>
    <w:bookmarkStart w:id="20" w:name="topographic-feature-pyramid"/>
    <w:p>
      <w:pPr>
        <w:pStyle w:val="Heading3"/>
        <w:spacing w:after="0" w:line="240" w:lineRule="auto"/>
      </w:pPr>
      <w:r>
        <w:rPr>
          <w:rFonts w:ascii="Times New Roman" w:hAnsi="Times New Roman" w:eastAsia="Times New Roman"/>
          <w:sz w:val="20"/>
        </w:rPr>
        <w:t xml:space="preserve">Topographic Feature Pyramid</w:t>
      </w:r>
    </w:p>
    <w:p>
      <w:pPr>
        <w:pStyle w:val="FirstParagraph"/>
        <w:spacing w:after="0" w:line="240" w:lineRule="auto"/>
      </w:pPr>
      <w:r>
        <w:rPr>
          <w:rFonts w:ascii="Times New Roman" w:hAnsi="Times New Roman" w:eastAsia="Times New Roman"/>
          <w:sz w:val="20"/>
        </w:rPr>
        <w:t xml:space="preserve">In parallel, the continuous 6-channel terrain geometry tensor</w:t>
      </w:r>
      <w:r>
        <w:rPr>
          <w:rFonts w:ascii="Times New Roman" w:hAnsi="Times New Roman" w:eastAsia="Times New Roman"/>
          <w:sz w:val="20"/>
        </w:rPr>
        <w:t xml:space="preserve"> </w:t>
      </w:r>
      <m:oMath>
        <m:r>
          <m:rPr>
            <m:sty m:val="bi"/>
          </m:rPr>
          <m:t>G</m:t>
        </m:r>
        <m:r>
          <m:rPr>
            <m:sty m:val="p"/>
          </m:rPr>
          <m:t>∈</m:t>
        </m:r>
        <m:sSup>
          <m:e>
            <m:r>
              <m:rPr>
                <m:scr m:val="double-struck"/>
                <m:sty m:val="p"/>
              </m:rPr>
              <m:t>R</m:t>
            </m:r>
          </m:e>
          <m:sup>
            <m:r>
              <m:t>6</m:t>
            </m:r>
            <m:r>
              <m:rPr>
                <m:sty m:val="p"/>
              </m:rPr>
              <m:t>×</m:t>
            </m:r>
            <m:r>
              <m:t>H</m:t>
            </m:r>
            <m:r>
              <m:rPr>
                <m:sty m:val="p"/>
              </m:rPr>
              <m:t>×</m:t>
            </m:r>
            <m:r>
              <m:t>W</m:t>
            </m:r>
          </m:sup>
        </m:sSup>
      </m:oMath>
      <w:r>
        <w:rPr>
          <w:rFonts w:ascii="Times New Roman" w:hAnsi="Times New Roman" w:eastAsia="Times New Roman"/>
          <w:sz w:val="20"/>
        </w:rPr>
        <w:t xml:space="preserve"> </w:t>
      </w:r>
      <w:r>
        <w:rPr>
          <w:rFonts w:ascii="Times New Roman" w:hAnsi="Times New Roman" w:eastAsia="Times New Roman"/>
          <w:sz w:val="20"/>
        </w:rPr>
        <w:t xml:space="preserve">defined in Eq. (5) is processed by a dedicated lightweight multi-scale convolutional subnetwork:</w:t>
      </w:r>
    </w:p>
    <w:p>
      <w:pPr>
        <w:pStyle w:val="BodyText"/>
        <w:spacing w:after="0" w:line="240" w:lineRule="auto"/>
      </w:pPr>
      <m:oMathPara>
        <m:oMathParaPr>
          <m:jc m:val="center"/>
        </m:oMathParaPr>
        <m:oMath>
          <m:sSup>
            <m:e>
              <m:r>
                <m:rPr>
                  <m:sty m:val="bi"/>
                </m:rPr>
                <m:t>T</m:t>
              </m:r>
            </m:e>
            <m:sup>
              <m:r>
                <m:t>l</m:t>
              </m:r>
            </m:sup>
          </m:sSup>
          <m:r>
            <m:rPr>
              <m:sty m:val="p"/>
            </m:rPr>
            <m:t>=</m:t>
          </m:r>
          <m:sSub>
            <m:e>
              <m:r>
                <m:rPr>
                  <m:scr m:val="script"/>
                  <m:sty m:val="p"/>
                </m:rPr>
                <m:t>T</m:t>
              </m:r>
            </m:e>
            <m:sub>
              <m:r>
                <m:t>l</m:t>
              </m:r>
            </m:sub>
          </m:sSub>
          <m:r>
            <m:rPr>
              <m:sty m:val="p"/>
            </m:rPr>
            <m:t>(</m:t>
          </m:r>
          <m:sSup>
            <m:e>
              <m:r>
                <m:rPr>
                  <m:sty m:val="bi"/>
                </m:rPr>
                <m:t>T</m:t>
              </m:r>
            </m:e>
            <m:sup>
              <m:r>
                <m:t>l</m:t>
              </m:r>
              <m:r>
                <m:rPr>
                  <m:sty m:val="p"/>
                </m:rPr>
                <m:t>−</m:t>
              </m:r>
              <m:r>
                <m:t>1</m:t>
              </m:r>
            </m:sup>
          </m:sSup>
          <m:r>
            <m:rPr>
              <m:sty m:val="p"/>
            </m:rPr>
            <m:t>)</m:t>
          </m:r>
          <m:r>
            <m:rPr>
              <m:sty m:val="p"/>
            </m:rPr>
            <m:t>,</m:t>
          </m:r>
          <m:r>
            <m:t> </m:t>
          </m:r>
          <m:r>
            <m:t>l</m:t>
          </m:r>
          <m:r>
            <m:rPr>
              <m:sty m:val="p"/>
            </m:rPr>
            <m:t>∈</m:t>
          </m:r>
          <m:r>
            <m:rPr>
              <m:sty m:val="p"/>
            </m:rPr>
            <m:t>{</m:t>
          </m:r>
          <m:r>
            <m:t>1</m:t>
          </m:r>
          <m:r>
            <m:rPr>
              <m:sty m:val="p"/>
            </m:rPr>
            <m:t>,</m:t>
          </m:r>
          <m:r>
            <m:t>2</m:t>
          </m:r>
          <m:r>
            <m:rPr>
              <m:sty m:val="p"/>
            </m:rPr>
            <m:t>,</m:t>
          </m:r>
          <m:r>
            <m:t>3</m:t>
          </m:r>
          <m:r>
            <m:rPr>
              <m:sty m:val="p"/>
            </m:rPr>
            <m:t>,</m:t>
          </m:r>
          <m:r>
            <m:t>4</m:t>
          </m:r>
          <m:r>
            <m:rPr>
              <m:sty m:val="p"/>
            </m:rPr>
            <m:t>}</m:t>
          </m:r>
        </m:oMath>
      </m:oMathPara>
    </w:p>
    <w:p>
      <w:pPr>
        <w:pStyle w:val="FirstParagraph"/>
        <w:spacing w:after="0" w:line="240" w:lineRule="auto"/>
      </w:pPr>
      <w:r>
        <w:rPr>
          <w:rFonts w:ascii="Times New Roman" w:hAnsi="Times New Roman" w:eastAsia="Times New Roman"/>
          <w:sz w:val="20"/>
        </w:rPr>
        <w:t xml:space="preserve">producing hierarchical topographic feature maps</w:t>
      </w:r>
      <w:r>
        <w:rPr>
          <w:rFonts w:ascii="Times New Roman" w:hAnsi="Times New Roman" w:eastAsia="Times New Roman"/>
          <w:sz w:val="20"/>
        </w:rPr>
        <w:t xml:space="preserve"> </w:t>
      </w:r>
      <m:oMath>
        <m:sSup>
          <m:e>
            <m:r>
              <m:rPr>
                <m:sty m:val="bi"/>
              </m:rPr>
              <m:t>T</m:t>
            </m:r>
          </m:e>
          <m:sup>
            <m:r>
              <m:t>l</m:t>
            </m:r>
          </m:sup>
        </m:sSup>
        <m:r>
          <m:rPr>
            <m:sty m:val="p"/>
          </m:rPr>
          <m:t>∈</m:t>
        </m:r>
        <m:sSup>
          <m:e>
            <m:r>
              <m:rPr>
                <m:scr m:val="double-struck"/>
                <m:sty m:val="p"/>
              </m:rPr>
              <m:t>R</m:t>
            </m:r>
          </m:e>
          <m:sup>
            <m:sSub>
              <m:e>
                <m:r>
                  <m:t>C</m:t>
                </m:r>
              </m:e>
              <m:sub>
                <m:r>
                  <m:t>l</m:t>
                </m:r>
              </m:sub>
            </m:sSub>
            <m:r>
              <m:rPr>
                <m:sty m:val="p"/>
              </m:rPr>
              <m:t>×</m:t>
            </m:r>
            <m:sSub>
              <m:e>
                <m:r>
                  <m:t>H</m:t>
                </m:r>
              </m:e>
              <m:sub>
                <m:r>
                  <m:t>l</m:t>
                </m:r>
              </m:sub>
            </m:sSub>
            <m:r>
              <m:rPr>
                <m:sty m:val="p"/>
              </m:rPr>
              <m:t>×</m:t>
            </m:r>
            <m:sSub>
              <m:e>
                <m:r>
                  <m:t>W</m:t>
                </m:r>
              </m:e>
              <m:sub>
                <m:r>
                  <m:t>l</m:t>
                </m:r>
              </m:sub>
            </m:sSub>
          </m:sup>
        </m:sSup>
      </m:oMath>
      <w:r>
        <w:rPr>
          <w:rFonts w:ascii="Times New Roman" w:hAnsi="Times New Roman" w:eastAsia="Times New Roman"/>
          <w:sz w:val="20"/>
        </w:rPr>
        <w:t xml:space="preserve"> </w:t>
      </w:r>
      <w:r>
        <w:rPr>
          <w:rFonts w:ascii="Times New Roman" w:hAnsi="Times New Roman" w:eastAsia="Times New Roman"/>
          <w:sz w:val="20"/>
        </w:rPr>
        <w:t xml:space="preserve">matching the spatial resolution and channel depth of the SAR difference features.</w:t>
      </w:r>
    </w:p>
    <w:bookmarkEnd w:id="20"/>
    <w:bookmarkStart w:id="21" w:name="Xd00db75f520e15fba57c43540338584ce6d50b0"/>
    <w:p>
      <w:pPr>
        <w:pStyle w:val="Heading3"/>
        <w:spacing w:after="0" w:line="240" w:lineRule="auto"/>
      </w:pPr>
      <w:r>
        <w:rPr>
          <w:rFonts w:ascii="Times New Roman" w:hAnsi="Times New Roman" w:eastAsia="Times New Roman"/>
          <w:sz w:val="20"/>
        </w:rPr>
        <w:t xml:space="preserve">Radar-Topographic Cross-Attention Block (RTCAB)</w:t>
      </w:r>
    </w:p>
    <w:p>
      <w:pPr>
        <w:pStyle w:val="FirstParagraph"/>
        <w:spacing w:after="0" w:line="240" w:lineRule="auto"/>
      </w:pPr>
      <w:r>
        <w:rPr>
          <w:rFonts w:ascii="Times New Roman" w:hAnsi="Times New Roman" w:eastAsia="Times New Roman"/>
          <w:sz w:val="20"/>
        </w:rPr>
        <w:t xml:space="preserve">To condition the SAR change representations on terrain geometry without memory explosion, we design the RTCAB module. Rather than computing full</w:t>
      </w:r>
      <w:r>
        <w:rPr>
          <w:rFonts w:ascii="Times New Roman" w:hAnsi="Times New Roman" w:eastAsia="Times New Roman"/>
          <w:sz w:val="20"/>
        </w:rPr>
        <w:t xml:space="preserve"> </w:t>
      </w:r>
      <m:oMath>
        <m:r>
          <m:t>N</m:t>
        </m:r>
        <m:r>
          <m:rPr>
            <m:sty m:val="p"/>
          </m:rPr>
          <m:t>×</m:t>
        </m:r>
        <m:r>
          <m:t>N</m:t>
        </m:r>
      </m:oMath>
      <w:r>
        <w:rPr>
          <w:rFonts w:ascii="Times New Roman" w:hAnsi="Times New Roman" w:eastAsia="Times New Roman"/>
          <w:sz w:val="20"/>
        </w:rPr>
        <w:t xml:space="preserve"> </w:t>
      </w:r>
      <w:r>
        <w:rPr>
          <w:rFonts w:ascii="Times New Roman" w:hAnsi="Times New Roman" w:eastAsia="Times New Roman"/>
          <w:sz w:val="20"/>
        </w:rPr>
        <w:t xml:space="preserve">self-attention (which scales quadratically with</w:t>
      </w:r>
      <w:r>
        <w:rPr>
          <w:rFonts w:ascii="Times New Roman" w:hAnsi="Times New Roman" w:eastAsia="Times New Roman"/>
          <w:sz w:val="20"/>
        </w:rPr>
        <w:t xml:space="preserve"> </w:t>
      </w:r>
      <m:oMath>
        <m:sSub>
          <m:e>
            <m:r>
              <m:t>H</m:t>
            </m:r>
          </m:e>
          <m:sub>
            <m:r>
              <m:t>l</m:t>
            </m:r>
          </m:sub>
        </m:sSub>
        <m:r>
          <m:rPr>
            <m:sty m:val="p"/>
          </m:rPr>
          <m:t>×</m:t>
        </m:r>
        <m:sSub>
          <m:e>
            <m:r>
              <m:t>W</m:t>
            </m:r>
          </m:e>
          <m:sub>
            <m:r>
              <m:t>l</m:t>
            </m:r>
          </m:sub>
        </m:sSub>
      </m:oMath>
      <w:r>
        <w:rPr>
          <w:rFonts w:ascii="Times New Roman" w:hAnsi="Times New Roman" w:eastAsia="Times New Roman"/>
          <w:sz w:val="20"/>
        </w:rPr>
        <w:t xml:space="preserve"> </w:t>
      </w:r>
      <w:r>
        <w:rPr>
          <w:rFonts w:ascii="Times New Roman" w:hAnsi="Times New Roman" w:eastAsia="Times New Roman"/>
          <w:sz w:val="20"/>
        </w:rPr>
        <w:t xml:space="preserve">and exceeds GPU memory on high-resolution satellite tiles), RTCAB treats the full-resolution SAR change features as Queries (</w:t>
      </w:r>
      <m:oMath>
        <m:r>
          <m:rPr>
            <m:sty m:val="bi"/>
          </m:rPr>
          <m:t>Q</m:t>
        </m:r>
      </m:oMath>
      <w:r>
        <w:rPr>
          <w:rFonts w:ascii="Times New Roman" w:hAnsi="Times New Roman" w:eastAsia="Times New Roman"/>
          <w:sz w:val="20"/>
        </w:rPr>
        <w:t xml:space="preserve">), while adaptively pooling the topographic geometry into a regional spatial context grid of size</w:t>
      </w:r>
      <w:r>
        <w:rPr>
          <w:rFonts w:ascii="Times New Roman" w:hAnsi="Times New Roman" w:eastAsia="Times New Roman"/>
          <w:sz w:val="20"/>
        </w:rPr>
        <w:t xml:space="preserve"> </w:t>
      </w:r>
      <m:oMath>
        <m:r>
          <m:t>M</m:t>
        </m:r>
        <m:r>
          <m:rPr>
            <m:sty m:val="p"/>
          </m:rPr>
          <m:t>=</m:t>
        </m:r>
        <m:r>
          <m:t>k</m:t>
        </m:r>
        <m:r>
          <m:rPr>
            <m:sty m:val="p"/>
          </m:rPr>
          <m:t>×</m:t>
        </m:r>
        <m:r>
          <m:t>k</m:t>
        </m:r>
      </m:oMath>
      <w:r>
        <w:rPr>
          <w:rFonts w:ascii="Times New Roman" w:hAnsi="Times New Roman" w:eastAsia="Times New Roman"/>
          <w:sz w:val="20"/>
        </w:rPr>
        <w:t xml:space="preserve"> </w:t>
      </w:r>
      <w:r>
        <w:rPr>
          <w:rFonts w:ascii="Times New Roman" w:hAnsi="Times New Roman" w:eastAsia="Times New Roman"/>
          <w:sz w:val="20"/>
        </w:rPr>
        <w:t xml:space="preserve">(where</w:t>
      </w:r>
      <w:r>
        <w:rPr>
          <w:rFonts w:ascii="Times New Roman" w:hAnsi="Times New Roman" w:eastAsia="Times New Roman"/>
          <w:sz w:val="20"/>
        </w:rPr>
        <w:t xml:space="preserve"> </w:t>
      </w:r>
      <m:oMath>
        <m:r>
          <m:t>k</m:t>
        </m:r>
        <m:r>
          <m:rPr>
            <m:sty m:val="p"/>
          </m:rPr>
          <m:t>=</m:t>
        </m:r>
        <m:r>
          <m:t>8</m:t>
        </m:r>
      </m:oMath>
      <w:r>
        <w:rPr>
          <w:rFonts w:ascii="Times New Roman" w:hAnsi="Times New Roman" w:eastAsia="Times New Roman"/>
          <w:sz w:val="20"/>
        </w:rPr>
        <w:t xml:space="preserve">):</w:t>
      </w:r>
    </w:p>
    <w:p>
      <w:pPr>
        <w:pStyle w:val="BodyText"/>
        <w:spacing w:after="0" w:line="240" w:lineRule="auto"/>
      </w:pPr>
      <m:oMathPara>
        <m:oMathParaPr>
          <m:jc m:val="center"/>
        </m:oMathParaPr>
        <m:oMath>
          <m:m>
            <m:mPr>
              <m:baseJc m:val="center"/>
              <m:plcHide m:val="on"/>
              <m:mcs>
                <m:mc>
                  <m:mcPr>
                    <m:mcJc m:val="right"/>
                    <m:count m:val="1"/>
                  </m:mcPr>
                </m:mc>
              </m:mcs>
            </m:mPr>
            <m:mr>
              <m:e>
                <m:r>
                  <m:rPr>
                    <m:sty m:val="bi"/>
                  </m:rPr>
                  <m:t>Q</m:t>
                </m:r>
                <m:r>
                  <m:rPr>
                    <m:sty m:val="p"/>
                  </m:rPr>
                  <m:t>=</m:t>
                </m:r>
                <m:sSubSup>
                  <m:e>
                    <m:r>
                      <m:rPr>
                        <m:sty m:val="bi"/>
                      </m:rPr>
                      <m:t>F</m:t>
                    </m:r>
                  </m:e>
                  <m:sub>
                    <m:r>
                      <m:rPr>
                        <m:nor/>
                        <m:sty m:val="p"/>
                      </m:rPr>
                      <m:t>diff</m:t>
                    </m:r>
                  </m:sub>
                  <m:sup>
                    <m:r>
                      <m:t>l</m:t>
                    </m:r>
                  </m:sup>
                </m:sSubSup>
                <m:sSub>
                  <m:e>
                    <m:r>
                      <m:rPr>
                        <m:sty m:val="bi"/>
                      </m:rPr>
                      <m:t>W</m:t>
                    </m:r>
                  </m:e>
                  <m:sub>
                    <m:r>
                      <m:t>Q</m:t>
                    </m:r>
                  </m:sub>
                </m:sSub>
                <m:r>
                  <m:rPr>
                    <m:sty m:val="p"/>
                  </m:rPr>
                  <m:t>∈</m:t>
                </m:r>
                <m:sSup>
                  <m:e>
                    <m:r>
                      <m:rPr>
                        <m:scr m:val="double-struck"/>
                        <m:sty m:val="p"/>
                      </m:rPr>
                      <m:t>R</m:t>
                    </m:r>
                  </m:e>
                  <m:sup>
                    <m:r>
                      <m:t>B</m:t>
                    </m:r>
                    <m:r>
                      <m:rPr>
                        <m:sty m:val="p"/>
                      </m:rPr>
                      <m:t>×</m:t>
                    </m:r>
                    <m:r>
                      <m:t>N</m:t>
                    </m:r>
                    <m:r>
                      <m:rPr>
                        <m:sty m:val="p"/>
                      </m:rPr>
                      <m:t>×</m:t>
                    </m:r>
                    <m:sSub>
                      <m:e>
                        <m:r>
                          <m:t>C</m:t>
                        </m:r>
                      </m:e>
                      <m:sub>
                        <m:r>
                          <m:t>l</m:t>
                        </m:r>
                      </m:sub>
                    </m:sSub>
                  </m:sup>
                </m:sSup>
                <m:r>
                  <m:t> </m:t>
                </m:r>
                <m:r>
                  <m:rPr>
                    <m:sty m:val="p"/>
                  </m:rPr>
                  <m:t>(</m:t>
                </m:r>
                <m:r>
                  <m:t>N</m:t>
                </m:r>
                <m:r>
                  <m:rPr>
                    <m:sty m:val="p"/>
                  </m:rPr>
                  <m:t>=</m:t>
                </m:r>
                <m:sSub>
                  <m:e>
                    <m:r>
                      <m:t>H</m:t>
                    </m:r>
                  </m:e>
                  <m:sub>
                    <m:r>
                      <m:t>l</m:t>
                    </m:r>
                  </m:sub>
                </m:sSub>
                <m:r>
                  <m:rPr>
                    <m:sty m:val="p"/>
                  </m:rPr>
                  <m:t>×</m:t>
                </m:r>
                <m:sSub>
                  <m:e>
                    <m:r>
                      <m:t>W</m:t>
                    </m:r>
                  </m:e>
                  <m:sub>
                    <m:r>
                      <m:t>l</m:t>
                    </m:r>
                  </m:sub>
                </m:sSub>
                <m:r>
                  <m:rPr>
                    <m:sty m:val="p"/>
                  </m:rPr>
                  <m:t>)</m:t>
                </m:r>
              </m:e>
            </m:mr>
            <m:mr>
              <m:e>
                <m:r>
                  <m:rPr>
                    <m:sty m:val="bi"/>
                  </m:rPr>
                  <m:t>K</m:t>
                </m:r>
                <m:r>
                  <m:rPr>
                    <m:sty m:val="p"/>
                  </m:rPr>
                  <m:t>=</m:t>
                </m:r>
                <m:sSub>
                  <m:e>
                    <m:r>
                      <m:rPr>
                        <m:nor/>
                        <m:sty m:val="p"/>
                      </m:rPr>
                      <m:t>Pool</m:t>
                    </m:r>
                  </m:e>
                  <m:sub>
                    <m:r>
                      <m:t>k</m:t>
                    </m:r>
                    <m:r>
                      <m:rPr>
                        <m:sty m:val="p"/>
                      </m:rPr>
                      <m:t>×</m:t>
                    </m:r>
                    <m:r>
                      <m:t>k</m:t>
                    </m:r>
                  </m:sub>
                </m:sSub>
                <m:r>
                  <m:rPr>
                    <m:sty m:val="p"/>
                  </m:rPr>
                  <m:t>(</m:t>
                </m:r>
                <m:sSup>
                  <m:e>
                    <m:r>
                      <m:rPr>
                        <m:sty m:val="bi"/>
                      </m:rPr>
                      <m:t>T</m:t>
                    </m:r>
                  </m:e>
                  <m:sup>
                    <m:r>
                      <m:t>l</m:t>
                    </m:r>
                  </m:sup>
                </m:sSup>
                <m:r>
                  <m:rPr>
                    <m:sty m:val="p"/>
                  </m:rPr>
                  <m:t>)</m:t>
                </m:r>
                <m:sSub>
                  <m:e>
                    <m:r>
                      <m:rPr>
                        <m:sty m:val="bi"/>
                      </m:rPr>
                      <m:t>W</m:t>
                    </m:r>
                  </m:e>
                  <m:sub>
                    <m:r>
                      <m:t>K</m:t>
                    </m:r>
                  </m:sub>
                </m:sSub>
                <m:r>
                  <m:rPr>
                    <m:sty m:val="p"/>
                  </m:rPr>
                  <m:t>∈</m:t>
                </m:r>
                <m:sSup>
                  <m:e>
                    <m:r>
                      <m:rPr>
                        <m:scr m:val="double-struck"/>
                        <m:sty m:val="p"/>
                      </m:rPr>
                      <m:t>R</m:t>
                    </m:r>
                  </m:e>
                  <m:sup>
                    <m:r>
                      <m:t>B</m:t>
                    </m:r>
                    <m:r>
                      <m:rPr>
                        <m:sty m:val="p"/>
                      </m:rPr>
                      <m:t>×</m:t>
                    </m:r>
                    <m:r>
                      <m:t>M</m:t>
                    </m:r>
                    <m:r>
                      <m:rPr>
                        <m:sty m:val="p"/>
                      </m:rPr>
                      <m:t>×</m:t>
                    </m:r>
                    <m:sSub>
                      <m:e>
                        <m:r>
                          <m:t>C</m:t>
                        </m:r>
                      </m:e>
                      <m:sub>
                        <m:r>
                          <m:t>l</m:t>
                        </m:r>
                      </m:sub>
                    </m:sSub>
                  </m:sup>
                </m:sSup>
                <m:r>
                  <m:t> </m:t>
                </m:r>
                <m:r>
                  <m:rPr>
                    <m:sty m:val="p"/>
                  </m:rPr>
                  <m:t>(</m:t>
                </m:r>
                <m:r>
                  <m:t>M</m:t>
                </m:r>
                <m:r>
                  <m:rPr>
                    <m:sty m:val="p"/>
                  </m:rPr>
                  <m:t>=</m:t>
                </m:r>
                <m:sSup>
                  <m:e>
                    <m:r>
                      <m:t>k</m:t>
                    </m:r>
                  </m:e>
                  <m:sup>
                    <m:r>
                      <m:t>2</m:t>
                    </m:r>
                  </m:sup>
                </m:sSup>
                <m:r>
                  <m:rPr>
                    <m:sty m:val="p"/>
                  </m:rPr>
                  <m:t>)</m:t>
                </m:r>
              </m:e>
            </m:mr>
            <m:mr>
              <m:e>
                <m:r>
                  <m:rPr>
                    <m:sty m:val="bi"/>
                  </m:rPr>
                  <m:t>V</m:t>
                </m:r>
                <m:r>
                  <m:rPr>
                    <m:sty m:val="p"/>
                  </m:rPr>
                  <m:t>=</m:t>
                </m:r>
                <m:sSub>
                  <m:e>
                    <m:r>
                      <m:rPr>
                        <m:nor/>
                        <m:sty m:val="p"/>
                      </m:rPr>
                      <m:t>Pool</m:t>
                    </m:r>
                  </m:e>
                  <m:sub>
                    <m:r>
                      <m:t>k</m:t>
                    </m:r>
                    <m:r>
                      <m:rPr>
                        <m:sty m:val="p"/>
                      </m:rPr>
                      <m:t>×</m:t>
                    </m:r>
                    <m:r>
                      <m:t>k</m:t>
                    </m:r>
                  </m:sub>
                </m:sSub>
                <m:r>
                  <m:rPr>
                    <m:sty m:val="p"/>
                  </m:rPr>
                  <m:t>(</m:t>
                </m:r>
                <m:sSup>
                  <m:e>
                    <m:r>
                      <m:rPr>
                        <m:sty m:val="bi"/>
                      </m:rPr>
                      <m:t>T</m:t>
                    </m:r>
                  </m:e>
                  <m:sup>
                    <m:r>
                      <m:t>l</m:t>
                    </m:r>
                  </m:sup>
                </m:sSup>
                <m:r>
                  <m:rPr>
                    <m:sty m:val="p"/>
                  </m:rPr>
                  <m:t>)</m:t>
                </m:r>
                <m:sSub>
                  <m:e>
                    <m:r>
                      <m:rPr>
                        <m:sty m:val="bi"/>
                      </m:rPr>
                      <m:t>W</m:t>
                    </m:r>
                  </m:e>
                  <m:sub>
                    <m:r>
                      <m:t>V</m:t>
                    </m:r>
                  </m:sub>
                </m:sSub>
                <m:r>
                  <m:rPr>
                    <m:sty m:val="p"/>
                  </m:rPr>
                  <m:t>∈</m:t>
                </m:r>
                <m:sSup>
                  <m:e>
                    <m:r>
                      <m:rPr>
                        <m:scr m:val="double-struck"/>
                        <m:sty m:val="p"/>
                      </m:rPr>
                      <m:t>R</m:t>
                    </m:r>
                  </m:e>
                  <m:sup>
                    <m:r>
                      <m:t>B</m:t>
                    </m:r>
                    <m:r>
                      <m:rPr>
                        <m:sty m:val="p"/>
                      </m:rPr>
                      <m:t>×</m:t>
                    </m:r>
                    <m:r>
                      <m:t>M</m:t>
                    </m:r>
                    <m:r>
                      <m:rPr>
                        <m:sty m:val="p"/>
                      </m:rPr>
                      <m:t>×</m:t>
                    </m:r>
                    <m:sSub>
                      <m:e>
                        <m:r>
                          <m:t>C</m:t>
                        </m:r>
                      </m:e>
                      <m:sub>
                        <m:r>
                          <m:t>l</m:t>
                        </m:r>
                      </m:sub>
                    </m:sSub>
                  </m:sup>
                </m:sSup>
              </m:e>
            </m:mr>
          </m:m>
        </m:oMath>
      </m:oMathPara>
    </w:p>
    <w:p>
      <w:pPr>
        <w:pStyle w:val="FirstParagraph"/>
        <w:spacing w:after="0" w:line="240" w:lineRule="auto"/>
      </w:pPr>
      <w:r>
        <w:rPr>
          <w:rFonts w:ascii="Times New Roman" w:hAnsi="Times New Roman" w:eastAsia="Times New Roman"/>
          <w:sz w:val="20"/>
        </w:rPr>
        <w:t xml:space="preserve">Cross-attention weights</w:t>
      </w:r>
      <w:r>
        <w:rPr>
          <w:rFonts w:ascii="Times New Roman" w:hAnsi="Times New Roman" w:eastAsia="Times New Roman"/>
          <w:sz w:val="20"/>
        </w:rPr>
        <w:t xml:space="preserve"> </w:t>
      </w:r>
      <m:oMath>
        <m:r>
          <m:rPr>
            <m:sty m:val="bi"/>
          </m:rPr>
          <m:t>A</m:t>
        </m:r>
        <m:r>
          <m:rPr>
            <m:sty m:val="p"/>
          </m:rPr>
          <m:t>∈</m:t>
        </m:r>
        <m:sSup>
          <m:e>
            <m:r>
              <m:rPr>
                <m:scr m:val="double-struck"/>
                <m:sty m:val="p"/>
              </m:rPr>
              <m:t>R</m:t>
            </m:r>
          </m:e>
          <m:sup>
            <m:r>
              <m:t>B</m:t>
            </m:r>
            <m:r>
              <m:rPr>
                <m:sty m:val="p"/>
              </m:rPr>
              <m:t>×</m:t>
            </m:r>
            <m:r>
              <m:t>N</m:t>
            </m:r>
            <m:r>
              <m:rPr>
                <m:sty m:val="p"/>
              </m:rPr>
              <m:t>×</m:t>
            </m:r>
            <m:r>
              <m:t>M</m:t>
            </m:r>
          </m:sup>
        </m:sSup>
      </m:oMath>
      <w:r>
        <w:rPr>
          <w:rFonts w:ascii="Times New Roman" w:hAnsi="Times New Roman" w:eastAsia="Times New Roman"/>
          <w:sz w:val="20"/>
        </w:rPr>
        <w:t xml:space="preserve"> </w:t>
      </w:r>
      <w:r>
        <w:rPr>
          <w:rFonts w:ascii="Times New Roman" w:hAnsi="Times New Roman" w:eastAsia="Times New Roman"/>
          <w:sz w:val="20"/>
        </w:rPr>
        <w:t xml:space="preserve">are computed across multiple attention heads (</w:t>
      </w:r>
      <m:oMath>
        <m:r>
          <m:t>h</m:t>
        </m:r>
        <m:r>
          <m:rPr>
            <m:sty m:val="p"/>
          </m:rPr>
          <m:t>∈</m:t>
        </m:r>
        <m:r>
          <m:rPr>
            <m:sty m:val="p"/>
          </m:rPr>
          <m:t>{</m:t>
        </m:r>
        <m:r>
          <m:t>1</m:t>
        </m:r>
        <m:r>
          <m:rPr>
            <m:sty m:val="p"/>
          </m:rPr>
          <m:t>,</m:t>
        </m:r>
        <m:r>
          <m:t>2</m:t>
        </m:r>
        <m:r>
          <m:rPr>
            <m:sty m:val="p"/>
          </m:rPr>
          <m:t>,</m:t>
        </m:r>
        <m:r>
          <m:t>4</m:t>
        </m:r>
        <m:r>
          <m:rPr>
            <m:sty m:val="p"/>
          </m:rPr>
          <m:t>}</m:t>
        </m:r>
      </m:oMath>
      <w:r>
        <w:rPr>
          <w:rFonts w:ascii="Times New Roman" w:hAnsi="Times New Roman" w:eastAsia="Times New Roman"/>
          <w:sz w:val="20"/>
        </w:rPr>
        <w:t xml:space="preserve">):</w:t>
      </w:r>
    </w:p>
    <w:p>
      <w:pPr>
        <w:pStyle w:val="BodyText"/>
        <w:spacing w:after="0" w:line="240" w:lineRule="auto"/>
      </w:pPr>
      <m:oMathPara>
        <m:oMathParaPr>
          <m:jc m:val="center"/>
        </m:oMathParaPr>
        <m:oMath>
          <m:r>
            <m:rPr>
              <m:sty m:val="bi"/>
            </m:rPr>
            <m:t>A</m:t>
          </m:r>
          <m:r>
            <m:rPr>
              <m:sty m:val="p"/>
            </m:rPr>
            <m:t>=</m:t>
          </m:r>
          <m:r>
            <m:rPr>
              <m:nor/>
              <m:sty m:val="p"/>
            </m:rPr>
            <m:t>softmax</m:t>
          </m:r>
          <m:d>
            <m:dPr>
              <m:begChr m:val="("/>
              <m:sepChr m:val=""/>
              <m:endChr m:val=")"/>
              <m:grow/>
            </m:dPr>
            <m:e>
              <m:f>
                <m:fPr>
                  <m:type m:val="bar"/>
                </m:fPr>
                <m:num>
                  <m:r>
                    <m:rPr>
                      <m:sty m:val="bi"/>
                    </m:rPr>
                    <m:t>Q</m:t>
                  </m:r>
                  <m:sSup>
                    <m:e>
                      <m:r>
                        <m:rPr>
                          <m:sty m:val="bi"/>
                        </m:rPr>
                        <m:t>K</m:t>
                      </m:r>
                    </m:e>
                    <m:sup>
                      <m:r>
                        <m:t>T</m:t>
                      </m:r>
                    </m:sup>
                  </m:sSup>
                </m:num>
                <m:den>
                  <m:rad>
                    <m:radPr>
                      <m:degHide m:val="on"/>
                    </m:radPr>
                    <m:deg/>
                    <m:e>
                      <m:sSub>
                        <m:e>
                          <m:r>
                            <m:t>d</m:t>
                          </m:r>
                        </m:e>
                        <m:sub>
                          <m:r>
                            <m:t>k</m:t>
                          </m:r>
                        </m:sub>
                      </m:sSub>
                    </m:e>
                  </m:rad>
                </m:den>
              </m:f>
            </m:e>
          </m:d>
        </m:oMath>
      </m:oMathPara>
    </w:p>
    <w:p>
      <w:pPr>
        <w:pStyle w:val="FirstParagraph"/>
        <w:spacing w:after="0" w:line="240" w:lineRule="auto"/>
      </w:pPr>
      <w:r>
        <w:rPr>
          <w:rFonts w:ascii="Times New Roman" w:hAnsi="Times New Roman" w:eastAsia="Times New Roman"/>
          <w:sz w:val="20"/>
        </w:rPr>
        <w:t xml:space="preserve">The attended geometric context</w:t>
      </w:r>
      <w:r>
        <w:rPr>
          <w:rFonts w:ascii="Times New Roman" w:hAnsi="Times New Roman" w:eastAsia="Times New Roman"/>
          <w:sz w:val="20"/>
        </w:rPr>
        <w:t xml:space="preserve"> </w:t>
      </w:r>
      <m:oMath>
        <m:r>
          <m:rPr>
            <m:sty m:val="bi"/>
          </m:rPr>
          <m:t>O</m:t>
        </m:r>
        <m:r>
          <m:rPr>
            <m:sty m:val="p"/>
          </m:rPr>
          <m:t>=</m:t>
        </m:r>
        <m:r>
          <m:rPr>
            <m:sty m:val="bi"/>
          </m:rPr>
          <m:t>A</m:t>
        </m:r>
        <m:r>
          <m:rPr>
            <m:sty m:val="bi"/>
          </m:rPr>
          <m:t>V</m:t>
        </m:r>
      </m:oMath>
      <w:r>
        <w:rPr>
          <w:rFonts w:ascii="Times New Roman" w:hAnsi="Times New Roman" w:eastAsia="Times New Roman"/>
          <w:sz w:val="20"/>
        </w:rPr>
        <w:t xml:space="preserve"> </w:t>
      </w:r>
      <w:r>
        <w:rPr>
          <w:rFonts w:ascii="Times New Roman" w:hAnsi="Times New Roman" w:eastAsia="Times New Roman"/>
          <w:sz w:val="20"/>
        </w:rPr>
        <w:t xml:space="preserve">allows every SAR pixel to interrogate whether surrounding regional slope and aspect angles physically support avalanche accumulation.</w:t>
      </w:r>
    </w:p>
    <w:p>
      <w:pPr>
        <w:pStyle w:val="BodyText"/>
        <w:spacing w:after="0" w:line="240" w:lineRule="auto"/>
      </w:pPr>
      <w:r>
        <w:rPr>
          <w:rFonts w:ascii="Times New Roman" w:hAnsi="Times New Roman" w:eastAsia="Times New Roman"/>
          <w:sz w:val="20"/>
        </w:rPr>
        <w:t xml:space="preserve">To further inject pixel-level boundary constraints, we compute a dynamic spatial topographic gate:</w:t>
      </w:r>
    </w:p>
    <w:p>
      <w:pPr>
        <w:pStyle w:val="BodyText"/>
        <w:spacing w:after="0" w:line="240" w:lineRule="auto"/>
      </w:pPr>
      <m:oMathPara>
        <m:oMathParaPr>
          <m:jc m:val="center"/>
        </m:oMathParaPr>
        <m:oMath>
          <m:sSub>
            <m:e>
              <m:r>
                <m:rPr>
                  <m:sty m:val="bi"/>
                </m:rPr>
                <m:t>W</m:t>
              </m:r>
            </m:e>
            <m:sub>
              <m:r>
                <m:rPr>
                  <m:nor/>
                  <m:sty m:val="p"/>
                </m:rPr>
                <m:t>gate</m:t>
              </m:r>
            </m:sub>
          </m:sSub>
          <m:r>
            <m:rPr>
              <m:sty m:val="p"/>
            </m:rPr>
            <m:t>=</m:t>
          </m:r>
          <m:r>
            <m:t>σ</m:t>
          </m:r>
          <m:d>
            <m:dPr>
              <m:begChr m:val="("/>
              <m:sepChr m:val=""/>
              <m:endChr m:val=")"/>
              <m:grow/>
            </m:dPr>
            <m:e>
              <m:sSub>
                <m:e>
                  <m:r>
                    <m:rPr>
                      <m:nor/>
                      <m:sty m:val="p"/>
                    </m:rPr>
                    <m:t>Conv</m:t>
                  </m:r>
                </m:e>
                <m:sub>
                  <m:r>
                    <m:t>1</m:t>
                  </m:r>
                  <m:r>
                    <m:rPr>
                      <m:sty m:val="p"/>
                    </m:rPr>
                    <m:t>×</m:t>
                  </m:r>
                  <m:r>
                    <m:t>1</m:t>
                  </m:r>
                </m:sub>
              </m:sSub>
              <m:d>
                <m:dPr>
                  <m:begChr m:val="("/>
                  <m:sepChr m:val=""/>
                  <m:endChr m:val=")"/>
                  <m:grow/>
                </m:dPr>
                <m:e>
                  <m:r>
                    <m:rPr>
                      <m:nor/>
                      <m:sty m:val="p"/>
                    </m:rPr>
                    <m:t>GELU</m:t>
                  </m:r>
                  <m:d>
                    <m:dPr>
                      <m:begChr m:val="("/>
                      <m:sepChr m:val=""/>
                      <m:endChr m:val=")"/>
                      <m:grow/>
                    </m:dPr>
                    <m:e>
                      <m:sSub>
                        <m:e>
                          <m:r>
                            <m:rPr>
                              <m:nor/>
                              <m:sty m:val="p"/>
                            </m:rPr>
                            <m:t>Conv</m:t>
                          </m:r>
                        </m:e>
                        <m:sub>
                          <m:r>
                            <m:t>3</m:t>
                          </m:r>
                          <m:r>
                            <m:rPr>
                              <m:sty m:val="p"/>
                            </m:rPr>
                            <m:t>×</m:t>
                          </m:r>
                          <m:r>
                            <m:t>3</m:t>
                          </m:r>
                        </m:sub>
                      </m:sSub>
                      <m:r>
                        <m:rPr>
                          <m:sty m:val="p"/>
                        </m:rPr>
                        <m:t>(</m:t>
                      </m:r>
                      <m:sSup>
                        <m:e>
                          <m:r>
                            <m:rPr>
                              <m:sty m:val="bi"/>
                            </m:rPr>
                            <m:t>T</m:t>
                          </m:r>
                        </m:e>
                        <m:sup>
                          <m:r>
                            <m:t>l</m:t>
                          </m:r>
                        </m:sup>
                      </m:sSup>
                      <m:r>
                        <m:rPr>
                          <m:sty m:val="p"/>
                        </m:rPr>
                        <m:t>)</m:t>
                      </m:r>
                    </m:e>
                  </m:d>
                </m:e>
              </m:d>
            </m:e>
          </m:d>
        </m:oMath>
      </m:oMathPara>
    </w:p>
    <w:p>
      <w:pPr>
        <w:pStyle w:val="FirstParagraph"/>
        <w:spacing w:after="0" w:line="240" w:lineRule="auto"/>
      </w:pPr>
      <w:r>
        <w:rPr>
          <w:rFonts w:ascii="Times New Roman" w:hAnsi="Times New Roman" w:eastAsia="Times New Roman"/>
          <w:sz w:val="20"/>
        </w:rPr>
        <w:t xml:space="preserve">The final conditioned feature map is computed as:</w:t>
      </w:r>
    </w:p>
    <w:p>
      <w:pPr>
        <w:pStyle w:val="BodyText"/>
        <w:spacing w:after="0" w:line="240" w:lineRule="auto"/>
      </w:pPr>
      <m:oMathPara>
        <m:oMathParaPr>
          <m:jc m:val="center"/>
        </m:oMathParaPr>
        <m:oMath>
          <m:sSup>
            <m:e>
              <m:acc>
                <m:accPr>
                  <m:chr m:val="̃"/>
                </m:accPr>
                <m:e>
                  <m:r>
                    <m:rPr>
                      <m:sty m:val="bi"/>
                    </m:rPr>
                    <m:t>F</m:t>
                  </m:r>
                </m:e>
              </m:acc>
            </m:e>
            <m:sup>
              <m:r>
                <m:t>l</m:t>
              </m:r>
            </m:sup>
          </m:sSup>
          <m:r>
            <m:rPr>
              <m:sty m:val="p"/>
            </m:rPr>
            <m:t>=</m:t>
          </m:r>
          <m:r>
            <m:rPr>
              <m:nor/>
              <m:sty m:val="p"/>
            </m:rPr>
            <m:t>BatchNorm</m:t>
          </m:r>
          <m:d>
            <m:dPr>
              <m:begChr m:val="("/>
              <m:sepChr m:val=""/>
              <m:endChr m:val=")"/>
              <m:grow/>
            </m:dPr>
            <m:e>
              <m:sSubSup>
                <m:e>
                  <m:r>
                    <m:rPr>
                      <m:sty m:val="bi"/>
                    </m:rPr>
                    <m:t>F</m:t>
                  </m:r>
                </m:e>
                <m:sub>
                  <m:r>
                    <m:rPr>
                      <m:nor/>
                      <m:sty m:val="p"/>
                    </m:rPr>
                    <m:t>diff</m:t>
                  </m:r>
                </m:sub>
                <m:sup>
                  <m:r>
                    <m:t>l</m:t>
                  </m:r>
                </m:sup>
              </m:sSubSup>
              <m:r>
                <m:rPr>
                  <m:sty m:val="p"/>
                </m:rPr>
                <m:t>+</m:t>
              </m:r>
              <m:r>
                <m:rPr>
                  <m:sty m:val="bi"/>
                </m:rPr>
                <m:t>O</m:t>
              </m:r>
            </m:e>
          </m:d>
          <m:r>
            <m:rPr>
              <m:sty m:val="p"/>
            </m:rPr>
            <m:t>⊙</m:t>
          </m:r>
          <m:r>
            <m:rPr>
              <m:sty m:val="p"/>
            </m:rPr>
            <m:t>(</m:t>
          </m:r>
          <m:r>
            <m:t>1</m:t>
          </m:r>
          <m:r>
            <m:rPr>
              <m:sty m:val="p"/>
            </m:rPr>
            <m:t>+</m:t>
          </m:r>
          <m:sSub>
            <m:e>
              <m:r>
                <m:rPr>
                  <m:sty m:val="bi"/>
                </m:rPr>
                <m:t>W</m:t>
              </m:r>
            </m:e>
            <m:sub>
              <m:r>
                <m:rPr>
                  <m:nor/>
                  <m:sty m:val="p"/>
                </m:rPr>
                <m:t>gate</m:t>
              </m:r>
            </m:sub>
          </m:sSub>
          <m:r>
            <m:rPr>
              <m:sty m:val="p"/>
            </m:rPr>
            <m:t>)</m:t>
          </m:r>
        </m:oMath>
      </m:oMathPara>
    </w:p>
    <w:p>
      <w:pPr>
        <w:pStyle w:val="FirstParagraph"/>
        <w:spacing w:after="0" w:line="240" w:lineRule="auto"/>
      </w:pPr>
      <w:r>
        <w:rPr>
          <w:rFonts w:ascii="Times New Roman" w:hAnsi="Times New Roman" w:eastAsia="Times New Roman"/>
          <w:sz w:val="20"/>
        </w:rPr>
        <w:t xml:space="preserve">This dual mechanism allows broad macro-topographic routing via cross-attention alongside sharp per-pixel edge modulation via spatial gating.</w:t>
      </w:r>
    </w:p>
    <w:bookmarkEnd w:id="21"/>
    <w:bookmarkEnd w:id="22"/>
    <w:bookmarkStart w:id="23" w:name="heuristic-geomorphic-slope-prior-loss"/>
    <w:p>
      <w:pPr>
        <w:pStyle w:val="Heading2"/>
        <w:spacing w:after="0" w:line="240" w:lineRule="auto"/>
      </w:pPr>
      <w:r>
        <w:rPr>
          <w:rFonts w:ascii="Times New Roman" w:hAnsi="Times New Roman" w:eastAsia="Times New Roman"/>
          <w:sz w:val="20"/>
        </w:rPr>
        <w:t xml:space="preserve">Heuristic Geomorphic Slope-Prior Loss</w:t>
      </w:r>
    </w:p>
    <w:p>
      <w:pPr>
        <w:pStyle w:val="FirstParagraph"/>
        <w:spacing w:after="0" w:line="240" w:lineRule="auto"/>
      </w:pPr>
      <w:r>
        <w:rPr>
          <w:rFonts w:ascii="Times New Roman" w:hAnsi="Times New Roman" w:eastAsia="Times New Roman"/>
          <w:sz w:val="20"/>
        </w:rPr>
        <w:t xml:space="preserve">Standard semantic segmentation losses do not encode a slope-dependent prior. We therefore tested a heuristic regularizer that discourages probability mass below</w:t>
      </w:r>
      <w:r>
        <w:rPr>
          <w:rFonts w:ascii="Times New Roman" w:hAnsi="Times New Roman" w:eastAsia="Times New Roman"/>
          <w:sz w:val="20"/>
        </w:rPr>
        <w:t xml:space="preserve"> </w:t>
      </w:r>
      <m:oMath>
        <m:sSup>
          <m:e>
            <m:r>
              <m:t>5</m:t>
            </m:r>
          </m:e>
          <m:sup>
            <m:r>
              <m:rPr>
                <m:sty m:val="p"/>
              </m:rPr>
              <m:t>∘</m:t>
            </m:r>
          </m:sup>
        </m:sSup>
      </m:oMath>
      <w:r>
        <w:rPr>
          <w:rFonts w:ascii="Times New Roman" w:hAnsi="Times New Roman" w:eastAsia="Times New Roman"/>
          <w:sz w:val="20"/>
        </w:rPr>
        <w:t xml:space="preserve"> </w:t>
      </w:r>
      <w:r>
        <w:rPr>
          <w:rFonts w:ascii="Times New Roman" w:hAnsi="Times New Roman" w:eastAsia="Times New Roman"/>
          <w:sz w:val="20"/>
        </w:rPr>
        <w:t xml:space="preserve">and above</w:t>
      </w:r>
      <w:r>
        <w:rPr>
          <w:rFonts w:ascii="Times New Roman" w:hAnsi="Times New Roman" w:eastAsia="Times New Roman"/>
          <w:sz w:val="20"/>
        </w:rPr>
        <w:t xml:space="preserve"> </w:t>
      </w:r>
      <m:oMath>
        <m:sSup>
          <m:e>
            <m:r>
              <m:t>65</m:t>
            </m:r>
          </m:e>
          <m:sup>
            <m:r>
              <m:rPr>
                <m:sty m:val="p"/>
              </m:rPr>
              <m:t>∘</m:t>
            </m:r>
          </m:sup>
        </m:sSup>
      </m:oMath>
      <w:r>
        <w:rPr>
          <w:rFonts w:ascii="Times New Roman" w:hAnsi="Times New Roman" w:eastAsia="Times New Roman"/>
          <w:sz w:val="20"/>
        </w:rPr>
        <w:t xml:space="preserve">, terrain ranges expected to contain fewer debris pixels on average. These ranges are not physically impossible: runout deposits and mapping/geolocation effects place genuine positive labels inside the penalty mask.</w:t>
      </w:r>
    </w:p>
    <w:p>
      <w:pPr>
        <w:pStyle w:val="BodyText"/>
        <w:spacing w:after="0" w:line="240" w:lineRule="auto"/>
      </w:pPr>
      <w:r>
        <w:rPr>
          <w:rFonts w:ascii="Times New Roman" w:hAnsi="Times New Roman" w:eastAsia="Times New Roman"/>
          <w:sz w:val="20"/>
        </w:rPr>
        <w:t xml:space="preserve">The resulting</w:t>
      </w:r>
      <w:r>
        <w:rPr>
          <w:rFonts w:ascii="Times New Roman" w:hAnsi="Times New Roman" w:eastAsia="Times New Roman"/>
          <w:sz w:val="20"/>
        </w:rPr>
        <w:t xml:space="preserve"> </w:t>
      </w:r>
      <w:r>
        <w:rPr>
          <w:rFonts w:ascii="Times New Roman" w:hAnsi="Times New Roman" w:eastAsia="Times New Roman"/>
          <w:b/>
          <w:bCs/>
          <w:sz w:val="20"/>
        </w:rPr>
        <w:t xml:space="preserve">Geomorphically Bounded Loss (Geo-Loss)</w:t>
      </w:r>
      <w:r>
        <w:rPr>
          <w:rFonts w:ascii="Times New Roman" w:hAnsi="Times New Roman" w:eastAsia="Times New Roman"/>
          <w:sz w:val="20"/>
        </w:rPr>
        <w:t xml:space="preserve"> </w:t>
      </w:r>
      <w:r>
        <w:rPr>
          <w:rFonts w:ascii="Times New Roman" w:hAnsi="Times New Roman" w:eastAsia="Times New Roman"/>
          <w:sz w:val="20"/>
        </w:rPr>
        <w:t xml:space="preserve">is:</w:t>
      </w:r>
    </w:p>
    <w:p>
      <w:pPr>
        <w:pStyle w:val="BodyText"/>
        <w:spacing w:after="0" w:line="240" w:lineRule="auto"/>
      </w:pPr>
      <m:oMathPara>
        <m:oMathParaPr>
          <m:jc m:val="center"/>
        </m:oMathParaPr>
        <m:oMath>
          <m:r>
            <m:rPr>
              <m:scr m:val="script"/>
              <m:sty m:val="p"/>
            </m:rPr>
            <m:t>L</m:t>
          </m:r>
          <m:r>
            <m:rPr>
              <m:sty m:val="p"/>
            </m:rPr>
            <m:t>=</m:t>
          </m:r>
          <m:sSub>
            <m:e>
              <m:r>
                <m:rPr>
                  <m:scr m:val="script"/>
                  <m:sty m:val="p"/>
                </m:rPr>
                <m:t>L</m:t>
              </m:r>
            </m:e>
            <m:sub>
              <m:r>
                <m:rPr>
                  <m:nor/>
                  <m:sty m:val="p"/>
                </m:rPr>
                <m:t>BCE</m:t>
              </m:r>
            </m:sub>
          </m:sSub>
          <m:r>
            <m:rPr>
              <m:sty m:val="p"/>
            </m:rPr>
            <m:t>+</m:t>
          </m:r>
          <m:sSub>
            <m:e>
              <m:r>
                <m:t>λ</m:t>
              </m:r>
            </m:e>
            <m:sub>
              <m:r>
                <m:rPr>
                  <m:nor/>
                  <m:sty m:val="p"/>
                </m:rPr>
                <m:t>dice</m:t>
              </m:r>
            </m:sub>
          </m:sSub>
          <m:sSub>
            <m:e>
              <m:r>
                <m:rPr>
                  <m:scr m:val="script"/>
                  <m:sty m:val="p"/>
                </m:rPr>
                <m:t>L</m:t>
              </m:r>
            </m:e>
            <m:sub>
              <m:r>
                <m:rPr>
                  <m:nor/>
                  <m:sty m:val="p"/>
                </m:rPr>
                <m:t>Dice</m:t>
              </m:r>
            </m:sub>
          </m:sSub>
          <m:r>
            <m:rPr>
              <m:sty m:val="p"/>
            </m:rPr>
            <m:t>+</m:t>
          </m:r>
          <m:sSub>
            <m:e>
              <m:r>
                <m:t>λ</m:t>
              </m:r>
            </m:e>
            <m:sub>
              <m:r>
                <m:rPr>
                  <m:nor/>
                  <m:sty m:val="p"/>
                </m:rPr>
                <m:t>geom</m:t>
              </m:r>
            </m:sub>
          </m:sSub>
          <m:sSub>
            <m:e>
              <m:r>
                <m:rPr>
                  <m:scr m:val="script"/>
                  <m:sty m:val="p"/>
                </m:rPr>
                <m:t>L</m:t>
              </m:r>
            </m:e>
            <m:sub>
              <m:r>
                <m:rPr>
                  <m:nor/>
                  <m:sty m:val="p"/>
                </m:rPr>
                <m:t>geom</m:t>
              </m:r>
            </m:sub>
          </m:sSub>
        </m:oMath>
      </m:oMathPara>
    </w:p>
    <w:p>
      <w:pPr>
        <w:pStyle w:val="FirstParagraph"/>
        <w:spacing w:after="0" w:line="240" w:lineRule="auto"/>
      </w:pPr>
      <w:r>
        <w:rPr>
          <w:rFonts w:ascii="Times New Roman" w:hAnsi="Times New Roman" w:eastAsia="Times New Roman"/>
          <w:sz w:val="20"/>
        </w:rPr>
        <w:t xml:space="preserve">where</w:t>
      </w:r>
      <w:r>
        <w:rPr>
          <w:rFonts w:ascii="Times New Roman" w:hAnsi="Times New Roman" w:eastAsia="Times New Roman"/>
          <w:sz w:val="20"/>
        </w:rPr>
        <w:t xml:space="preserve"> </w:t>
      </w:r>
      <m:oMath>
        <m:sSub>
          <m:e>
            <m:r>
              <m:rPr>
                <m:scr m:val="script"/>
                <m:sty m:val="p"/>
              </m:rPr>
              <m:t>L</m:t>
            </m:r>
          </m:e>
          <m:sub>
            <m:r>
              <m:rPr>
                <m:nor/>
                <m:sty m:val="p"/>
              </m:rPr>
              <m:t>BCE</m:t>
            </m:r>
          </m:sub>
        </m:sSub>
      </m:oMath>
      <w:r>
        <w:rPr>
          <w:rFonts w:ascii="Times New Roman" w:hAnsi="Times New Roman" w:eastAsia="Times New Roman"/>
          <w:sz w:val="20"/>
        </w:rPr>
        <w:t xml:space="preserve"> </w:t>
      </w:r>
      <w:r>
        <w:rPr>
          <w:rFonts w:ascii="Times New Roman" w:hAnsi="Times New Roman" w:eastAsia="Times New Roman"/>
          <w:sz w:val="20"/>
        </w:rPr>
        <w:t xml:space="preserve">is positive-weighted binary cross-entropy (with positive weight</w:t>
      </w:r>
      <w:r>
        <w:rPr>
          <w:rFonts w:ascii="Times New Roman" w:hAnsi="Times New Roman" w:eastAsia="Times New Roman"/>
          <w:sz w:val="20"/>
        </w:rPr>
        <w:t xml:space="preserve"> </w:t>
      </w:r>
      <m:oMath>
        <m:sSub>
          <m:e>
            <m:r>
              <m:t>w</m:t>
            </m:r>
          </m:e>
          <m:sub>
            <m:r>
              <m:rPr>
                <m:nor/>
                <m:sty m:val="p"/>
              </m:rPr>
              <m:t>pos</m:t>
            </m:r>
          </m:sub>
        </m:sSub>
        <m:r>
          <m:rPr>
            <m:sty m:val="p"/>
          </m:rPr>
          <m:t>=</m:t>
        </m:r>
        <m:r>
          <m:t>3.0</m:t>
        </m:r>
      </m:oMath>
      <w:r>
        <w:rPr>
          <w:rFonts w:ascii="Times New Roman" w:hAnsi="Times New Roman" w:eastAsia="Times New Roman"/>
          <w:sz w:val="20"/>
        </w:rPr>
        <w:t xml:space="preserve"> </w:t>
      </w:r>
      <w:r>
        <w:rPr>
          <w:rFonts w:ascii="Times New Roman" w:hAnsi="Times New Roman" w:eastAsia="Times New Roman"/>
          <w:sz w:val="20"/>
        </w:rPr>
        <w:t xml:space="preserve">to combat the extreme class imbalance of sparse avalanche debris):</w:t>
      </w:r>
    </w:p>
    <w:p>
      <w:pPr>
        <w:pStyle w:val="BodyText"/>
        <w:spacing w:after="0" w:line="240" w:lineRule="auto"/>
      </w:pPr>
      <m:oMathPara>
        <m:oMathParaPr>
          <m:jc m:val="center"/>
        </m:oMathParaPr>
        <m:oMath>
          <m:sSub>
            <m:e>
              <m:r>
                <m:rPr>
                  <m:scr m:val="script"/>
                  <m:sty m:val="p"/>
                </m:rPr>
                <m:t>L</m:t>
              </m:r>
            </m:e>
            <m:sub>
              <m:r>
                <m:rPr>
                  <m:nor/>
                  <m:sty m:val="p"/>
                </m:rPr>
                <m:t>BCE</m:t>
              </m:r>
            </m:sub>
          </m:sSub>
          <m:r>
            <m:rPr>
              <m:sty m:val="p"/>
            </m:rPr>
            <m:t>=</m:t>
          </m:r>
          <m:r>
            <m:rPr>
              <m:sty m:val="p"/>
            </m:rPr>
            <m:t>−</m:t>
          </m:r>
          <m:f>
            <m:fPr>
              <m:type m:val="bar"/>
            </m:fPr>
            <m:num>
              <m:r>
                <m:t>1</m:t>
              </m:r>
            </m:num>
            <m:den>
              <m:r>
                <m:rPr>
                  <m:sty m:val="p"/>
                </m:rPr>
                <m:t>|</m:t>
              </m:r>
              <m:r>
                <m:rPr>
                  <m:sty m:val="p"/>
                </m:rPr>
                <m:t>Ω</m:t>
              </m:r>
              <m:r>
                <m:rPr>
                  <m:sty m:val="p"/>
                </m:rPr>
                <m:t>|</m:t>
              </m:r>
            </m:den>
          </m:f>
          <m:nary>
            <m:naryPr>
              <m:chr m:val="∑"/>
              <m:limLoc m:val="undOvr"/>
              <m:subHide m:val="off"/>
              <m:supHide m:val="on"/>
            </m:naryPr>
            <m:sub>
              <m:r>
                <m:t>i</m:t>
              </m:r>
              <m:r>
                <m:rPr>
                  <m:sty m:val="p"/>
                </m:rPr>
                <m:t>∈</m:t>
              </m:r>
              <m:r>
                <m:rPr>
                  <m:sty m:val="p"/>
                </m:rPr>
                <m:t>Ω</m:t>
              </m:r>
            </m:sub>
            <m:sup>
              <m:r>
                <m:t>​</m:t>
              </m:r>
            </m:sup>
            <m:e>
              <m:d>
                <m:dPr>
                  <m:begChr m:val="["/>
                  <m:sepChr m:val=""/>
                  <m:endChr m:val="]"/>
                  <m:grow/>
                </m:dPr>
                <m:e>
                  <m:sSub>
                    <m:e>
                      <m:r>
                        <m:t>w</m:t>
                      </m:r>
                    </m:e>
                    <m:sub>
                      <m:r>
                        <m:rPr>
                          <m:nor/>
                          <m:sty m:val="p"/>
                        </m:rPr>
                        <m:t>pos</m:t>
                      </m:r>
                    </m:sub>
                  </m:sSub>
                  <m:sSub>
                    <m:e>
                      <m:r>
                        <m:t>y</m:t>
                      </m:r>
                    </m:e>
                    <m:sub>
                      <m:r>
                        <m:t>i</m:t>
                      </m:r>
                    </m:sub>
                  </m:sSub>
                  <m:r>
                    <m:rPr>
                      <m:sty m:val="p"/>
                    </m:rPr>
                    <m:t>log</m:t>
                  </m:r>
                  <m:sSub>
                    <m:e>
                      <m:acc>
                        <m:accPr>
                          <m:chr m:val="̂"/>
                        </m:accPr>
                        <m:e>
                          <m:r>
                            <m:t>y</m:t>
                          </m:r>
                        </m:e>
                      </m:acc>
                    </m:e>
                    <m:sub>
                      <m:r>
                        <m:t>i</m:t>
                      </m:r>
                    </m:sub>
                  </m:sSub>
                  <m:r>
                    <m:rPr>
                      <m:sty m:val="p"/>
                    </m:rPr>
                    <m:t>+</m:t>
                  </m:r>
                  <m:r>
                    <m:rPr>
                      <m:sty m:val="p"/>
                    </m:rPr>
                    <m:t>(</m:t>
                  </m:r>
                  <m:r>
                    <m:t>1</m:t>
                  </m:r>
                  <m:r>
                    <m:rPr>
                      <m:sty m:val="p"/>
                    </m:rPr>
                    <m:t>−</m:t>
                  </m:r>
                  <m:sSub>
                    <m:e>
                      <m:r>
                        <m:t>y</m:t>
                      </m:r>
                    </m:e>
                    <m:sub>
                      <m:r>
                        <m:t>i</m:t>
                      </m:r>
                    </m:sub>
                  </m:sSub>
                  <m:r>
                    <m:rPr>
                      <m:sty m:val="p"/>
                    </m:rPr>
                    <m:t>)</m:t>
                  </m:r>
                  <m:r>
                    <m:rPr>
                      <m:sty m:val="p"/>
                    </m:rPr>
                    <m:t>log</m:t>
                  </m:r>
                  <m:r>
                    <m:rPr>
                      <m:sty m:val="p"/>
                    </m:rPr>
                    <m:t>(</m:t>
                  </m:r>
                  <m:r>
                    <m:t>1</m:t>
                  </m:r>
                  <m:r>
                    <m:rPr>
                      <m:sty m:val="p"/>
                    </m:rPr>
                    <m:t>−</m:t>
                  </m:r>
                  <m:sSub>
                    <m:e>
                      <m:acc>
                        <m:accPr>
                          <m:chr m:val="̂"/>
                        </m:accPr>
                        <m:e>
                          <m:r>
                            <m:t>y</m:t>
                          </m:r>
                        </m:e>
                      </m:acc>
                    </m:e>
                    <m:sub>
                      <m:r>
                        <m:t>i</m:t>
                      </m:r>
                    </m:sub>
                  </m:sSub>
                  <m:r>
                    <m:rPr>
                      <m:sty m:val="p"/>
                    </m:rPr>
                    <m:t>)</m:t>
                  </m:r>
                </m:e>
              </m:d>
            </m:e>
          </m:nary>
        </m:oMath>
      </m:oMathPara>
    </w:p>
    <w:p>
      <w:pPr>
        <w:pStyle w:val="FirstParagraph"/>
        <w:spacing w:after="0" w:line="240" w:lineRule="auto"/>
      </w:pPr>
      <w:r>
        <w:rPr>
          <w:rFonts w:ascii="Times New Roman" w:hAnsi="Times New Roman" w:eastAsia="Times New Roman"/>
          <w:sz w:val="20"/>
        </w:rPr>
        <w:t xml:space="preserve">and</w:t>
      </w:r>
      <w:r>
        <w:rPr>
          <w:rFonts w:ascii="Times New Roman" w:hAnsi="Times New Roman" w:eastAsia="Times New Roman"/>
          <w:sz w:val="20"/>
        </w:rPr>
        <w:t xml:space="preserve"> </w:t>
      </w:r>
      <m:oMath>
        <m:sSub>
          <m:e>
            <m:r>
              <m:rPr>
                <m:scr m:val="script"/>
                <m:sty m:val="p"/>
              </m:rPr>
              <m:t>L</m:t>
            </m:r>
          </m:e>
          <m:sub>
            <m:r>
              <m:rPr>
                <m:nor/>
                <m:sty m:val="p"/>
              </m:rPr>
              <m:t>Dice</m:t>
            </m:r>
          </m:sub>
        </m:sSub>
      </m:oMath>
      <w:r>
        <w:rPr>
          <w:rFonts w:ascii="Times New Roman" w:hAnsi="Times New Roman" w:eastAsia="Times New Roman"/>
          <w:sz w:val="20"/>
        </w:rPr>
        <w:t xml:space="preserve"> </w:t>
      </w:r>
      <w:r>
        <w:rPr>
          <w:rFonts w:ascii="Times New Roman" w:hAnsi="Times New Roman" w:eastAsia="Times New Roman"/>
          <w:sz w:val="20"/>
        </w:rPr>
        <w:t xml:space="preserve">is the soft Dice loss:</w:t>
      </w:r>
    </w:p>
    <w:p>
      <w:pPr>
        <w:pStyle w:val="BodyText"/>
        <w:spacing w:after="0" w:line="240" w:lineRule="auto"/>
      </w:pPr>
      <m:oMathPara>
        <m:oMathParaPr>
          <m:jc m:val="center"/>
        </m:oMathParaPr>
        <m:oMath>
          <m:sSub>
            <m:e>
              <m:r>
                <m:rPr>
                  <m:scr m:val="script"/>
                  <m:sty m:val="p"/>
                </m:rPr>
                <m:t>L</m:t>
              </m:r>
            </m:e>
            <m:sub>
              <m:r>
                <m:rPr>
                  <m:nor/>
                  <m:sty m:val="p"/>
                </m:rPr>
                <m:t>Dice</m:t>
              </m:r>
            </m:sub>
          </m:sSub>
          <m:r>
            <m:rPr>
              <m:sty m:val="p"/>
            </m:rPr>
            <m:t>=</m:t>
          </m:r>
          <m:r>
            <m:t>1</m:t>
          </m:r>
          <m:r>
            <m:rPr>
              <m:sty m:val="p"/>
            </m:rPr>
            <m:t>−</m:t>
          </m:r>
          <m:f>
            <m:fPr>
              <m:type m:val="bar"/>
            </m:fPr>
            <m:num>
              <m:r>
                <m:t>2</m:t>
              </m:r>
              <m:nary>
                <m:naryPr>
                  <m:chr m:val="∑"/>
                  <m:limLoc m:val="undOvr"/>
                  <m:subHide m:val="off"/>
                  <m:supHide m:val="on"/>
                </m:naryPr>
                <m:sub>
                  <m:r>
                    <m:t>i</m:t>
                  </m:r>
                  <m:r>
                    <m:rPr>
                      <m:sty m:val="p"/>
                    </m:rPr>
                    <m:t>∈</m:t>
                  </m:r>
                  <m:r>
                    <m:rPr>
                      <m:sty m:val="p"/>
                    </m:rPr>
                    <m:t>Ω</m:t>
                  </m:r>
                </m:sub>
                <m:sup>
                  <m:r>
                    <m:t>​</m:t>
                  </m:r>
                </m:sup>
                <m:e>
                  <m:sSub>
                    <m:e>
                      <m:acc>
                        <m:accPr>
                          <m:chr m:val="̂"/>
                        </m:accPr>
                        <m:e>
                          <m:r>
                            <m:t>y</m:t>
                          </m:r>
                        </m:e>
                      </m:acc>
                    </m:e>
                    <m:sub>
                      <m:r>
                        <m:t>i</m:t>
                      </m:r>
                    </m:sub>
                  </m:sSub>
                </m:e>
              </m:nary>
              <m:sSub>
                <m:e>
                  <m:r>
                    <m:t>y</m:t>
                  </m:r>
                </m:e>
                <m:sub>
                  <m:r>
                    <m:t>i</m:t>
                  </m:r>
                </m:sub>
              </m:sSub>
              <m:r>
                <m:rPr>
                  <m:sty m:val="p"/>
                </m:rPr>
                <m:t>+</m:t>
              </m:r>
              <m:r>
                <m:t>ϵ</m:t>
              </m:r>
            </m:num>
            <m:den>
              <m:nary>
                <m:naryPr>
                  <m:chr m:val="∑"/>
                  <m:limLoc m:val="undOvr"/>
                  <m:subHide m:val="off"/>
                  <m:supHide m:val="on"/>
                </m:naryPr>
                <m:sub>
                  <m:r>
                    <m:t>i</m:t>
                  </m:r>
                  <m:r>
                    <m:rPr>
                      <m:sty m:val="p"/>
                    </m:rPr>
                    <m:t>∈</m:t>
                  </m:r>
                  <m:r>
                    <m:rPr>
                      <m:sty m:val="p"/>
                    </m:rPr>
                    <m:t>Ω</m:t>
                  </m:r>
                </m:sub>
                <m:sup>
                  <m:r>
                    <m:t>​</m:t>
                  </m:r>
                </m:sup>
                <m:e>
                  <m:sSub>
                    <m:e>
                      <m:acc>
                        <m:accPr>
                          <m:chr m:val="̂"/>
                        </m:accPr>
                        <m:e>
                          <m:r>
                            <m:t>y</m:t>
                          </m:r>
                        </m:e>
                      </m:acc>
                    </m:e>
                    <m:sub>
                      <m:r>
                        <m:t>i</m:t>
                      </m:r>
                    </m:sub>
                  </m:sSub>
                </m:e>
              </m:nary>
              <m:r>
                <m:rPr>
                  <m:sty m:val="p"/>
                </m:rPr>
                <m:t>+</m:t>
              </m:r>
              <m:nary>
                <m:naryPr>
                  <m:chr m:val="∑"/>
                  <m:limLoc m:val="undOvr"/>
                  <m:subHide m:val="off"/>
                  <m:supHide m:val="on"/>
                </m:naryPr>
                <m:sub>
                  <m:r>
                    <m:t>i</m:t>
                  </m:r>
                  <m:r>
                    <m:rPr>
                      <m:sty m:val="p"/>
                    </m:rPr>
                    <m:t>∈</m:t>
                  </m:r>
                  <m:r>
                    <m:rPr>
                      <m:sty m:val="p"/>
                    </m:rPr>
                    <m:t>Ω</m:t>
                  </m:r>
                </m:sub>
                <m:sup>
                  <m:r>
                    <m:t>​</m:t>
                  </m:r>
                </m:sup>
                <m:e>
                  <m:sSub>
                    <m:e>
                      <m:r>
                        <m:t>y</m:t>
                      </m:r>
                    </m:e>
                    <m:sub>
                      <m:r>
                        <m:t>i</m:t>
                      </m:r>
                    </m:sub>
                  </m:sSub>
                </m:e>
              </m:nary>
              <m:r>
                <m:rPr>
                  <m:sty m:val="p"/>
                </m:rPr>
                <m:t>+</m:t>
              </m:r>
              <m:r>
                <m:t>ϵ</m:t>
              </m:r>
            </m:den>
          </m:f>
        </m:oMath>
      </m:oMathPara>
    </w:p>
    <w:p>
      <w:pPr>
        <w:pStyle w:val="FirstParagraph"/>
        <w:spacing w:after="0" w:line="240" w:lineRule="auto"/>
      </w:pPr>
      <w:r>
        <w:rPr>
          <w:rFonts w:ascii="Times New Roman" w:hAnsi="Times New Roman" w:eastAsia="Times New Roman"/>
          <w:sz w:val="20"/>
        </w:rPr>
        <w:t xml:space="preserve">The geomorphic penalty term</w:t>
      </w:r>
      <w:r>
        <w:rPr>
          <w:rFonts w:ascii="Times New Roman" w:hAnsi="Times New Roman" w:eastAsia="Times New Roman"/>
          <w:sz w:val="20"/>
        </w:rPr>
        <w:t xml:space="preserve"> </w:t>
      </w:r>
      <m:oMath>
        <m:sSub>
          <m:e>
            <m:r>
              <m:rPr>
                <m:scr m:val="script"/>
                <m:sty m:val="p"/>
              </m:rPr>
              <m:t>L</m:t>
            </m:r>
          </m:e>
          <m:sub>
            <m:r>
              <m:rPr>
                <m:nor/>
                <m:sty m:val="p"/>
              </m:rPr>
              <m:t>geom</m:t>
            </m:r>
          </m:sub>
        </m:sSub>
      </m:oMath>
      <w:r>
        <w:rPr>
          <w:rFonts w:ascii="Times New Roman" w:hAnsi="Times New Roman" w:eastAsia="Times New Roman"/>
          <w:sz w:val="20"/>
        </w:rPr>
        <w:t xml:space="preserve"> </w:t>
      </w:r>
      <w:r>
        <w:rPr>
          <w:rFonts w:ascii="Times New Roman" w:hAnsi="Times New Roman" w:eastAsia="Times New Roman"/>
          <w:sz w:val="20"/>
        </w:rPr>
        <w:t xml:space="preserve">is defined as:</w:t>
      </w:r>
    </w:p>
    <w:p>
      <w:pPr>
        <w:pStyle w:val="BodyText"/>
        <w:spacing w:after="0" w:line="240" w:lineRule="auto"/>
      </w:pPr>
      <m:oMathPara>
        <m:oMathParaPr>
          <m:jc m:val="center"/>
        </m:oMathParaPr>
        <m:oMath>
          <m:sSub>
            <m:e>
              <m:r>
                <m:rPr>
                  <m:scr m:val="script"/>
                  <m:sty m:val="p"/>
                </m:rPr>
                <m:t>L</m:t>
              </m:r>
            </m:e>
            <m:sub>
              <m:r>
                <m:rPr>
                  <m:nor/>
                  <m:sty m:val="p"/>
                </m:rPr>
                <m:t>geom</m:t>
              </m:r>
            </m:sub>
          </m:sSub>
          <m:r>
            <m:rPr>
              <m:sty m:val="p"/>
            </m:rPr>
            <m:t>=</m:t>
          </m:r>
          <m:f>
            <m:fPr>
              <m:type m:val="bar"/>
            </m:fPr>
            <m:num>
              <m:nary>
                <m:naryPr>
                  <m:chr m:val="∑"/>
                  <m:limLoc m:val="undOvr"/>
                  <m:subHide m:val="off"/>
                  <m:supHide m:val="on"/>
                </m:naryPr>
                <m:sub>
                  <m:r>
                    <m:t>i</m:t>
                  </m:r>
                  <m:r>
                    <m:rPr>
                      <m:sty m:val="p"/>
                    </m:rPr>
                    <m:t>∈</m:t>
                  </m:r>
                  <m:r>
                    <m:rPr>
                      <m:sty m:val="p"/>
                    </m:rPr>
                    <m:t>Ω</m:t>
                  </m:r>
                </m:sub>
                <m:sup>
                  <m:r>
                    <m:t>​</m:t>
                  </m:r>
                </m:sup>
                <m:e>
                  <m:sSub>
                    <m:e>
                      <m:acc>
                        <m:accPr>
                          <m:chr m:val="̂"/>
                        </m:accPr>
                        <m:e>
                          <m:r>
                            <m:t>y</m:t>
                          </m:r>
                        </m:e>
                      </m:acc>
                    </m:e>
                    <m:sub>
                      <m:r>
                        <m:t>i</m:t>
                      </m:r>
                    </m:sub>
                  </m:sSub>
                </m:e>
              </m:nary>
              <m:r>
                <m:rPr>
                  <m:sty m:val="p"/>
                </m:rPr>
                <m:t>⋅</m:t>
              </m:r>
              <m:r>
                <m:rPr>
                  <m:scr m:val="double-struck"/>
                  <m:sty m:val="p"/>
                </m:rPr>
                <m:t>I</m:t>
              </m:r>
              <m:r>
                <m:rPr>
                  <m:sty m:val="p"/>
                </m:rPr>
                <m:t>(</m:t>
              </m:r>
              <m:sSub>
                <m:e>
                  <m:r>
                    <m:t>θ</m:t>
                  </m:r>
                </m:e>
                <m:sub>
                  <m:r>
                    <m:t>i</m:t>
                  </m:r>
                </m:sub>
              </m:sSub>
              <m:r>
                <m:rPr>
                  <m:sty m:val="p"/>
                </m:rPr>
                <m:t>&lt;</m:t>
              </m:r>
              <m:sSup>
                <m:e>
                  <m:r>
                    <m:t>5</m:t>
                  </m:r>
                </m:e>
                <m:sup>
                  <m:r>
                    <m:rPr>
                      <m:sty m:val="p"/>
                    </m:rPr>
                    <m:t>∘</m:t>
                  </m:r>
                </m:sup>
              </m:sSup>
              <m:r>
                <m:rPr>
                  <m:sty m:val="p"/>
                </m:rPr>
                <m:t>∨</m:t>
              </m:r>
              <m:sSub>
                <m:e>
                  <m:r>
                    <m:t>θ</m:t>
                  </m:r>
                </m:e>
                <m:sub>
                  <m:r>
                    <m:t>i</m:t>
                  </m:r>
                </m:sub>
              </m:sSub>
              <m:r>
                <m:rPr>
                  <m:sty m:val="p"/>
                </m:rPr>
                <m:t>&gt;</m:t>
              </m:r>
              <m:sSup>
                <m:e>
                  <m:r>
                    <m:t>65</m:t>
                  </m:r>
                </m:e>
                <m:sup>
                  <m:r>
                    <m:rPr>
                      <m:sty m:val="p"/>
                    </m:rPr>
                    <m:t>∘</m:t>
                  </m:r>
                </m:sup>
              </m:sSup>
              <m:r>
                <m:rPr>
                  <m:sty m:val="p"/>
                </m:rPr>
                <m:t>)</m:t>
              </m:r>
            </m:num>
            <m:den>
              <m:nary>
                <m:naryPr>
                  <m:chr m:val="∑"/>
                  <m:limLoc m:val="undOvr"/>
                  <m:subHide m:val="off"/>
                  <m:supHide m:val="on"/>
                </m:naryPr>
                <m:sub>
                  <m:r>
                    <m:t>i</m:t>
                  </m:r>
                  <m:r>
                    <m:rPr>
                      <m:sty m:val="p"/>
                    </m:rPr>
                    <m:t>∈</m:t>
                  </m:r>
                  <m:r>
                    <m:rPr>
                      <m:sty m:val="p"/>
                    </m:rPr>
                    <m:t>Ω</m:t>
                  </m:r>
                </m:sub>
                <m:sup>
                  <m:r>
                    <m:t>​</m:t>
                  </m:r>
                </m:sup>
                <m:e>
                  <m:r>
                    <m:rPr>
                      <m:scr m:val="double-struck"/>
                      <m:sty m:val="p"/>
                    </m:rPr>
                    <m:t>I</m:t>
                  </m:r>
                </m:e>
              </m:nary>
              <m:r>
                <m:rPr>
                  <m:sty m:val="p"/>
                </m:rPr>
                <m:t>(</m:t>
              </m:r>
              <m:sSub>
                <m:e>
                  <m:r>
                    <m:t>θ</m:t>
                  </m:r>
                </m:e>
                <m:sub>
                  <m:r>
                    <m:t>i</m:t>
                  </m:r>
                </m:sub>
              </m:sSub>
              <m:r>
                <m:rPr>
                  <m:sty m:val="p"/>
                </m:rPr>
                <m:t>&lt;</m:t>
              </m:r>
              <m:sSup>
                <m:e>
                  <m:r>
                    <m:t>5</m:t>
                  </m:r>
                </m:e>
                <m:sup>
                  <m:r>
                    <m:rPr>
                      <m:sty m:val="p"/>
                    </m:rPr>
                    <m:t>∘</m:t>
                  </m:r>
                </m:sup>
              </m:sSup>
              <m:r>
                <m:rPr>
                  <m:sty m:val="p"/>
                </m:rPr>
                <m:t>∨</m:t>
              </m:r>
              <m:sSub>
                <m:e>
                  <m:r>
                    <m:t>θ</m:t>
                  </m:r>
                </m:e>
                <m:sub>
                  <m:r>
                    <m:t>i</m:t>
                  </m:r>
                </m:sub>
              </m:sSub>
              <m:r>
                <m:rPr>
                  <m:sty m:val="p"/>
                </m:rPr>
                <m:t>&gt;</m:t>
              </m:r>
              <m:sSup>
                <m:e>
                  <m:r>
                    <m:t>65</m:t>
                  </m:r>
                </m:e>
                <m:sup>
                  <m:r>
                    <m:rPr>
                      <m:sty m:val="p"/>
                    </m:rPr>
                    <m:t>∘</m:t>
                  </m:r>
                </m:sup>
              </m:sSup>
              <m:r>
                <m:rPr>
                  <m:sty m:val="p"/>
                </m:rPr>
                <m:t>)</m:t>
              </m:r>
              <m:r>
                <m:rPr>
                  <m:sty m:val="p"/>
                </m:rPr>
                <m:t>+</m:t>
              </m:r>
              <m:r>
                <m:t>ϵ</m:t>
              </m:r>
            </m:den>
          </m:f>
        </m:oMath>
      </m:oMathPara>
    </w:p>
    <w:p>
      <w:pPr>
        <w:pStyle w:val="FirstParagraph"/>
        <w:spacing w:after="0" w:line="240" w:lineRule="auto"/>
      </w:pPr>
      <w:r>
        <w:rPr>
          <w:rFonts w:ascii="Times New Roman" w:hAnsi="Times New Roman" w:eastAsia="Times New Roman"/>
          <w:sz w:val="20"/>
        </w:rPr>
        <w:t xml:space="preserve">where</w:t>
      </w:r>
      <w:r>
        <w:rPr>
          <w:rFonts w:ascii="Times New Roman" w:hAnsi="Times New Roman" w:eastAsia="Times New Roman"/>
          <w:sz w:val="20"/>
        </w:rPr>
        <w:t xml:space="preserve"> </w:t>
      </w:r>
      <m:oMath>
        <m:sSub>
          <m:e>
            <m:acc>
              <m:accPr>
                <m:chr m:val="̂"/>
              </m:accPr>
              <m:e>
                <m:r>
                  <m:t>y</m:t>
                </m:r>
              </m:e>
            </m:acc>
          </m:e>
          <m:sub>
            <m:r>
              <m:t>i</m:t>
            </m:r>
          </m:sub>
        </m:sSub>
        <m:r>
          <m:rPr>
            <m:sty m:val="p"/>
          </m:rPr>
          <m:t>=</m:t>
        </m:r>
        <m:r>
          <m:t>σ</m:t>
        </m:r>
        <m:r>
          <m:rPr>
            <m:sty m:val="p"/>
          </m:rPr>
          <m:t>(</m:t>
        </m:r>
        <m:sSub>
          <m:e>
            <m:r>
              <m:t>z</m:t>
            </m:r>
          </m:e>
          <m:sub>
            <m:r>
              <m:t>i</m:t>
            </m:r>
          </m:sub>
        </m:sSub>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is the predicted probability,</w:t>
      </w:r>
      <w:r>
        <w:rPr>
          <w:rFonts w:ascii="Times New Roman" w:hAnsi="Times New Roman" w:eastAsia="Times New Roman"/>
          <w:sz w:val="20"/>
        </w:rPr>
        <w:t xml:space="preserve"> </w:t>
      </w:r>
      <m:oMath>
        <m:sSub>
          <m:e>
            <m:r>
              <m:t>θ</m:t>
            </m:r>
          </m:e>
          <m:sub>
            <m:r>
              <m:t>i</m:t>
            </m:r>
          </m:sub>
        </m:sSub>
      </m:oMath>
      <w:r>
        <w:rPr>
          <w:rFonts w:ascii="Times New Roman" w:hAnsi="Times New Roman" w:eastAsia="Times New Roman"/>
          <w:sz w:val="20"/>
        </w:rPr>
        <w:t xml:space="preserve"> </w:t>
      </w:r>
      <w:r>
        <w:rPr>
          <w:rFonts w:ascii="Times New Roman" w:hAnsi="Times New Roman" w:eastAsia="Times New Roman"/>
          <w:sz w:val="20"/>
        </w:rPr>
        <w:t xml:space="preserve">is terrain slope in degrees, and</w:t>
      </w:r>
      <w:r>
        <w:rPr>
          <w:rFonts w:ascii="Times New Roman" w:hAnsi="Times New Roman" w:eastAsia="Times New Roman"/>
          <w:sz w:val="20"/>
        </w:rPr>
        <w:t xml:space="preserve"> </w:t>
      </w:r>
      <m:oMath>
        <m:r>
          <m:rPr>
            <m:scr m:val="double-struck"/>
            <m:sty m:val="p"/>
          </m:rPr>
          <m:t>I</m:t>
        </m:r>
        <m:r>
          <m:rPr>
            <m:sty m:val="p"/>
          </m:rPr>
          <m:t>(</m:t>
        </m:r>
        <m:r>
          <m:rPr>
            <m:sty m:val="p"/>
          </m:rPr>
          <m:t>⋅</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is an indicator function. With</w:t>
      </w:r>
      <w:r>
        <w:rPr>
          <w:rFonts w:ascii="Times New Roman" w:hAnsi="Times New Roman" w:eastAsia="Times New Roman"/>
          <w:sz w:val="20"/>
        </w:rPr>
        <w:t xml:space="preserve"> </w:t>
      </w:r>
      <m:oMath>
        <m:sSub>
          <m:e>
            <m:r>
              <m:t>λ</m:t>
            </m:r>
          </m:e>
          <m:sub>
            <m:r>
              <m:rPr>
                <m:nor/>
                <m:sty m:val="p"/>
              </m:rPr>
              <m:t>geom</m:t>
            </m:r>
          </m:sub>
        </m:sSub>
        <m:r>
          <m:rPr>
            <m:sty m:val="p"/>
          </m:rPr>
          <m:t>=</m:t>
        </m:r>
        <m:r>
          <m:t>0.5</m:t>
        </m:r>
      </m:oMath>
      <w:r>
        <w:rPr>
          <w:rFonts w:ascii="Times New Roman" w:hAnsi="Times New Roman" w:eastAsia="Times New Roman"/>
          <w:sz w:val="20"/>
        </w:rPr>
        <w:t xml:space="preserve">, predictions inside the slope-prior mask receive a direct penalty regardless of the target label. BCE and Dice therefore compete with this term on positive pixels inside the mask; the construct is evaluated empirically as a heuristic prior rather than a physical-validity constraint.</w:t>
      </w:r>
    </w:p>
    <w:bookmarkEnd w:id="23"/>
    <w:bookmarkStart w:id="24" w:name="X7bf427dcb5b5dffec4975d4220d1a0da5b9d88f"/>
    <w:p>
      <w:pPr>
        <w:pStyle w:val="Heading2"/>
        <w:spacing w:after="0" w:line="240" w:lineRule="auto"/>
      </w:pPr>
      <w:r>
        <w:rPr>
          <w:rFonts w:ascii="Times New Roman" w:hAnsi="Times New Roman" w:eastAsia="Times New Roman"/>
          <w:sz w:val="20"/>
        </w:rPr>
        <w:t xml:space="preserve">Training Protocol and Optimization Details</w:t>
      </w:r>
    </w:p>
    <w:p>
      <w:pPr>
        <w:pStyle w:val="FirstParagraph"/>
        <w:spacing w:after="0" w:line="240" w:lineRule="auto"/>
      </w:pPr>
      <w:r>
        <w:rPr>
          <w:rFonts w:ascii="Times New Roman" w:hAnsi="Times New Roman" w:eastAsia="Times New Roman"/>
          <w:sz w:val="20"/>
        </w:rPr>
        <w:t xml:space="preserve">All models are implemented in PyTorch and trained on an Apple Silicon unified memory GPU environment using Metal Performance Shaders (MPS). Patch-based training utilizes</w:t>
      </w:r>
      <w:r>
        <w:rPr>
          <w:rFonts w:ascii="Times New Roman" w:hAnsi="Times New Roman" w:eastAsia="Times New Roman"/>
          <w:sz w:val="20"/>
        </w:rPr>
        <w:t xml:space="preserve"> </w:t>
      </w:r>
      <m:oMath>
        <m:r>
          <m:t>128</m:t>
        </m:r>
        <m:r>
          <m:rPr>
            <m:sty m:val="p"/>
          </m:rPr>
          <m:t>×</m:t>
        </m:r>
        <m:r>
          <m:t>128</m:t>
        </m:r>
      </m:oMath>
      <w:r>
        <w:rPr>
          <w:rFonts w:ascii="Times New Roman" w:hAnsi="Times New Roman" w:eastAsia="Times New Roman"/>
          <w:sz w:val="20"/>
        </w:rPr>
        <w:t xml:space="preserve"> </w:t>
      </w:r>
      <w:r>
        <w:rPr>
          <w:rFonts w:ascii="Times New Roman" w:hAnsi="Times New Roman" w:eastAsia="Times New Roman"/>
          <w:sz w:val="20"/>
        </w:rPr>
        <w:t xml:space="preserve">pixel spatial windows extracted with a 64-pixel stride. Training patches are balanced with a 1:1 ratio between positive patches (containing</w:t>
      </w:r>
      <w:r>
        <w:rPr>
          <w:rFonts w:ascii="Times New Roman" w:hAnsi="Times New Roman" w:eastAsia="Times New Roman"/>
          <w:sz w:val="20"/>
        </w:rPr>
        <w:t xml:space="preserve"> </w:t>
      </w:r>
      <m:oMath>
        <m:r>
          <m:rPr>
            <m:sty m:val="p"/>
          </m:rPr>
          <m:t>≥</m:t>
        </m:r>
        <m:r>
          <m:t>5</m:t>
        </m:r>
      </m:oMath>
      <w:r>
        <w:rPr>
          <w:rFonts w:ascii="Times New Roman" w:hAnsi="Times New Roman" w:eastAsia="Times New Roman"/>
          <w:sz w:val="20"/>
        </w:rPr>
        <w:t xml:space="preserve"> </w:t>
      </w:r>
      <w:r>
        <w:rPr>
          <w:rFonts w:ascii="Times New Roman" w:hAnsi="Times New Roman" w:eastAsia="Times New Roman"/>
          <w:sz w:val="20"/>
        </w:rPr>
        <w:t xml:space="preserve">avalanche debris pixels) and negative background patches, yielding 2,054 training patches per epoch across the three training events (Livigno 2024, Livigno Jan 2025, Nuuk 2016). Sentinel-1 ascending acquisitions feature a canonical nominal look azimuth of</w:t>
      </w:r>
      <w:r>
        <w:rPr>
          <w:rFonts w:ascii="Times New Roman" w:hAnsi="Times New Roman" w:eastAsia="Times New Roman"/>
          <w:sz w:val="20"/>
        </w:rPr>
        <w:t xml:space="preserve"> </w:t>
      </w:r>
      <m:oMath>
        <m:sSub>
          <m:e>
            <m:r>
              <m:t>ϕ</m:t>
            </m:r>
          </m:e>
          <m:sub>
            <m:r>
              <m:rPr>
                <m:nor/>
                <m:sty m:val="p"/>
              </m:rPr>
              <m:t>look</m:t>
            </m:r>
          </m:sub>
        </m:sSub>
        <m:r>
          <m:rPr>
            <m:sty m:val="p"/>
          </m:rPr>
          <m:t>≈</m:t>
        </m:r>
        <m:sSup>
          <m:e>
            <m:r>
              <m:t>78</m:t>
            </m:r>
          </m:e>
          <m:sup>
            <m:r>
              <m:rPr>
                <m:sty m:val="p"/>
              </m:rPr>
              <m:t>∘</m:t>
            </m:r>
          </m:sup>
        </m:sSup>
      </m:oMath>
      <w:r>
        <w:rPr>
          <w:rFonts w:ascii="Times New Roman" w:hAnsi="Times New Roman" w:eastAsia="Times New Roman"/>
          <w:sz w:val="20"/>
        </w:rPr>
        <w:t xml:space="preserve">, which defines the aspect-look alignment coordinate</w:t>
      </w:r>
      <w:r>
        <w:rPr>
          <w:rFonts w:ascii="Times New Roman" w:hAnsi="Times New Roman" w:eastAsia="Times New Roman"/>
          <w:sz w:val="20"/>
        </w:rPr>
        <w:t xml:space="preserve"> </w:t>
      </w:r>
      <m:oMath>
        <m:sSub>
          <m:e>
            <m:r>
              <m:t>θ</m:t>
            </m:r>
          </m:e>
          <m:sub>
            <m:r>
              <m:rPr>
                <m:nor/>
                <m:sty m:val="p"/>
              </m:rPr>
              <m:t>align</m:t>
            </m:r>
          </m:sub>
        </m:sSub>
        <m:r>
          <m:rPr>
            <m:sty m:val="p"/>
          </m:rPr>
          <m:t>=</m:t>
        </m:r>
        <m:r>
          <m:rPr>
            <m:sty m:val="p"/>
          </m:rPr>
          <m:t>cos</m:t>
        </m:r>
        <m:r>
          <m:rPr>
            <m:sty m:val="p"/>
          </m:rPr>
          <m:t>(</m:t>
        </m:r>
        <m:r>
          <m:t>α</m:t>
        </m:r>
        <m:r>
          <m:rPr>
            <m:sty m:val="p"/>
          </m:rPr>
          <m:t>−</m:t>
        </m:r>
        <m:sSup>
          <m:e>
            <m:r>
              <m:t>78</m:t>
            </m:r>
          </m:e>
          <m:sup>
            <m:r>
              <m:rPr>
                <m:sty m:val="p"/>
              </m:rPr>
              <m:t>∘</m:t>
            </m:r>
          </m:sup>
        </m:sSup>
        <m:r>
          <m:rPr>
            <m:sty m:val="p"/>
          </m:rPr>
          <m:t>)</m:t>
        </m:r>
      </m:oMath>
      <w:r>
        <w:rPr>
          <w:rFonts w:ascii="Times New Roman" w:hAnsi="Times New Roman" w:eastAsia="Times New Roman"/>
          <w:sz w:val="20"/>
        </w:rPr>
        <w:t xml:space="preserve">. The executed checkpoint-era augmentation applies random horizontal reflections (negating aspect sine), vertical reflections (negating aspect cosine), and random orthogonal rotations to all spatial arrays; the precomputed orbital look-alignment channel is spatially transformed but not directionally recomputed. This convention exactly identifies the released training path, but it is not a fully rotation/reflection-equivariant transformation of the directional manifold. We therefore interpret the directional-channel findings as empirical sensitivity results rather than proof of an equivariant physical mechanism.</w:t>
      </w:r>
    </w:p>
    <w:p>
      <w:pPr>
        <w:pStyle w:val="BodyText"/>
        <w:spacing w:after="0" w:line="240" w:lineRule="auto"/>
      </w:pPr>
      <w:r>
        <w:rPr>
          <w:rFonts w:ascii="Times New Roman" w:hAnsi="Times New Roman" w:eastAsia="Times New Roman"/>
          <w:sz w:val="20"/>
        </w:rPr>
        <w:t xml:space="preserve">To evaluate the specific architectural benefits of multi-scale radar-topographic cross-attention and continuous aspect-look manifold modeling under controlled conditions, all comparative baselines and TopoRadar-Net variants are trained using the identical optimization schedule and loss formulation (Eq. 18), with</w:t>
      </w:r>
      <w:r>
        <w:rPr>
          <w:rFonts w:ascii="Times New Roman" w:hAnsi="Times New Roman" w:eastAsia="Times New Roman"/>
          <w:sz w:val="20"/>
        </w:rPr>
        <w:t xml:space="preserve"> </w:t>
      </w:r>
      <m:oMath>
        <m:sSub>
          <m:e>
            <m:r>
              <m:t>λ</m:t>
            </m:r>
          </m:e>
          <m:sub>
            <m:r>
              <m:rPr>
                <m:nor/>
                <m:sty m:val="p"/>
              </m:rPr>
              <m:t>geom</m:t>
            </m:r>
          </m:sub>
        </m:sSub>
        <m:r>
          <m:rPr>
            <m:sty m:val="p"/>
          </m:rPr>
          <m:t>=</m:t>
        </m:r>
        <m:r>
          <m:t>0.5</m:t>
        </m:r>
      </m:oMath>
      <w:r>
        <w:rPr>
          <w:rFonts w:ascii="Times New Roman" w:hAnsi="Times New Roman" w:eastAsia="Times New Roman"/>
          <w:sz w:val="20"/>
        </w:rPr>
        <w:t xml:space="preserve"> </w:t>
      </w:r>
      <w:r>
        <w:rPr>
          <w:rFonts w:ascii="Times New Roman" w:hAnsi="Times New Roman" w:eastAsia="Times New Roman"/>
          <w:sz w:val="20"/>
        </w:rPr>
        <w:t xml:space="preserve">(except in the No-GeoLoss ablation where</w:t>
      </w:r>
      <w:r>
        <w:rPr>
          <w:rFonts w:ascii="Times New Roman" w:hAnsi="Times New Roman" w:eastAsia="Times New Roman"/>
          <w:sz w:val="20"/>
        </w:rPr>
        <w:t xml:space="preserve"> </w:t>
      </w:r>
      <m:oMath>
        <m:sSub>
          <m:e>
            <m:r>
              <m:t>λ</m:t>
            </m:r>
          </m:e>
          <m:sub>
            <m:r>
              <m:rPr>
                <m:nor/>
                <m:sty m:val="p"/>
              </m:rPr>
              <m:t>geom</m:t>
            </m:r>
          </m:sub>
        </m:sSub>
        <m:r>
          <m:rPr>
            <m:sty m:val="p"/>
          </m:rPr>
          <m:t>=</m:t>
        </m:r>
        <m:r>
          <m:t>0</m:t>
        </m:r>
      </m:oMath>
      <w:r>
        <w:rPr>
          <w:rFonts w:ascii="Times New Roman" w:hAnsi="Times New Roman" w:eastAsia="Times New Roman"/>
          <w:sz w:val="20"/>
        </w:rPr>
        <w:t xml:space="preserve">). Network parameters are optimized using AdamW (</w:t>
      </w:r>
      <m:oMath>
        <m:sSub>
          <m:e>
            <m:r>
              <m:t>β</m:t>
            </m:r>
          </m:e>
          <m:sub>
            <m:r>
              <m:t>1</m:t>
            </m:r>
          </m:sub>
        </m:sSub>
        <m:r>
          <m:rPr>
            <m:sty m:val="p"/>
          </m:rPr>
          <m:t>=</m:t>
        </m:r>
        <m:r>
          <m:t>0.9</m:t>
        </m:r>
        <m:r>
          <m:rPr>
            <m:sty m:val="p"/>
          </m:rPr>
          <m:t>,</m:t>
        </m:r>
        <m:sSub>
          <m:e>
            <m:r>
              <m:t>β</m:t>
            </m:r>
          </m:e>
          <m:sub>
            <m:r>
              <m:t>2</m:t>
            </m:r>
          </m:sub>
        </m:sSub>
        <m:r>
          <m:rPr>
            <m:sty m:val="p"/>
          </m:rPr>
          <m:t>=</m:t>
        </m:r>
        <m:r>
          <m:t>0.999</m:t>
        </m:r>
      </m:oMath>
      <w:r>
        <w:rPr>
          <w:rFonts w:ascii="Times New Roman" w:hAnsi="Times New Roman" w:eastAsia="Times New Roman"/>
          <w:sz w:val="20"/>
        </w:rPr>
        <w:t xml:space="preserve">, weight decay</w:t>
      </w:r>
      <w:r>
        <w:rPr>
          <w:rFonts w:ascii="Times New Roman" w:hAnsi="Times New Roman" w:eastAsia="Times New Roman"/>
          <w:sz w:val="20"/>
        </w:rPr>
        <w:t xml:space="preserve"> </w:t>
      </w:r>
      <m:oMath>
        <m:sSup>
          <m:e>
            <m:r>
              <m:t>10</m:t>
            </m:r>
          </m:e>
          <m:sup>
            <m:r>
              <m:rPr>
                <m:sty m:val="p"/>
              </m:rPr>
              <m:t>−</m:t>
            </m:r>
            <m:r>
              <m:t>4</m:t>
            </m:r>
          </m:sup>
        </m:sSup>
      </m:oMath>
      <w:r>
        <w:rPr>
          <w:rFonts w:ascii="Times New Roman" w:hAnsi="Times New Roman" w:eastAsia="Times New Roman"/>
          <w:sz w:val="20"/>
        </w:rPr>
        <w:t xml:space="preserve">) with an initial learning rate of</w:t>
      </w:r>
      <w:r>
        <w:rPr>
          <w:rFonts w:ascii="Times New Roman" w:hAnsi="Times New Roman" w:eastAsia="Times New Roman"/>
          <w:sz w:val="20"/>
        </w:rPr>
        <w:t xml:space="preserve"> </w:t>
      </w:r>
      <m:oMath>
        <m:r>
          <m:t>2</m:t>
        </m:r>
        <m:r>
          <m:rPr>
            <m:sty m:val="p"/>
          </m:rPr>
          <m:t>×</m:t>
        </m:r>
        <m:sSup>
          <m:e>
            <m:r>
              <m:t>10</m:t>
            </m:r>
          </m:e>
          <m:sup>
            <m:r>
              <m:rPr>
                <m:sty m:val="p"/>
              </m:rPr>
              <m:t>−</m:t>
            </m:r>
            <m:r>
              <m:t>4</m:t>
            </m:r>
          </m:sup>
        </m:sSup>
      </m:oMath>
      <w:r>
        <w:rPr>
          <w:rFonts w:ascii="Times New Roman" w:hAnsi="Times New Roman" w:eastAsia="Times New Roman"/>
          <w:sz w:val="20"/>
        </w:rPr>
        <w:t xml:space="preserve"> </w:t>
      </w:r>
      <w:r>
        <w:rPr>
          <w:rFonts w:ascii="Times New Roman" w:hAnsi="Times New Roman" w:eastAsia="Times New Roman"/>
          <w:sz w:val="20"/>
        </w:rPr>
        <w:t xml:space="preserve">decayed via cosine annealing over 6 epochs (batch size 16) with gradient clipping at norm 5.0. Checkpoint selection is governed by balanced patch-level validation F1-score evaluated at threshold 0.5 on the validation cohort (Livigno March 2025 and Nuuk 2021). Subsequently, the operating decision threshold</w:t>
      </w:r>
      <w:r>
        <w:rPr>
          <w:rFonts w:ascii="Times New Roman" w:hAnsi="Times New Roman" w:eastAsia="Times New Roman"/>
          <w:sz w:val="20"/>
        </w:rPr>
        <w:t xml:space="preserve"> </w:t>
      </w:r>
      <m:oMath>
        <m:r>
          <m:t>τ</m:t>
        </m:r>
      </m:oMath>
      <w:r>
        <w:rPr>
          <w:rFonts w:ascii="Times New Roman" w:hAnsi="Times New Roman" w:eastAsia="Times New Roman"/>
          <w:sz w:val="20"/>
        </w:rPr>
        <w:t xml:space="preserve"> </w:t>
      </w:r>
      <w:r>
        <w:rPr>
          <w:rFonts w:ascii="Times New Roman" w:hAnsi="Times New Roman" w:eastAsia="Times New Roman"/>
          <w:sz w:val="20"/>
        </w:rPr>
        <w:t xml:space="preserve">is calibrated on full-scene validation rasters using a grid search over</w:t>
      </w:r>
      <w:r>
        <w:rPr>
          <w:rFonts w:ascii="Times New Roman" w:hAnsi="Times New Roman" w:eastAsia="Times New Roman"/>
          <w:sz w:val="20"/>
        </w:rPr>
        <w:t xml:space="preserve"> </w:t>
      </w:r>
      <m:oMath>
        <m:r>
          <m:t>τ</m:t>
        </m:r>
        <m:r>
          <m:rPr>
            <m:sty m:val="p"/>
          </m:rPr>
          <m:t>∈</m:t>
        </m:r>
        <m:r>
          <m:rPr>
            <m:sty m:val="p"/>
          </m:rPr>
          <m:t>[</m:t>
        </m:r>
        <m:r>
          <m:t>0.20</m:t>
        </m:r>
        <m:r>
          <m:rPr>
            <m:sty m:val="p"/>
          </m:rPr>
          <m:t>,</m:t>
        </m:r>
        <m:r>
          <m:t>0.80</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in steps of 0.02, maximizing validation F1. This frozen threshold is then applied directly to full-scene zero-shot inference on Troms</w:t>
      </w:r>
      <w:r>
        <w:rPr>
          <w:rFonts w:ascii="Times New Roman" w:hAnsi="Times New Roman" w:eastAsia="Times New Roman"/>
          <w:sz w:val="20"/>
        </w:rPr>
        <w:t xml:space="preserve">ø</w:t>
      </w:r>
      <w:r>
        <w:rPr>
          <w:rFonts w:ascii="Times New Roman" w:hAnsi="Times New Roman" w:eastAsia="Times New Roman"/>
          <w:sz w:val="20"/>
        </w:rPr>
        <w:t xml:space="preserve"> </w:t>
      </w:r>
      <w:r>
        <w:rPr>
          <w:rFonts w:ascii="Times New Roman" w:hAnsi="Times New Roman" w:eastAsia="Times New Roman"/>
          <w:sz w:val="20"/>
        </w:rPr>
        <w:t xml:space="preserve">and the Pamir Mountains using sliding-window inference with 2D Hanning-window blending (stride 64). Full-scene sliding-window inference over a</w:t>
      </w:r>
      <w:r>
        <w:rPr>
          <w:rFonts w:ascii="Times New Roman" w:hAnsi="Times New Roman" w:eastAsia="Times New Roman"/>
          <w:sz w:val="20"/>
        </w:rPr>
        <w:t xml:space="preserve"> </w:t>
      </w:r>
      <m:oMath>
        <m:r>
          <m:t>2</m:t>
        </m:r>
        <m:r>
          <m:rPr>
            <m:sty m:val="p"/>
          </m:rPr>
          <m:t>,</m:t>
        </m:r>
        <m:r>
          <m:t>500</m:t>
        </m:r>
        <m:r>
          <m:rPr>
            <m:sty m:val="p"/>
          </m:rPr>
          <m:t>×</m:t>
        </m:r>
        <m:r>
          <m:t>2</m:t>
        </m:r>
        <m:r>
          <m:rPr>
            <m:sty m:val="p"/>
          </m:rPr>
          <m:t>,</m:t>
        </m:r>
        <m:r>
          <m:t>000</m:t>
        </m:r>
      </m:oMath>
      <w:r>
        <w:rPr>
          <w:rFonts w:ascii="Times New Roman" w:hAnsi="Times New Roman" w:eastAsia="Times New Roman"/>
          <w:sz w:val="20"/>
        </w:rPr>
        <w:t xml:space="preserve"> </w:t>
      </w:r>
      <w:r>
        <w:rPr>
          <w:rFonts w:ascii="Times New Roman" w:hAnsi="Times New Roman" w:eastAsia="Times New Roman"/>
          <w:sz w:val="20"/>
        </w:rPr>
        <w:t xml:space="preserve">pixel alpine scene (1,200 patches at stride 64) requires approximately</w:t>
      </w:r>
      <w:r>
        <w:rPr>
          <w:rFonts w:ascii="Times New Roman" w:hAnsi="Times New Roman" w:eastAsia="Times New Roman"/>
          <w:sz w:val="20"/>
        </w:rPr>
        <w:t xml:space="preserve"> </w:t>
      </w:r>
      <m:oMath>
        <m:r>
          <m:t>1.80</m:t>
        </m:r>
        <m:r>
          <m:rPr>
            <m:sty m:val="p"/>
          </m:rPr>
          <m:t>±</m:t>
        </m:r>
        <m:r>
          <m:t>0.02</m:t>
        </m:r>
      </m:oMath>
      <w:r>
        <w:rPr>
          <w:rFonts w:ascii="Times New Roman" w:hAnsi="Times New Roman" w:eastAsia="Times New Roman"/>
          <w:sz w:val="20"/>
        </w:rPr>
        <w:t xml:space="preserve"> </w:t>
      </w:r>
      <w:r>
        <w:rPr>
          <w:rFonts w:ascii="Times New Roman" w:hAnsi="Times New Roman" w:eastAsia="Times New Roman"/>
          <w:sz w:val="20"/>
        </w:rPr>
        <w:t xml:space="preserve">seconds on Apple MPS hardware, with TopoRadar-Net maintaining a compact parameter footprint of 3.46M parameters (3,455,729 parameters).</w:t>
      </w:r>
    </w:p>
    <w:p>
      <w:pPr>
        <w:pStyle w:val="BodyText"/>
        <w:spacing w:after="0" w:line="240" w:lineRule="auto"/>
      </w:pPr>
      <w:r>
        <w:rPr>
          <w:rFonts w:ascii="Times New Roman" w:hAnsi="Times New Roman" w:eastAsia="Times New Roman"/>
          <w:sz w:val="20"/>
        </w:rPr>
        <w:t xml:space="preserve">After the primary evaluation, we conducted a labelled post-hoc operational proxy. Predicted components of at least 10 pixels were assigned mean scores; a one-feature Platt model and an F2-optimal alert threshold were fit only on the two validation scenes. Frozen alerts on test scenes were intersected with 30 m buffers around a committed OpenStreetMap major-road snapshot and counted correct at</w:t>
      </w:r>
      <w:r>
        <w:rPr>
          <w:rFonts w:ascii="Times New Roman" w:hAnsi="Times New Roman" w:eastAsia="Times New Roman"/>
          <w:sz w:val="20"/>
        </w:rPr>
        <w:t xml:space="preserve"> </w:t>
      </w:r>
      <m:oMath>
        <m:r>
          <m:rPr>
            <m:sty m:val="p"/>
          </m:rPr>
          <m:t>≥</m:t>
        </m:r>
        <m:r>
          <m:t>30</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ground-truth component overlap. Cached end-to-end timing includes raster loading, road rasterization, inference, calibration, component extraction, and intersection, but excludes data acquisition and human review. This exploratory protocol measures calibration and corridor proximity, not dispatch or stakeholder benefit.</w:t>
      </w:r>
    </w:p>
    <w:bookmarkEnd w:id="24"/>
    <w:bookmarkEnd w:id="25"/>
    <w:bookmarkStart w:id="41" w:name="results"/>
    <w:p>
      <w:pPr>
        <w:pStyle w:val="Heading1"/>
        <w:spacing w:after="0" w:line="240" w:lineRule="auto"/>
      </w:pPr>
      <w:r>
        <w:rPr>
          <w:rFonts w:ascii="Times New Roman" w:hAnsi="Times New Roman" w:eastAsia="Times New Roman"/>
          <w:sz w:val="20"/>
        </w:rPr>
        <w:t xml:space="preserve">Results</w:t>
      </w:r>
    </w:p>
    <w:bookmarkStart w:id="29" w:name="Xd1064489271cfd5fe70c7e7f2f5e03d2536fa98"/>
    <w:p>
      <w:pPr>
        <w:pStyle w:val="Heading2"/>
        <w:spacing w:after="0" w:line="240" w:lineRule="auto"/>
      </w:pPr>
      <w:r>
        <w:rPr>
          <w:rFonts w:ascii="Times New Roman" w:hAnsi="Times New Roman" w:eastAsia="Times New Roman"/>
          <w:sz w:val="20"/>
        </w:rPr>
        <w:t xml:space="preserve">Cross-System Performance on Unseen Mountain Systems</w:t>
      </w:r>
    </w:p>
    <w:p>
      <w:pPr>
        <w:pStyle w:val="FirstParagraph"/>
        <w:spacing w:after="0" w:line="240" w:lineRule="auto"/>
      </w:pPr>
      <w:r>
        <w:rPr>
          <w:rFonts w:ascii="Times New Roman" w:hAnsi="Times New Roman" w:eastAsia="Times New Roman"/>
          <w:sz w:val="20"/>
        </w:rPr>
        <w:t xml:space="preserve">To characterize cross-system transfer, all models are trained on European Alps (Livigno) and Greenland (Nuuk) events and evaluated without site-specific tuning on two held-out scenes: Troms</w:t>
      </w:r>
      <w:r>
        <w:rPr>
          <w:rFonts w:ascii="Times New Roman" w:hAnsi="Times New Roman" w:eastAsia="Times New Roman"/>
          <w:sz w:val="20"/>
        </w:rPr>
        <w:t xml:space="preserve">ø</w:t>
      </w:r>
      <w:r>
        <w:rPr>
          <w:rFonts w:ascii="Times New Roman" w:hAnsi="Times New Roman" w:eastAsia="Times New Roman"/>
          <w:sz w:val="20"/>
        </w:rPr>
        <w:t xml:space="preserve">, Norway, and Pish, Tajikistan. Table 2 reports pixel-level metrics across three independent training seeds (42, 123, and 456; mean</w:t>
      </w:r>
      <w:r>
        <w:rPr>
          <w:rFonts w:ascii="Times New Roman" w:hAnsi="Times New Roman" w:eastAsia="Times New Roman"/>
          <w:sz w:val="20"/>
        </w:rPr>
        <w:t xml:space="preserve"> </w:t>
      </w:r>
      <m:oMath>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standard deviation).</w:t>
      </w:r>
    </w:p>
    <w:p>
      <w:pPr>
        <w:pStyle w:val="BodyText"/>
        <w:spacing w:after="0" w:line="240" w:lineRule="auto"/>
      </w:pPr>
      <w:r>
        <w:rPr>
          <w:rFonts w:ascii="Times New Roman" w:hAnsi="Times New Roman" w:eastAsia="Times New Roman"/>
          <w:b/>
          <w:bCs/>
          <w:sz w:val="20"/>
        </w:rPr>
        <w:t xml:space="preserve">Table 2.</w:t>
      </w:r>
      <w:r>
        <w:rPr>
          <w:rFonts w:ascii="Times New Roman" w:hAnsi="Times New Roman" w:eastAsia="Times New Roman"/>
          <w:sz w:val="20"/>
        </w:rPr>
        <w:t xml:space="preserve"> </w:t>
      </w:r>
      <w:r>
        <w:rPr>
          <w:rFonts w:ascii="Times New Roman" w:hAnsi="Times New Roman" w:eastAsia="Times New Roman"/>
          <w:sz w:val="20"/>
        </w:rPr>
        <w:t xml:space="preserve">Cross-system zero-shot evaluation on unseen mountain systems (Scandinavian Arctic Troms</w:t>
      </w:r>
      <w:r>
        <w:rPr>
          <w:rFonts w:ascii="Times New Roman" w:hAnsi="Times New Roman" w:eastAsia="Times New Roman"/>
          <w:sz w:val="20"/>
        </w:rPr>
        <w:t xml:space="preserve">ø</w:t>
      </w:r>
      <w:r>
        <w:rPr>
          <w:rFonts w:ascii="Times New Roman" w:hAnsi="Times New Roman" w:eastAsia="Times New Roman"/>
          <w:sz w:val="20"/>
        </w:rPr>
        <w:t xml:space="preserve"> </w:t>
      </w:r>
      <w:r>
        <w:rPr>
          <w:rFonts w:ascii="Times New Roman" w:hAnsi="Times New Roman" w:eastAsia="Times New Roman"/>
          <w:sz w:val="20"/>
        </w:rPr>
        <w:t xml:space="preserve">and Central Asian Pamir Mountains), reporting Mean ± Standard Deviation across 3 independent training seeds. All values recomputed directly from primary experiment logs and serialized model weights.</w:t>
      </w:r>
    </w:p>
    <w:tbl>
      <w:tblPr>
        <w:tblStyle w:val="Table"/>
        <w:tblW w:type="auto" w:w="0"/>
        <w:tblLayout w:type="fixed"/>
        <w:tblLook w:firstRow="0" w:lastRow="0" w:firstColumn="0" w:lastColumn="0" w:noHBand="0" w:noVBand="0" w:val="0000"/>
      </w:tblPr>
      <w:tblGrid>
        <w:gridCol w:w="2268"/>
        <w:gridCol w:w="680"/>
        <w:gridCol w:w="1020"/>
        <w:gridCol w:w="1020"/>
        <w:gridCol w:w="1020"/>
        <w:gridCol w:w="1020"/>
        <w:gridCol w:w="964"/>
        <w:gridCol w:w="964"/>
      </w:tblGrid>
      <w:tr>
        <w:trPr>
          <w:cantSplit w:val="true"/>
          <w:tblHeader w:val="true"/>
        </w:trPr>
        <w:tc>
          <w:tcPr>
            <w:tcW w:type="dxa" w:w="2268"/>
            <w:vMerge w:val="restart"/>
            <w:vAlign w:val="center"/>
          </w:tcPr>
          <w:p>
            <w:pPr>
              <w:pStyle w:val="Compact"/>
              <w:spacing w:before="0" w:after="0" w:line="240" w:lineRule="auto"/>
              <w:jc w:val="left"/>
            </w:pPr>
            <w:r>
              <w:rPr>
                <w:rFonts w:ascii="Times New Roman" w:hAnsi="Times New Roman" w:eastAsia="Times New Roman"/>
                <w:b/>
                <w:bCs/>
                <w:sz w:val="16"/>
              </w:rPr>
              <w:t xml:space="preserve">Method</w:t>
            </w:r>
          </w:p>
        </w:tc>
        <w:tc>
          <w:tcPr>
            <w:tcW w:type="dxa" w:w="680"/>
            <w:vMerge w:val="restart"/>
            <w:vAlign w:val="center"/>
          </w:tcPr>
          <w:p>
            <w:pPr>
              <w:pStyle w:val="Compact"/>
              <w:spacing w:before="0" w:after="0" w:line="240" w:lineRule="auto"/>
              <w:jc w:val="center"/>
            </w:pPr>
            <w:r>
              <w:rPr>
                <w:rFonts w:ascii="Times New Roman" w:hAnsi="Times New Roman" w:eastAsia="Times New Roman"/>
                <w:b/>
                <w:bCs/>
                <w:sz w:val="16"/>
              </w:rPr>
              <w:t xml:space="preserve">Params</w:t>
            </w:r>
          </w:p>
        </w:tc>
        <w:tc>
          <w:tcPr>
            <w:tcW w:type="dxa" w:w="1020"/>
            <w:gridSpan w:val="3"/>
            <w:vAlign w:val="center"/>
          </w:tcPr>
          <w:p>
            <w:pPr>
              <w:pStyle w:val="Compact"/>
              <w:spacing w:before="0" w:after="0" w:line="240" w:lineRule="auto"/>
              <w:jc w:val="center"/>
            </w:pPr>
            <w:r>
              <w:rPr>
                <w:rFonts w:ascii="Times New Roman" w:hAnsi="Times New Roman" w:eastAsia="Times New Roman"/>
                <w:b/>
                <w:bCs/>
                <w:sz w:val="16"/>
              </w:rPr>
              <w:t xml:space="preserve">Scandinavian Arctic (Troms</w:t>
            </w:r>
            <w:r>
              <w:rPr>
                <w:rFonts w:ascii="Times New Roman" w:hAnsi="Times New Roman" w:eastAsia="Times New Roman"/>
                <w:b/>
                <w:bCs/>
                <w:sz w:val="16"/>
              </w:rPr>
              <w:t xml:space="preserve">ø</w:t>
            </w:r>
            <w:r>
              <w:rPr>
                <w:rFonts w:ascii="Times New Roman" w:hAnsi="Times New Roman" w:eastAsia="Times New Roman"/>
                <w:b/>
                <w:bCs/>
                <w:sz w:val="16"/>
              </w:rPr>
              <w:t xml:space="preserve">)</w:t>
            </w:r>
          </w:p>
        </w:tc>
        <w:tc>
          <w:tcPr>
            <w:tcW w:type="dxa" w:w="964"/>
            <w:gridSpan w:val="2"/>
            <w:vAlign w:val="center"/>
          </w:tcPr>
          <w:p>
            <w:pPr>
              <w:pStyle w:val="Compact"/>
              <w:spacing w:before="0" w:after="0" w:line="240" w:lineRule="auto"/>
              <w:jc w:val="center"/>
            </w:pPr>
            <w:r>
              <w:rPr>
                <w:rFonts w:ascii="Times New Roman" w:hAnsi="Times New Roman" w:eastAsia="Times New Roman"/>
                <w:b/>
                <w:bCs/>
                <w:sz w:val="16"/>
              </w:rPr>
              <w:t xml:space="preserve">Pamir Mountains (Pish)</w:t>
            </w:r>
          </w:p>
        </w:tc>
        <w:tc>
          <w:tcPr>
            <w:tcW w:type="dxa" w:w="964"/>
            <w:vAlign w:val="center"/>
          </w:tcPr>
          <w:p>
            <w:pPr>
              <w:pStyle w:val="Compact"/>
              <w:spacing w:before="0" w:after="0" w:line="240" w:lineRule="auto"/>
              <w:jc w:val="center"/>
            </w:pPr>
            <w:r>
              <w:rPr>
                <w:rFonts w:ascii="Times New Roman" w:hAnsi="Times New Roman" w:eastAsia="Times New Roman"/>
                <w:b/>
                <w:bCs/>
                <w:sz w:val="16"/>
              </w:rPr>
              <w:t xml:space="preserve">Pooled</w:t>
            </w:r>
          </w:p>
        </w:tc>
      </w:tr>
      <w:tr>
        <w:trPr>
          <w:cantSplit w:val="true"/>
          <w:tblHeader w:val="true"/>
        </w:trPr>
        <w:tc>
          <w:tcPr>
            <w:gridSpan w:val="1"/>
            <w:vMerge w:val="continue"/>
          </w:tcPr>
          <w:p>
            <w:pPr/>
          </w:p>
        </w:tc>
        <w:tc>
          <w:tcPr>
            <w:gridSpan w:val="1"/>
            <w:vMerge w:val="continue"/>
          </w:tcPr>
          <w:p>
            <w:pPr/>
          </w:p>
        </w:tc>
        <w:tc>
          <w:tcPr>
            <w:tcW w:type="dxa" w:w="1020"/>
            <w:vAlign w:val="center"/>
          </w:tcPr>
          <w:p>
            <w:pPr>
              <w:pStyle w:val="Compact"/>
              <w:spacing w:before="0" w:after="0" w:line="240" w:lineRule="auto"/>
              <w:jc w:val="right"/>
            </w:pPr>
            <w:r>
              <w:rPr>
                <w:rFonts w:ascii="Times New Roman" w:hAnsi="Times New Roman" w:eastAsia="Times New Roman"/>
                <w:b/>
                <w:bCs/>
                <w:sz w:val="16"/>
              </w:rPr>
              <w:t xml:space="preserve">F1 (%)</w:t>
            </w:r>
          </w:p>
        </w:tc>
        <w:tc>
          <w:tcPr>
            <w:tcW w:type="dxa" w:w="1020"/>
            <w:vAlign w:val="center"/>
          </w:tcPr>
          <w:p>
            <w:pPr>
              <w:pStyle w:val="Compact"/>
              <w:spacing w:before="0" w:after="0" w:line="240" w:lineRule="auto"/>
              <w:jc w:val="center"/>
            </w:pPr>
            <w:r>
              <w:rPr>
                <w:rFonts w:ascii="Times New Roman" w:hAnsi="Times New Roman" w:eastAsia="Times New Roman"/>
                <w:b/>
                <w:bCs/>
                <w:sz w:val="16"/>
              </w:rPr>
              <w:t xml:space="preserve">IoU (%)</w:t>
            </w:r>
          </w:p>
        </w:tc>
        <w:tc>
          <w:tcPr>
            <w:tcW w:type="dxa" w:w="1020"/>
            <w:vAlign w:val="center"/>
          </w:tcPr>
          <w:p>
            <w:pPr>
              <w:pStyle w:val="Compact"/>
              <w:spacing w:before="0" w:after="0" w:line="240" w:lineRule="auto"/>
              <w:jc w:val="center"/>
            </w:pPr>
            <w:r>
              <w:rPr>
                <w:rFonts w:ascii="Times New Roman" w:hAnsi="Times New Roman" w:eastAsia="Times New Roman"/>
                <w:b/>
                <w:bCs/>
                <w:sz w:val="16"/>
              </w:rPr>
              <w:t xml:space="preserve">HR@0.3</w:t>
            </w:r>
          </w:p>
        </w:tc>
        <w:tc>
          <w:tcPr>
            <w:tcW w:type="dxa" w:w="1020"/>
            <w:vAlign w:val="center"/>
          </w:tcPr>
          <w:p>
            <w:pPr>
              <w:pStyle w:val="Compact"/>
              <w:spacing w:before="0" w:after="0" w:line="240" w:lineRule="auto"/>
              <w:jc w:val="center"/>
            </w:pPr>
            <w:r>
              <w:rPr>
                <w:rFonts w:ascii="Times New Roman" w:hAnsi="Times New Roman" w:eastAsia="Times New Roman"/>
                <w:b/>
                <w:bCs/>
                <w:sz w:val="16"/>
              </w:rPr>
              <w:t xml:space="preserve">F1 (%)</w:t>
            </w:r>
          </w:p>
        </w:tc>
        <w:tc>
          <w:tcPr>
            <w:tcW w:type="dxa" w:w="964"/>
            <w:vAlign w:val="center"/>
          </w:tcPr>
          <w:p>
            <w:pPr>
              <w:pStyle w:val="Compact"/>
              <w:spacing w:before="0" w:after="0" w:line="240" w:lineRule="auto"/>
              <w:jc w:val="center"/>
            </w:pPr>
            <w:r>
              <w:rPr>
                <w:rFonts w:ascii="Times New Roman" w:hAnsi="Times New Roman" w:eastAsia="Times New Roman"/>
                <w:b/>
                <w:bCs/>
                <w:sz w:val="16"/>
              </w:rPr>
              <w:t xml:space="preserve">IoU (%)</w:t>
            </w:r>
          </w:p>
        </w:tc>
        <w:tc>
          <w:tcPr>
            <w:tcW w:type="dxa" w:w="964"/>
            <w:vAlign w:val="center"/>
          </w:tcPr>
          <w:p>
            <w:pPr>
              <w:pStyle w:val="Compact"/>
              <w:spacing w:before="0" w:after="0" w:line="240" w:lineRule="auto"/>
              <w:jc w:val="center"/>
            </w:pPr>
            <w:r>
              <w:rPr>
                <w:rFonts w:ascii="Times New Roman" w:hAnsi="Times New Roman" w:eastAsia="Times New Roman"/>
                <w:b/>
                <w:bCs/>
                <w:sz w:val="16"/>
              </w:rPr>
              <w:t xml:space="preserve">Macro F1 (%)</w:t>
            </w:r>
          </w:p>
        </w:tc>
      </w:tr>
      <w:tr>
        <w:trPr>
          <w:cantSplit w:val="true"/>
        </w:trPr>
        <w:tc>
          <w:tcPr>
            <w:tcW w:type="dxa" w:w="2268"/>
            <w:vAlign w:val="center"/>
          </w:tcPr>
          <w:p>
            <w:pPr>
              <w:pStyle w:val="Compact"/>
              <w:spacing w:before="0" w:after="0" w:line="240" w:lineRule="auto"/>
              <w:jc w:val="left"/>
            </w:pPr>
            <w:r>
              <w:rPr>
                <w:rFonts w:ascii="Times New Roman" w:hAnsi="Times New Roman" w:eastAsia="Times New Roman"/>
                <w:sz w:val="16"/>
              </w:rPr>
              <w:t xml:space="preserve">SiamUNet-diff</w:t>
            </w:r>
          </w:p>
        </w:tc>
        <w:tc>
          <w:tcPr>
            <w:tcW w:type="dxa" w:w="680"/>
            <w:vAlign w:val="center"/>
          </w:tcPr>
          <w:p>
            <w:pPr>
              <w:pStyle w:val="Compact"/>
              <w:spacing w:before="0" w:after="0" w:line="240" w:lineRule="auto"/>
              <w:jc w:val="center"/>
            </w:pPr>
            <w:r>
              <w:rPr>
                <w:rFonts w:ascii="Times New Roman" w:hAnsi="Times New Roman" w:eastAsia="Times New Roman"/>
                <w:sz w:val="16"/>
              </w:rPr>
              <w:t xml:space="preserve">2.01M</w:t>
            </w:r>
          </w:p>
        </w:tc>
        <w:tc>
          <w:tcPr>
            <w:tcW w:type="dxa" w:w="1020"/>
            <w:vAlign w:val="center"/>
          </w:tcPr>
          <w:p>
            <w:pPr>
              <w:pStyle w:val="Compact"/>
              <w:spacing w:before="0" w:after="0" w:line="240" w:lineRule="auto"/>
              <w:jc w:val="right"/>
            </w:pPr>
            <w:r>
              <w:rPr>
                <w:rFonts w:ascii="Times New Roman" w:hAnsi="Times New Roman" w:eastAsia="Times New Roman"/>
                <w:sz w:val="16"/>
              </w:rPr>
              <w:t xml:space="preserve">72.64 ± 0.39</w:t>
            </w:r>
          </w:p>
        </w:tc>
        <w:tc>
          <w:tcPr>
            <w:tcW w:type="dxa" w:w="1020"/>
            <w:vAlign w:val="center"/>
          </w:tcPr>
          <w:p>
            <w:pPr>
              <w:pStyle w:val="Compact"/>
              <w:spacing w:before="0" w:after="0" w:line="240" w:lineRule="auto"/>
              <w:jc w:val="center"/>
            </w:pPr>
            <w:r>
              <w:rPr>
                <w:rFonts w:ascii="Times New Roman" w:hAnsi="Times New Roman" w:eastAsia="Times New Roman"/>
                <w:sz w:val="16"/>
              </w:rPr>
              <w:t xml:space="preserve">57.03 ± 0.48</w:t>
            </w:r>
          </w:p>
        </w:tc>
        <w:tc>
          <w:tcPr>
            <w:tcW w:type="dxa" w:w="1020"/>
            <w:vAlign w:val="center"/>
          </w:tcPr>
          <w:p>
            <w:pPr>
              <w:pStyle w:val="Compact"/>
              <w:spacing w:before="0" w:after="0" w:line="240" w:lineRule="auto"/>
              <w:jc w:val="center"/>
            </w:pPr>
            <w:r>
              <w:rPr>
                <w:rFonts w:ascii="Times New Roman" w:hAnsi="Times New Roman" w:eastAsia="Times New Roman"/>
                <w:sz w:val="16"/>
              </w:rPr>
              <w:t xml:space="preserve">63.25 ± 2.52</w:t>
            </w:r>
          </w:p>
        </w:tc>
        <w:tc>
          <w:tcPr>
            <w:tcW w:type="dxa" w:w="1020"/>
            <w:vAlign w:val="center"/>
          </w:tcPr>
          <w:p>
            <w:pPr>
              <w:pStyle w:val="Compact"/>
              <w:spacing w:before="0" w:after="0" w:line="240" w:lineRule="auto"/>
              <w:jc w:val="center"/>
            </w:pPr>
            <w:r>
              <w:rPr>
                <w:rFonts w:ascii="Times New Roman" w:hAnsi="Times New Roman" w:eastAsia="Times New Roman"/>
                <w:sz w:val="16"/>
              </w:rPr>
              <w:t xml:space="preserve">37.11 ± 2.44</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22.81 ± 1.86</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54.87 ± 1.03</w:t>
            </w:r>
          </w:p>
        </w:tc>
      </w:tr>
      <w:tr>
        <w:trPr>
          <w:cantSplit w:val="true"/>
        </w:trPr>
        <w:tc>
          <w:tcPr>
            <w:tcW w:type="dxa" w:w="2268"/>
            <w:vAlign w:val="center"/>
          </w:tcPr>
          <w:p>
            <w:pPr>
              <w:pStyle w:val="Compact"/>
              <w:spacing w:before="0" w:after="0" w:line="240" w:lineRule="auto"/>
              <w:jc w:val="left"/>
            </w:pPr>
            <w:r>
              <w:rPr>
                <w:rFonts w:ascii="Times New Roman" w:hAnsi="Times New Roman" w:eastAsia="Times New Roman"/>
                <w:sz w:val="16"/>
              </w:rPr>
              <w:t xml:space="preserve">SiamUNet-conc</w:t>
            </w:r>
          </w:p>
        </w:tc>
        <w:tc>
          <w:tcPr>
            <w:tcW w:type="dxa" w:w="680"/>
            <w:vAlign w:val="center"/>
          </w:tcPr>
          <w:p>
            <w:pPr>
              <w:pStyle w:val="Compact"/>
              <w:spacing w:before="0" w:after="0" w:line="240" w:lineRule="auto"/>
              <w:jc w:val="center"/>
            </w:pPr>
            <w:r>
              <w:rPr>
                <w:rFonts w:ascii="Times New Roman" w:hAnsi="Times New Roman" w:eastAsia="Times New Roman"/>
                <w:sz w:val="16"/>
              </w:rPr>
              <w:t xml:space="preserve">2.36M</w:t>
            </w:r>
          </w:p>
        </w:tc>
        <w:tc>
          <w:tcPr>
            <w:tcW w:type="dxa" w:w="1020"/>
            <w:vAlign w:val="center"/>
          </w:tcPr>
          <w:p>
            <w:pPr>
              <w:pStyle w:val="Compact"/>
              <w:spacing w:before="0" w:after="0" w:line="240" w:lineRule="auto"/>
              <w:jc w:val="right"/>
            </w:pPr>
            <w:r>
              <w:rPr>
                <w:rFonts w:ascii="Times New Roman" w:hAnsi="Times New Roman" w:eastAsia="Times New Roman"/>
                <w:sz w:val="16"/>
              </w:rPr>
              <w:t xml:space="preserve">78.92 ± 1.07</w:t>
            </w:r>
          </w:p>
        </w:tc>
        <w:tc>
          <w:tcPr>
            <w:tcW w:type="dxa" w:w="1020"/>
            <w:vAlign w:val="center"/>
          </w:tcPr>
          <w:p>
            <w:pPr>
              <w:pStyle w:val="Compact"/>
              <w:spacing w:before="0" w:after="0" w:line="240" w:lineRule="auto"/>
              <w:jc w:val="center"/>
            </w:pPr>
            <w:r>
              <w:rPr>
                <w:rFonts w:ascii="Times New Roman" w:hAnsi="Times New Roman" w:eastAsia="Times New Roman"/>
                <w:sz w:val="16"/>
              </w:rPr>
              <w:t xml:space="preserve">65.20 ± 1.46</w:t>
            </w:r>
          </w:p>
        </w:tc>
        <w:tc>
          <w:tcPr>
            <w:tcW w:type="dxa" w:w="1020"/>
            <w:vAlign w:val="center"/>
          </w:tcPr>
          <w:p>
            <w:pPr>
              <w:pStyle w:val="Compact"/>
              <w:spacing w:before="0" w:after="0" w:line="240" w:lineRule="auto"/>
              <w:jc w:val="center"/>
            </w:pPr>
            <w:r>
              <w:rPr>
                <w:rFonts w:ascii="Times New Roman" w:hAnsi="Times New Roman" w:eastAsia="Times New Roman"/>
                <w:sz w:val="16"/>
              </w:rPr>
              <w:t xml:space="preserve">82.62 ± 1.07</w:t>
            </w:r>
          </w:p>
        </w:tc>
        <w:tc>
          <w:tcPr>
            <w:tcW w:type="dxa" w:w="1020"/>
            <w:vAlign w:val="center"/>
          </w:tcPr>
          <w:p>
            <w:pPr>
              <w:pStyle w:val="Compact"/>
              <w:spacing w:before="0" w:after="0" w:line="240" w:lineRule="auto"/>
              <w:jc w:val="center"/>
            </w:pPr>
            <w:r>
              <w:rPr>
                <w:rFonts w:ascii="Times New Roman" w:hAnsi="Times New Roman" w:eastAsia="Times New Roman"/>
                <w:sz w:val="16"/>
              </w:rPr>
              <w:t xml:space="preserve">47.34 ± 0.70</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31.02 ± 0.60</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63.13 ± 0.79</w:t>
            </w:r>
          </w:p>
        </w:tc>
      </w:tr>
      <w:tr>
        <w:trPr>
          <w:cantSplit w:val="true"/>
        </w:trPr>
        <w:tc>
          <w:tcPr>
            <w:tcW w:type="dxa" w:w="2268"/>
            <w:vAlign w:val="center"/>
          </w:tcPr>
          <w:p>
            <w:pPr>
              <w:pStyle w:val="Compact"/>
              <w:spacing w:before="0" w:after="0" w:line="240" w:lineRule="auto"/>
              <w:jc w:val="left"/>
            </w:pPr>
            <w:r>
              <w:rPr>
                <w:rFonts w:ascii="Times New Roman" w:hAnsi="Times New Roman" w:eastAsia="Times New Roman"/>
                <w:sz w:val="16"/>
              </w:rPr>
              <w:t xml:space="preserve">ResU-Net</w:t>
            </w:r>
          </w:p>
        </w:tc>
        <w:tc>
          <w:tcPr>
            <w:tcW w:type="dxa" w:w="680"/>
            <w:vAlign w:val="center"/>
          </w:tcPr>
          <w:p>
            <w:pPr>
              <w:pStyle w:val="Compact"/>
              <w:spacing w:before="0" w:after="0" w:line="240" w:lineRule="auto"/>
              <w:jc w:val="center"/>
            </w:pPr>
            <w:r>
              <w:rPr>
                <w:rFonts w:ascii="Times New Roman" w:hAnsi="Times New Roman" w:eastAsia="Times New Roman"/>
                <w:sz w:val="16"/>
              </w:rPr>
              <w:t xml:space="preserve">2.01M</w:t>
            </w:r>
          </w:p>
        </w:tc>
        <w:tc>
          <w:tcPr>
            <w:tcW w:type="dxa" w:w="1020"/>
            <w:vAlign w:val="center"/>
          </w:tcPr>
          <w:p>
            <w:pPr>
              <w:pStyle w:val="Compact"/>
              <w:spacing w:before="0" w:after="0" w:line="240" w:lineRule="auto"/>
              <w:jc w:val="right"/>
            </w:pPr>
            <w:r>
              <w:rPr>
                <w:rFonts w:ascii="Times New Roman" w:hAnsi="Times New Roman" w:eastAsia="Times New Roman"/>
                <w:sz w:val="16"/>
              </w:rPr>
              <w:t xml:space="preserve">76.60 ± 1.30</w:t>
            </w:r>
          </w:p>
        </w:tc>
        <w:tc>
          <w:tcPr>
            <w:tcW w:type="dxa" w:w="1020"/>
            <w:vAlign w:val="center"/>
          </w:tcPr>
          <w:p>
            <w:pPr>
              <w:pStyle w:val="Compact"/>
              <w:spacing w:before="0" w:after="0" w:line="240" w:lineRule="auto"/>
              <w:jc w:val="center"/>
            </w:pPr>
            <w:r>
              <w:rPr>
                <w:rFonts w:ascii="Times New Roman" w:hAnsi="Times New Roman" w:eastAsia="Times New Roman"/>
                <w:sz w:val="16"/>
              </w:rPr>
              <w:t xml:space="preserve">62.09 ± 1.71</w:t>
            </w:r>
          </w:p>
        </w:tc>
        <w:tc>
          <w:tcPr>
            <w:tcW w:type="dxa" w:w="1020"/>
            <w:vAlign w:val="center"/>
          </w:tcPr>
          <w:p>
            <w:pPr>
              <w:pStyle w:val="Compact"/>
              <w:spacing w:before="0" w:after="0" w:line="240" w:lineRule="auto"/>
              <w:jc w:val="center"/>
            </w:pPr>
            <w:r>
              <w:rPr>
                <w:rFonts w:ascii="Times New Roman" w:hAnsi="Times New Roman" w:eastAsia="Times New Roman"/>
                <w:sz w:val="16"/>
              </w:rPr>
              <w:t xml:space="preserve">76.92 ± 4.83</w:t>
            </w:r>
          </w:p>
        </w:tc>
        <w:tc>
          <w:tcPr>
            <w:tcW w:type="dxa" w:w="1020"/>
            <w:vAlign w:val="center"/>
          </w:tcPr>
          <w:p>
            <w:pPr>
              <w:pStyle w:val="Compact"/>
              <w:spacing w:before="0" w:after="0" w:line="240" w:lineRule="auto"/>
              <w:jc w:val="center"/>
            </w:pPr>
            <w:r>
              <w:rPr>
                <w:rFonts w:ascii="Times New Roman" w:hAnsi="Times New Roman" w:eastAsia="Times New Roman"/>
                <w:sz w:val="16"/>
              </w:rPr>
              <w:t xml:space="preserve">49.25 ± 3.39</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32.74 ± 2.96</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62.92 ± 1.42</w:t>
            </w:r>
          </w:p>
        </w:tc>
      </w:tr>
      <w:tr>
        <w:trPr>
          <w:cantSplit w:val="true"/>
        </w:trPr>
        <w:tc>
          <w:tcPr>
            <w:tcW w:type="dxa" w:w="2268"/>
            <w:vAlign w:val="center"/>
          </w:tcPr>
          <w:p>
            <w:pPr>
              <w:pStyle w:val="Compact"/>
              <w:spacing w:before="0" w:after="0" w:line="240" w:lineRule="auto"/>
              <w:jc w:val="left"/>
            </w:pPr>
            <w:r>
              <w:rPr>
                <w:rFonts w:ascii="Times New Roman" w:hAnsi="Times New Roman" w:eastAsia="Times New Roman"/>
                <w:sz w:val="16"/>
              </w:rPr>
              <w:t xml:space="preserve">Attention U-Net</w:t>
            </w:r>
          </w:p>
        </w:tc>
        <w:tc>
          <w:tcPr>
            <w:tcW w:type="dxa" w:w="680"/>
            <w:vAlign w:val="center"/>
          </w:tcPr>
          <w:p>
            <w:pPr>
              <w:pStyle w:val="Compact"/>
              <w:spacing w:before="0" w:after="0" w:line="240" w:lineRule="auto"/>
              <w:jc w:val="center"/>
            </w:pPr>
            <w:r>
              <w:rPr>
                <w:rFonts w:ascii="Times New Roman" w:hAnsi="Times New Roman" w:eastAsia="Times New Roman"/>
                <w:sz w:val="16"/>
              </w:rPr>
              <w:t xml:space="preserve">2.29M</w:t>
            </w:r>
          </w:p>
        </w:tc>
        <w:tc>
          <w:tcPr>
            <w:tcW w:type="dxa" w:w="1020"/>
            <w:vAlign w:val="center"/>
          </w:tcPr>
          <w:p>
            <w:pPr>
              <w:pStyle w:val="Compact"/>
              <w:spacing w:before="0" w:after="0" w:line="240" w:lineRule="auto"/>
              <w:jc w:val="right"/>
            </w:pPr>
            <w:r>
              <w:rPr>
                <w:rFonts w:ascii="Times New Roman" w:hAnsi="Times New Roman" w:eastAsia="Times New Roman"/>
                <w:sz w:val="16"/>
              </w:rPr>
              <w:t xml:space="preserve">78.09 ± 0.99</w:t>
            </w:r>
          </w:p>
        </w:tc>
        <w:tc>
          <w:tcPr>
            <w:tcW w:type="dxa" w:w="1020"/>
            <w:vAlign w:val="center"/>
          </w:tcPr>
          <w:p>
            <w:pPr>
              <w:pStyle w:val="Compact"/>
              <w:spacing w:before="0" w:after="0" w:line="240" w:lineRule="auto"/>
              <w:jc w:val="center"/>
            </w:pPr>
            <w:r>
              <w:rPr>
                <w:rFonts w:ascii="Times New Roman" w:hAnsi="Times New Roman" w:eastAsia="Times New Roman"/>
                <w:sz w:val="16"/>
              </w:rPr>
              <w:t xml:space="preserve">64.07 ± 1.33</w:t>
            </w:r>
          </w:p>
        </w:tc>
        <w:tc>
          <w:tcPr>
            <w:tcW w:type="dxa" w:w="1020"/>
            <w:vAlign w:val="center"/>
          </w:tcPr>
          <w:p>
            <w:pPr>
              <w:pStyle w:val="Compact"/>
              <w:spacing w:before="0" w:after="0" w:line="240" w:lineRule="auto"/>
              <w:jc w:val="center"/>
            </w:pPr>
            <w:r>
              <w:rPr>
                <w:rFonts w:ascii="Times New Roman" w:hAnsi="Times New Roman" w:eastAsia="Times New Roman"/>
                <w:sz w:val="16"/>
              </w:rPr>
              <w:t xml:space="preserve">79.20 ± 2.45</w:t>
            </w:r>
          </w:p>
        </w:tc>
        <w:tc>
          <w:tcPr>
            <w:tcW w:type="dxa" w:w="1020"/>
            <w:vAlign w:val="center"/>
          </w:tcPr>
          <w:p>
            <w:pPr>
              <w:pStyle w:val="Compact"/>
              <w:spacing w:before="0" w:after="0" w:line="240" w:lineRule="auto"/>
              <w:jc w:val="center"/>
            </w:pPr>
            <w:r>
              <w:rPr>
                <w:rFonts w:ascii="Times New Roman" w:hAnsi="Times New Roman" w:eastAsia="Times New Roman"/>
                <w:sz w:val="16"/>
              </w:rPr>
              <w:t xml:space="preserve">48.73 ± 2.74</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32.26 ± 2.38</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63.41 ± 1.03</w:t>
            </w:r>
          </w:p>
        </w:tc>
      </w:tr>
      <w:tr>
        <w:trPr>
          <w:cantSplit w:val="true"/>
        </w:trPr>
        <w:tc>
          <w:tcPr>
            <w:tcW w:type="dxa" w:w="2268"/>
            <w:vAlign w:val="center"/>
          </w:tcPr>
          <w:p>
            <w:pPr>
              <w:pStyle w:val="Compact"/>
              <w:spacing w:before="0" w:after="0" w:line="240" w:lineRule="auto"/>
              <w:jc w:val="left"/>
            </w:pPr>
            <w:r>
              <w:rPr>
                <w:rFonts w:ascii="Times New Roman" w:hAnsi="Times New Roman" w:eastAsia="Times New Roman"/>
                <w:b/>
                <w:bCs/>
                <w:sz w:val="16"/>
              </w:rPr>
              <w:t xml:space="preserve">TopoRadar-Net (Ours, S42)</w:t>
            </w:r>
          </w:p>
        </w:tc>
        <w:tc>
          <w:tcPr>
            <w:tcW w:type="dxa" w:w="680"/>
            <w:vAlign w:val="center"/>
          </w:tcPr>
          <w:p>
            <w:pPr>
              <w:pStyle w:val="Compact"/>
              <w:spacing w:before="0" w:after="0" w:line="240" w:lineRule="auto"/>
              <w:jc w:val="center"/>
            </w:pPr>
            <w:r>
              <w:rPr>
                <w:rFonts w:ascii="Times New Roman" w:hAnsi="Times New Roman" w:eastAsia="Times New Roman"/>
                <w:sz w:val="16"/>
              </w:rPr>
              <w:t xml:space="preserve">3.46M</w:t>
            </w:r>
          </w:p>
        </w:tc>
        <w:tc>
          <w:tcPr>
            <w:tcW w:type="dxa" w:w="1020"/>
            <w:vAlign w:val="center"/>
          </w:tcPr>
          <w:p>
            <w:pPr>
              <w:pStyle w:val="Compact"/>
              <w:spacing w:before="0" w:after="0" w:line="240" w:lineRule="auto"/>
              <w:jc w:val="right"/>
            </w:pPr>
            <w:r>
              <w:rPr>
                <w:rFonts w:ascii="Times New Roman" w:hAnsi="Times New Roman" w:eastAsia="Times New Roman"/>
                <w:sz w:val="16"/>
              </w:rPr>
              <w:t xml:space="preserve">79.35</w:t>
            </w:r>
          </w:p>
        </w:tc>
        <w:tc>
          <w:tcPr>
            <w:tcW w:type="dxa" w:w="1020"/>
            <w:vAlign w:val="center"/>
          </w:tcPr>
          <w:p>
            <w:pPr>
              <w:pStyle w:val="Compact"/>
              <w:spacing w:before="0" w:after="0" w:line="240" w:lineRule="auto"/>
              <w:jc w:val="center"/>
            </w:pPr>
            <w:r>
              <w:rPr>
                <w:rFonts w:ascii="Times New Roman" w:hAnsi="Times New Roman" w:eastAsia="Times New Roman"/>
                <w:sz w:val="16"/>
              </w:rPr>
              <w:t xml:space="preserve">65.76</w:t>
            </w:r>
          </w:p>
        </w:tc>
        <w:tc>
          <w:tcPr>
            <w:tcW w:type="dxa" w:w="1020"/>
            <w:vAlign w:val="center"/>
          </w:tcPr>
          <w:p>
            <w:pPr>
              <w:pStyle w:val="Compact"/>
              <w:spacing w:before="0" w:after="0" w:line="240" w:lineRule="auto"/>
              <w:jc w:val="center"/>
            </w:pPr>
            <w:r>
              <w:rPr>
                <w:rFonts w:ascii="Times New Roman" w:hAnsi="Times New Roman" w:eastAsia="Times New Roman"/>
                <w:sz w:val="16"/>
              </w:rPr>
              <w:t xml:space="preserve">74.36</w:t>
            </w:r>
          </w:p>
        </w:tc>
        <w:tc>
          <w:tcPr>
            <w:tcW w:type="dxa" w:w="1020"/>
            <w:vAlign w:val="center"/>
          </w:tcPr>
          <w:p>
            <w:pPr>
              <w:pStyle w:val="Compact"/>
              <w:spacing w:before="0" w:after="0" w:line="240" w:lineRule="auto"/>
              <w:jc w:val="center"/>
            </w:pPr>
            <w:r>
              <w:rPr>
                <w:rFonts w:ascii="Times New Roman" w:hAnsi="Times New Roman" w:eastAsia="Times New Roman"/>
                <w:sz w:val="16"/>
              </w:rPr>
              <w:t xml:space="preserve">51.23</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34.44</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65.29</w:t>
            </w:r>
          </w:p>
        </w:tc>
      </w:tr>
      <w:tr>
        <w:trPr>
          <w:cantSplit w:val="true"/>
        </w:trPr>
        <w:tc>
          <w:tcPr>
            <w:tcW w:type="dxa" w:w="2268"/>
            <w:vAlign w:val="center"/>
          </w:tcPr>
          <w:p>
            <w:pPr>
              <w:pStyle w:val="Compact"/>
              <w:spacing w:before="0" w:after="0" w:line="240" w:lineRule="auto"/>
              <w:jc w:val="left"/>
            </w:pPr>
            <w:r>
              <w:rPr>
                <w:rFonts w:ascii="Times New Roman" w:hAnsi="Times New Roman" w:eastAsia="Times New Roman"/>
                <w:b/>
                <w:bCs/>
                <w:sz w:val="16"/>
              </w:rPr>
              <w:t xml:space="preserve">TopoRadar-Net (Ours, Mean)</w:t>
            </w:r>
          </w:p>
        </w:tc>
        <w:tc>
          <w:tcPr>
            <w:tcW w:type="dxa" w:w="680"/>
            <w:vAlign w:val="center"/>
          </w:tcPr>
          <w:p>
            <w:pPr>
              <w:pStyle w:val="Compact"/>
              <w:spacing w:before="0" w:after="0" w:line="240" w:lineRule="auto"/>
              <w:jc w:val="center"/>
            </w:pPr>
            <w:r>
              <w:rPr>
                <w:rFonts w:ascii="Times New Roman" w:hAnsi="Times New Roman" w:eastAsia="Times New Roman"/>
                <w:b/>
                <w:bCs/>
                <w:sz w:val="16"/>
              </w:rPr>
              <w:t xml:space="preserve">3.46M</w:t>
            </w:r>
          </w:p>
        </w:tc>
        <w:tc>
          <w:tcPr>
            <w:tcW w:type="dxa" w:w="1020"/>
            <w:vAlign w:val="center"/>
          </w:tcPr>
          <w:p>
            <w:pPr>
              <w:pStyle w:val="Compact"/>
              <w:spacing w:before="0" w:after="0" w:line="240" w:lineRule="auto"/>
              <w:jc w:val="right"/>
            </w:pPr>
            <w:r>
              <w:rPr>
                <w:rFonts w:ascii="Times New Roman" w:hAnsi="Times New Roman" w:eastAsia="Times New Roman"/>
                <w:b/>
                <w:bCs/>
                <w:sz w:val="16"/>
              </w:rPr>
              <w:t xml:space="preserve">77.40 ± 1.86</w:t>
            </w:r>
          </w:p>
        </w:tc>
        <w:tc>
          <w:tcPr>
            <w:tcW w:type="dxa" w:w="1020"/>
            <w:vAlign w:val="center"/>
          </w:tcPr>
          <w:p>
            <w:pPr>
              <w:pStyle w:val="Compact"/>
              <w:spacing w:before="0" w:after="0" w:line="240" w:lineRule="auto"/>
              <w:jc w:val="center"/>
            </w:pPr>
            <w:r>
              <w:rPr>
                <w:rFonts w:ascii="Times New Roman" w:hAnsi="Times New Roman" w:eastAsia="Times New Roman"/>
                <w:b/>
                <w:bCs/>
                <w:sz w:val="16"/>
              </w:rPr>
              <w:t xml:space="preserve">63.16 ± 2.45</w:t>
            </w:r>
          </w:p>
        </w:tc>
        <w:tc>
          <w:tcPr>
            <w:tcW w:type="dxa" w:w="1020"/>
            <w:vAlign w:val="center"/>
          </w:tcPr>
          <w:p>
            <w:pPr>
              <w:pStyle w:val="Compact"/>
              <w:spacing w:before="0" w:after="0" w:line="240" w:lineRule="auto"/>
              <w:jc w:val="center"/>
            </w:pPr>
            <w:r>
              <w:rPr>
                <w:rFonts w:ascii="Times New Roman" w:hAnsi="Times New Roman" w:eastAsia="Times New Roman"/>
                <w:b/>
                <w:bCs/>
                <w:sz w:val="16"/>
              </w:rPr>
              <w:t xml:space="preserve">75.50 ± 1.61</w:t>
            </w:r>
          </w:p>
        </w:tc>
        <w:tc>
          <w:tcPr>
            <w:tcW w:type="dxa" w:w="1020"/>
            <w:vAlign w:val="center"/>
          </w:tcPr>
          <w:p>
            <w:pPr>
              <w:pStyle w:val="Compact"/>
              <w:spacing w:before="0" w:after="0" w:line="240" w:lineRule="auto"/>
              <w:jc w:val="center"/>
            </w:pPr>
            <w:r>
              <w:rPr>
                <w:rFonts w:ascii="Times New Roman" w:hAnsi="Times New Roman" w:eastAsia="Times New Roman"/>
                <w:b/>
                <w:bCs/>
                <w:sz w:val="16"/>
              </w:rPr>
              <w:t xml:space="preserve">50.18 ± 4.40</w:t>
            </w:r>
          </w:p>
        </w:tc>
        <w:tc>
          <w:tcPr>
            <w:tcW w:type="dxa" w:w="964"/>
            <w:vAlign w:val="center"/>
          </w:tcPr>
          <w:p>
            <w:pPr>
              <w:pStyle w:val="Compact"/>
              <w:spacing w:before="0" w:after="0" w:line="240" w:lineRule="auto"/>
              <w:jc w:val="center"/>
            </w:pPr>
            <w:r>
              <w:rPr>
                <w:rFonts w:ascii="Times New Roman" w:hAnsi="Times New Roman" w:eastAsia="Times New Roman"/>
                <w:b/>
                <w:bCs/>
                <w:sz w:val="16"/>
              </w:rPr>
              <w:t xml:space="preserve">33.61 ± 3.89</w:t>
            </w:r>
          </w:p>
        </w:tc>
        <w:tc>
          <w:tcPr>
            <w:tcW w:type="dxa" w:w="964"/>
            <w:vAlign w:val="center"/>
          </w:tcPr>
          <w:p>
            <w:pPr>
              <w:pStyle w:val="Compact"/>
              <w:spacing w:before="0" w:after="0" w:line="240" w:lineRule="auto"/>
              <w:jc w:val="center"/>
            </w:pPr>
            <w:r>
              <w:rPr>
                <w:rFonts w:ascii="Times New Roman" w:hAnsi="Times New Roman" w:eastAsia="Times New Roman"/>
                <w:b/>
                <w:bCs/>
                <w:sz w:val="16"/>
              </w:rPr>
              <w:t xml:space="preserve">63.79 ± 1.88</w:t>
            </w:r>
          </w:p>
        </w:tc>
      </w:tr>
    </w:tbl>
    <w:p>
      <w:pPr>
        <w:pStyle w:val="BodyText"/>
        <w:spacing w:after="0" w:line="240" w:lineRule="auto"/>
      </w:pPr>
      <w:r>
        <w:rPr>
          <w:rFonts w:ascii="Times New Roman" w:hAnsi="Times New Roman" w:eastAsia="Times New Roman"/>
          <w:sz w:val="20"/>
        </w:rPr>
        <w:t xml:space="preserve">Table 2 shows region- and seed-dependent transfer. In Pamir, TopoRadar-Net records</w:t>
      </w:r>
      <w:r>
        <w:rPr>
          <w:rFonts w:ascii="Times New Roman" w:hAnsi="Times New Roman" w:eastAsia="Times New Roman"/>
          <w:sz w:val="20"/>
        </w:rPr>
        <w:t xml:space="preserve"> </w:t>
      </w:r>
      <m:oMath>
        <m:r>
          <m:t>50.18</m:t>
        </m:r>
        <m:r>
          <m:rPr>
            <m:sty m:val="p"/>
          </m:rPr>
          <m:t>%</m:t>
        </m:r>
        <m:r>
          <m:rPr>
            <m:sty m:val="p"/>
          </m:rPr>
          <m:t>±</m:t>
        </m:r>
        <m:r>
          <m:t>4.40</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F1, compared with Attention U-Net (</w:t>
      </w:r>
      <m:oMath>
        <m:r>
          <m:t>48.73</m:t>
        </m:r>
        <m:r>
          <m:rPr>
            <m:sty m:val="p"/>
          </m:rPr>
          <m:t>%</m:t>
        </m:r>
        <m:r>
          <m:rPr>
            <m:sty m:val="p"/>
          </m:rPr>
          <m:t>±</m:t>
        </m:r>
        <m:r>
          <m:t>2.74</m:t>
        </m:r>
        <m:r>
          <m:rPr>
            <m:sty m:val="p"/>
          </m:rPr>
          <m:t>%</m:t>
        </m:r>
      </m:oMath>
      <w:r>
        <w:rPr>
          <w:rFonts w:ascii="Times New Roman" w:hAnsi="Times New Roman" w:eastAsia="Times New Roman"/>
          <w:sz w:val="20"/>
        </w:rPr>
        <w:t xml:space="preserve">), ResU-Net (</w:t>
      </w:r>
      <m:oMath>
        <m:r>
          <m:t>49.25</m:t>
        </m:r>
        <m:r>
          <m:rPr>
            <m:sty m:val="p"/>
          </m:rPr>
          <m:t>%</m:t>
        </m:r>
        <m:r>
          <m:rPr>
            <m:sty m:val="p"/>
          </m:rPr>
          <m:t>±</m:t>
        </m:r>
        <m:r>
          <m:t>3.39</m:t>
        </m:r>
        <m:r>
          <m:rPr>
            <m:sty m:val="p"/>
          </m:rPr>
          <m:t>%</m:t>
        </m:r>
      </m:oMath>
      <w:r>
        <w:rPr>
          <w:rFonts w:ascii="Times New Roman" w:hAnsi="Times New Roman" w:eastAsia="Times New Roman"/>
          <w:sz w:val="20"/>
        </w:rPr>
        <w:t xml:space="preserve">), SiamUNet-conc (</w:t>
      </w:r>
      <m:oMath>
        <m:r>
          <m:t>47.34</m:t>
        </m:r>
        <m:r>
          <m:rPr>
            <m:sty m:val="p"/>
          </m:rPr>
          <m:t>%</m:t>
        </m:r>
        <m:r>
          <m:rPr>
            <m:sty m:val="p"/>
          </m:rPr>
          <m:t>±</m:t>
        </m:r>
        <m:r>
          <m:t>0.70</m:t>
        </m:r>
        <m:r>
          <m:rPr>
            <m:sty m:val="p"/>
          </m:rPr>
          <m:t>%</m:t>
        </m:r>
      </m:oMath>
      <w:r>
        <w:rPr>
          <w:rFonts w:ascii="Times New Roman" w:hAnsi="Times New Roman" w:eastAsia="Times New Roman"/>
          <w:sz w:val="20"/>
        </w:rPr>
        <w:t xml:space="preserve">), and SiamUNet-diff (</w:t>
      </w:r>
      <m:oMath>
        <m:r>
          <m:t>37.11</m:t>
        </m:r>
        <m:r>
          <m:rPr>
            <m:sty m:val="p"/>
          </m:rPr>
          <m:t>%</m:t>
        </m:r>
        <m:r>
          <m:rPr>
            <m:sty m:val="p"/>
          </m:rPr>
          <m:t>±</m:t>
        </m:r>
        <m:r>
          <m:t>2.44</m:t>
        </m:r>
        <m:r>
          <m:rPr>
            <m:sty m:val="p"/>
          </m:rPr>
          <m:t>%</m:t>
        </m:r>
      </m:oMath>
      <w:r>
        <w:rPr>
          <w:rFonts w:ascii="Times New Roman" w:hAnsi="Times New Roman" w:eastAsia="Times New Roman"/>
          <w:sz w:val="20"/>
        </w:rPr>
        <w:t xml:space="preserve">). On the pooled two-system benchmark it records</w:t>
      </w:r>
      <w:r>
        <w:rPr>
          <w:rFonts w:ascii="Times New Roman" w:hAnsi="Times New Roman" w:eastAsia="Times New Roman"/>
          <w:sz w:val="20"/>
        </w:rPr>
        <w:t xml:space="preserve"> </w:t>
      </w:r>
      <m:oMath>
        <m:r>
          <m:t>63.79</m:t>
        </m:r>
        <m:r>
          <m:rPr>
            <m:sty m:val="p"/>
          </m:rPr>
          <m:t>%</m:t>
        </m:r>
        <m:r>
          <m:rPr>
            <m:sty m:val="p"/>
          </m:rPr>
          <m:t>±</m:t>
        </m:r>
        <m:r>
          <m:t>1.88</m:t>
        </m:r>
        <m:r>
          <m:rPr>
            <m:sty m:val="p"/>
          </m:rPr>
          <m:t>%</m:t>
        </m:r>
      </m:oMath>
      <w:r>
        <w:rPr>
          <w:rFonts w:ascii="Times New Roman" w:hAnsi="Times New Roman" w:eastAsia="Times New Roman"/>
          <w:sz w:val="20"/>
        </w:rPr>
        <w:t xml:space="preserve">, compared with</w:t>
      </w:r>
      <w:r>
        <w:rPr>
          <w:rFonts w:ascii="Times New Roman" w:hAnsi="Times New Roman" w:eastAsia="Times New Roman"/>
          <w:sz w:val="20"/>
        </w:rPr>
        <w:t xml:space="preserve"> </w:t>
      </w:r>
      <m:oMath>
        <m:r>
          <m:t>63.41</m:t>
        </m:r>
        <m:r>
          <m:rPr>
            <m:sty m:val="p"/>
          </m:rPr>
          <m:t>%</m:t>
        </m:r>
        <m:r>
          <m:rPr>
            <m:sty m:val="p"/>
          </m:rPr>
          <m:t>±</m:t>
        </m:r>
        <m:r>
          <m:t>1.03</m:t>
        </m:r>
        <m:r>
          <m:rPr>
            <m:sty m:val="p"/>
          </m:rPr>
          <m:t>%</m:t>
        </m:r>
      </m:oMath>
      <w:r>
        <w:rPr>
          <w:rFonts w:ascii="Times New Roman" w:hAnsi="Times New Roman" w:eastAsia="Times New Roman"/>
          <w:sz w:val="20"/>
        </w:rPr>
        <w:t xml:space="preserve">,</w:t>
      </w:r>
      <w:r>
        <w:rPr>
          <w:rFonts w:ascii="Times New Roman" w:hAnsi="Times New Roman" w:eastAsia="Times New Roman"/>
          <w:sz w:val="20"/>
        </w:rPr>
        <w:t xml:space="preserve"> </w:t>
      </w:r>
      <m:oMath>
        <m:r>
          <m:t>63.13</m:t>
        </m:r>
        <m:r>
          <m:rPr>
            <m:sty m:val="p"/>
          </m:rPr>
          <m:t>%</m:t>
        </m:r>
        <m:r>
          <m:rPr>
            <m:sty m:val="p"/>
          </m:rPr>
          <m:t>±</m:t>
        </m:r>
        <m:r>
          <m:t>0.79</m:t>
        </m:r>
        <m:r>
          <m:rPr>
            <m:sty m:val="p"/>
          </m:rPr>
          <m:t>%</m:t>
        </m:r>
      </m:oMath>
      <w:r>
        <w:rPr>
          <w:rFonts w:ascii="Times New Roman" w:hAnsi="Times New Roman" w:eastAsia="Times New Roman"/>
          <w:sz w:val="20"/>
        </w:rPr>
        <w:t xml:space="preserve">,</w:t>
      </w:r>
      <w:r>
        <w:rPr>
          <w:rFonts w:ascii="Times New Roman" w:hAnsi="Times New Roman" w:eastAsia="Times New Roman"/>
          <w:sz w:val="20"/>
        </w:rPr>
        <w:t xml:space="preserve"> </w:t>
      </w:r>
      <m:oMath>
        <m:r>
          <m:t>62.92</m:t>
        </m:r>
        <m:r>
          <m:rPr>
            <m:sty m:val="p"/>
          </m:rPr>
          <m:t>%</m:t>
        </m:r>
        <m:r>
          <m:rPr>
            <m:sty m:val="p"/>
          </m:rPr>
          <m:t>±</m:t>
        </m:r>
        <m:r>
          <m:t>1.42</m:t>
        </m:r>
        <m:r>
          <m:rPr>
            <m:sty m:val="p"/>
          </m:rPr>
          <m:t>%</m:t>
        </m:r>
      </m:oMath>
      <w:r>
        <w:rPr>
          <w:rFonts w:ascii="Times New Roman" w:hAnsi="Times New Roman" w:eastAsia="Times New Roman"/>
          <w:sz w:val="20"/>
        </w:rPr>
        <w:t xml:space="preserve">, and</w:t>
      </w:r>
      <w:r>
        <w:rPr>
          <w:rFonts w:ascii="Times New Roman" w:hAnsi="Times New Roman" w:eastAsia="Times New Roman"/>
          <w:sz w:val="20"/>
        </w:rPr>
        <w:t xml:space="preserve"> </w:t>
      </w:r>
      <m:oMath>
        <m:r>
          <m:t>54.87</m:t>
        </m:r>
        <m:r>
          <m:rPr>
            <m:sty m:val="p"/>
          </m:rPr>
          <m:t>%</m:t>
        </m:r>
        <m:r>
          <m:rPr>
            <m:sty m:val="p"/>
          </m:rPr>
          <m:t>±</m:t>
        </m:r>
        <m:r>
          <m:t>1.03</m:t>
        </m:r>
        <m:r>
          <m:rPr>
            <m:sty m:val="p"/>
          </m:rPr>
          <m:t>%</m:t>
        </m:r>
      </m:oMath>
      <w:r>
        <w:rPr>
          <w:rFonts w:ascii="Times New Roman" w:hAnsi="Times New Roman" w:eastAsia="Times New Roman"/>
          <w:sz w:val="20"/>
        </w:rPr>
        <w:t xml:space="preserve">, respectively. Across seeds, only the difference from SiamUNet-diff is significant; comparisons with the three competitive baselines are not.</w:t>
      </w:r>
    </w:p>
    <w:p>
      <w:pPr>
        <w:pStyle w:val="BodyText"/>
        <w:spacing w:after="0" w:line="240" w:lineRule="auto"/>
      </w:pPr>
      <w:r>
        <w:rPr>
          <w:rFonts w:ascii="Times New Roman" w:hAnsi="Times New Roman" w:eastAsia="Times New Roman"/>
          <w:sz w:val="20"/>
        </w:rPr>
        <w:t xml:space="preserve">On the Scandinavian Arctic test scene (Troms</w:t>
      </w:r>
      <w:r>
        <w:rPr>
          <w:rFonts w:ascii="Times New Roman" w:hAnsi="Times New Roman" w:eastAsia="Times New Roman"/>
          <w:sz w:val="20"/>
        </w:rPr>
        <w:t xml:space="preserve">ø</w:t>
      </w:r>
      <w:r>
        <w:rPr>
          <w:rFonts w:ascii="Times New Roman" w:hAnsi="Times New Roman" w:eastAsia="Times New Roman"/>
          <w:sz w:val="20"/>
        </w:rPr>
        <w:t xml:space="preserve">), TopoRadar-Net reaches</w:t>
      </w:r>
      <w:r>
        <w:rPr>
          <w:rFonts w:ascii="Times New Roman" w:hAnsi="Times New Roman" w:eastAsia="Times New Roman"/>
          <w:sz w:val="20"/>
        </w:rPr>
        <w:t xml:space="preserve"> </w:t>
      </w:r>
      <m:oMath>
        <m:r>
          <m:t>77.40</m:t>
        </m:r>
        <m:r>
          <m:rPr>
            <m:sty m:val="p"/>
          </m:rPr>
          <m:t>%</m:t>
        </m:r>
        <m:r>
          <m:rPr>
            <m:sty m:val="p"/>
          </m:rPr>
          <m:t>±</m:t>
        </m:r>
        <m:r>
          <m:t>1.86</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pixel F1 and</w:t>
      </w:r>
      <w:r>
        <w:rPr>
          <w:rFonts w:ascii="Times New Roman" w:hAnsi="Times New Roman" w:eastAsia="Times New Roman"/>
          <w:sz w:val="20"/>
        </w:rPr>
        <w:t xml:space="preserve"> </w:t>
      </w:r>
      <m:oMath>
        <m:r>
          <m:t>63.16</m:t>
        </m:r>
        <m:r>
          <m:rPr>
            <m:sty m:val="p"/>
          </m:rPr>
          <m:t>%</m:t>
        </m:r>
        <m:r>
          <m:rPr>
            <m:sty m:val="p"/>
          </m:rPr>
          <m:t>±</m:t>
        </m:r>
        <m:r>
          <m:t>2.45</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IoU, compared with ResU-Net (</w:t>
      </w:r>
      <m:oMath>
        <m:r>
          <m:t>76.60</m:t>
        </m:r>
        <m:r>
          <m:rPr>
            <m:sty m:val="p"/>
          </m:rPr>
          <m:t>%</m:t>
        </m:r>
        <m:r>
          <m:rPr>
            <m:sty m:val="p"/>
          </m:rPr>
          <m:t>±</m:t>
        </m:r>
        <m:r>
          <m:t>1.30</m:t>
        </m:r>
        <m:r>
          <m:rPr>
            <m:sty m:val="p"/>
          </m:rPr>
          <m:t>%</m:t>
        </m:r>
      </m:oMath>
      <w:r>
        <w:rPr>
          <w:rFonts w:ascii="Times New Roman" w:hAnsi="Times New Roman" w:eastAsia="Times New Roman"/>
          <w:sz w:val="20"/>
        </w:rPr>
        <w:t xml:space="preserve">), SiamUNet-diff (</w:t>
      </w:r>
      <m:oMath>
        <m:r>
          <m:t>72.64</m:t>
        </m:r>
        <m:r>
          <m:rPr>
            <m:sty m:val="p"/>
          </m:rPr>
          <m:t>%</m:t>
        </m:r>
        <m:r>
          <m:rPr>
            <m:sty m:val="p"/>
          </m:rPr>
          <m:t>±</m:t>
        </m:r>
        <m:r>
          <m:t>0.39</m:t>
        </m:r>
        <m:r>
          <m:rPr>
            <m:sty m:val="p"/>
          </m:rPr>
          <m:t>%</m:t>
        </m:r>
      </m:oMath>
      <w:r>
        <w:rPr>
          <w:rFonts w:ascii="Times New Roman" w:hAnsi="Times New Roman" w:eastAsia="Times New Roman"/>
          <w:sz w:val="20"/>
        </w:rPr>
        <w:t xml:space="preserve">), and SiamUNet-conc (</w:t>
      </w:r>
      <m:oMath>
        <m:r>
          <m:t>78.92</m:t>
        </m:r>
        <m:r>
          <m:rPr>
            <m:sty m:val="p"/>
          </m:rPr>
          <m:t>%</m:t>
        </m:r>
        <m:r>
          <m:rPr>
            <m:sty m:val="p"/>
          </m:rPr>
          <m:t>±</m:t>
        </m:r>
        <m:r>
          <m:t>1.07</m:t>
        </m:r>
        <m:r>
          <m:rPr>
            <m:sty m:val="p"/>
          </m:rPr>
          <m:t>%</m:t>
        </m:r>
      </m:oMath>
      <w:r>
        <w:rPr>
          <w:rFonts w:ascii="Times New Roman" w:hAnsi="Times New Roman" w:eastAsia="Times New Roman"/>
          <w:sz w:val="20"/>
        </w:rPr>
        <w:t xml:space="preserve">). SiamUNet-conc then records</w:t>
      </w:r>
      <w:r>
        <w:rPr>
          <w:rFonts w:ascii="Times New Roman" w:hAnsi="Times New Roman" w:eastAsia="Times New Roman"/>
          <w:sz w:val="20"/>
        </w:rPr>
        <w:t xml:space="preserve"> </w:t>
      </w:r>
      <m:oMath>
        <m:r>
          <m:t>47.34</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in Pamir, a region-dependent drop compatible with sensitivity to the changed mountain regime; the two-region contrast does not identify overfitting to a single factor.</w:t>
      </w:r>
    </w:p>
    <w:p>
      <w:pPr>
        <w:pStyle w:val="Figure"/>
        <w:spacing w:after="0" w:line="240" w:lineRule="auto"/>
      </w:pPr>
      <w:r>
        <w:rPr>
          <w:rFonts w:ascii="Times New Roman" w:hAnsi="Times New Roman" w:eastAsia="Times New Roman"/>
          <w:sz w:val="20"/>
        </w:rPr>
        <w:drawing>
          <wp:inline>
            <wp:extent cx="5334000" cy="3235236"/>
            <wp:effectExtent b="0" l="0" r="0" t="0"/>
            <wp:docPr descr="" title="" id="27" name="Picture"/>
            <a:graphic>
              <a:graphicData uri="http://schemas.openxmlformats.org/drawingml/2006/picture">
                <pic:pic>
                  <pic:nvPicPr>
                    <pic:cNvPr descr="fig_performance_comparison.png" id="28" name="Picture"/>
                    <pic:cNvPicPr>
                      <a:picLocks noChangeArrowheads="1" noChangeAspect="1"/>
                    </pic:cNvPicPr>
                  </pic:nvPicPr>
                  <pic:blipFill>
                    <a:blip r:embed="rId26"/>
                    <a:stretch>
                      <a:fillRect/>
                    </a:stretch>
                  </pic:blipFill>
                  <pic:spPr bwMode="auto">
                    <a:xfrm>
                      <a:off x="0" y="0"/>
                      <a:ext cx="5334000" cy="3235236"/>
                    </a:xfrm>
                    <a:prstGeom prst="rect">
                      <a:avLst/>
                    </a:prstGeom>
                    <a:noFill/>
                    <a:ln w="9525">
                      <a:noFill/>
                      <a:headEnd/>
                      <a:tailEnd/>
                    </a:ln>
                  </pic:spPr>
                </pic:pic>
              </a:graphicData>
            </a:graphic>
          </wp:inline>
        </w:drawing>
      </w:r>
    </w:p>
    <w:p>
      <w:pPr>
        <w:pStyle w:val="FirstParagraph"/>
        <w:spacing w:after="0" w:line="240" w:lineRule="auto"/>
      </w:pPr>
      <w:r>
        <w:rPr>
          <w:rFonts w:ascii="Times New Roman" w:hAnsi="Times New Roman" w:eastAsia="Times New Roman"/>
          <w:b/>
          <w:bCs/>
          <w:sz w:val="20"/>
        </w:rPr>
        <w:t xml:space="preserve">Fig. 2.</w:t>
      </w:r>
      <w:r>
        <w:rPr>
          <w:rFonts w:ascii="Times New Roman" w:hAnsi="Times New Roman" w:eastAsia="Times New Roman"/>
          <w:sz w:val="20"/>
        </w:rPr>
        <w:t xml:space="preserve"> </w:t>
      </w:r>
      <w:r>
        <w:rPr>
          <w:rFonts w:ascii="Times New Roman" w:hAnsi="Times New Roman" w:eastAsia="Times New Roman"/>
          <w:sz w:val="20"/>
        </w:rPr>
        <w:t xml:space="preserve">Quantitative cross-system generalization performance across evaluated deep architectures on unseen mountain ranges (Scandinavian Arctic in Troms</w:t>
      </w:r>
      <w:r>
        <w:rPr>
          <w:rFonts w:ascii="Times New Roman" w:hAnsi="Times New Roman" w:eastAsia="Times New Roman"/>
          <w:sz w:val="20"/>
        </w:rPr>
        <w:t xml:space="preserve">ø</w:t>
      </w:r>
      <w:r>
        <w:rPr>
          <w:rFonts w:ascii="Times New Roman" w:hAnsi="Times New Roman" w:eastAsia="Times New Roman"/>
          <w:sz w:val="20"/>
        </w:rPr>
        <w:t xml:space="preserve"> </w:t>
      </w:r>
      <w:r>
        <w:rPr>
          <w:rFonts w:ascii="Times New Roman" w:hAnsi="Times New Roman" w:eastAsia="Times New Roman"/>
          <w:sz w:val="20"/>
        </w:rPr>
        <w:t xml:space="preserve">and Central Asian Pamir Mountains in Tajikistan), reporting Mean</w:t>
      </w:r>
      <w:r>
        <w:rPr>
          <w:rFonts w:ascii="Times New Roman" w:hAnsi="Times New Roman" w:eastAsia="Times New Roman"/>
          <w:sz w:val="20"/>
        </w:rPr>
        <w:t xml:space="preserve"> </w:t>
      </w:r>
      <m:oMath>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Standard Deviation across 3 independent training seeds.</w:t>
      </w:r>
    </w:p>
    <w:bookmarkEnd w:id="29"/>
    <w:bookmarkStart w:id="30" w:name="statistical-significance-testing"/>
    <w:p>
      <w:pPr>
        <w:pStyle w:val="Heading2"/>
        <w:spacing w:after="0" w:line="240" w:lineRule="auto"/>
      </w:pPr>
      <w:r>
        <w:rPr>
          <w:rFonts w:ascii="Times New Roman" w:hAnsi="Times New Roman" w:eastAsia="Times New Roman"/>
          <w:sz w:val="20"/>
        </w:rPr>
        <w:t xml:space="preserve">Statistical Significance Testing</w:t>
      </w:r>
    </w:p>
    <w:p>
      <w:pPr>
        <w:pStyle w:val="FirstParagraph"/>
        <w:spacing w:after="0" w:line="240" w:lineRule="auto"/>
      </w:pPr>
      <w:r>
        <w:rPr>
          <w:rFonts w:ascii="Times New Roman" w:hAnsi="Times New Roman" w:eastAsia="Times New Roman"/>
          <w:sz w:val="20"/>
        </w:rPr>
        <w:t xml:space="preserve">Because satellite remote sensing pixels within mountain regions exhibit spatial autocorrelation, naive pixel-level hypothesis tests artificially underestimate uncertainty. To evaluate spatial sampling variability, we execute a 1,000-draw paired cluster-bootstrap test over</w:t>
      </w:r>
      <w:r>
        <w:rPr>
          <w:rFonts w:ascii="Times New Roman" w:hAnsi="Times New Roman" w:eastAsia="Times New Roman"/>
          <w:sz w:val="20"/>
        </w:rPr>
        <w:t xml:space="preserve"> </w:t>
      </w:r>
      <m:oMath>
        <m:r>
          <m:t>128</m:t>
        </m:r>
        <m:r>
          <m:rPr>
            <m:sty m:val="p"/>
          </m:rPr>
          <m:t>×</m:t>
        </m:r>
        <m:r>
          <m:t>128</m:t>
        </m:r>
      </m:oMath>
      <w:r>
        <w:rPr>
          <w:rFonts w:ascii="Times New Roman" w:hAnsi="Times New Roman" w:eastAsia="Times New Roman"/>
          <w:sz w:val="20"/>
        </w:rPr>
        <w:t xml:space="preserve"> </w:t>
      </w:r>
      <w:r>
        <w:rPr>
          <w:rFonts w:ascii="Times New Roman" w:hAnsi="Times New Roman" w:eastAsia="Times New Roman"/>
          <w:sz w:val="20"/>
        </w:rPr>
        <w:t xml:space="preserve">spatial blocks of the held-out test scenes. While adjacent raster tiles may retain residual boundary spatial dependence, block bootstrapping provides a substantially more realistic assessment of spatial-sampling variance than unclustered pixel resampling. Table 3 summarizes the paired bootstrap estimates, 95% confidence intervals, and empirical two-tailed</w:t>
      </w:r>
      <w:r>
        <w:rPr>
          <w:rFonts w:ascii="Times New Roman" w:hAnsi="Times New Roman" w:eastAsia="Times New Roman"/>
          <w:sz w:val="20"/>
        </w:rPr>
        <w:t xml:space="preserve"> </w:t>
      </w:r>
      <m:oMath>
        <m:r>
          <m:t>p</m:t>
        </m:r>
      </m:oMath>
      <w:r>
        <w:rPr>
          <w:rFonts w:ascii="Times New Roman" w:hAnsi="Times New Roman" w:eastAsia="Times New Roman"/>
          <w:sz w:val="20"/>
        </w:rPr>
        <w:t xml:space="preserve">-values.</w:t>
      </w:r>
    </w:p>
    <w:p>
      <w:pPr>
        <w:pStyle w:val="BodyText"/>
        <w:spacing w:after="0" w:line="240" w:lineRule="auto"/>
      </w:pPr>
      <w:r>
        <w:rPr>
          <w:rFonts w:ascii="Times New Roman" w:hAnsi="Times New Roman" w:eastAsia="Times New Roman"/>
          <w:b/>
          <w:bCs/>
          <w:sz w:val="20"/>
        </w:rPr>
        <w:t xml:space="preserve">Table 3.</w:t>
      </w:r>
      <w:r>
        <w:rPr>
          <w:rFonts w:ascii="Times New Roman" w:hAnsi="Times New Roman" w:eastAsia="Times New Roman"/>
          <w:sz w:val="20"/>
        </w:rPr>
        <w:t xml:space="preserve"> </w:t>
      </w:r>
      <w:r>
        <w:rPr>
          <w:rFonts w:ascii="Times New Roman" w:hAnsi="Times New Roman" w:eastAsia="Times New Roman"/>
          <w:sz w:val="20"/>
        </w:rPr>
        <w:t xml:space="preserve">Paired statistical significance testing of TopoRadar-Net versus baselines: (a) 1,000-draw spatial block cluster bootstrap on the held-out Scandinavian Arctic test scene (Seed 42, n=143 blocks of size 128 × 128); (b) 1,000-draw spatial block cluster bootstrap pooling all 339 geographic blocks across both unseen mountain regimes (Seed 42, pixel-pooled micro-F1); and (c) Paired t-test across 3 independent training seeds on pooled macro-F1.</w:t>
      </w:r>
    </w:p>
    <w:tbl>
      <w:tblPr>
        <w:tblStyle w:val="Table"/>
        <w:tblW w:type="auto" w:w="0"/>
        <w:tblLayout w:type="autofit"/>
        <w:tblLook w:firstRow="1" w:lastRow="0" w:firstColumn="0" w:lastColumn="0" w:noHBand="0" w:noVBand="0" w:val="0020"/>
      </w:tblPr>
      <w:tblGrid>
        <w:gridCol w:w="1584"/>
        <w:gridCol w:w="1584"/>
        <w:gridCol w:w="1584"/>
        <w:gridCol w:w="1584"/>
        <w:gridCol w:w="1584"/>
      </w:tblGrid>
      <w:tr>
        <w:trPr>
          <w:tblHeader w:val="on"/>
          <w:cantSplit w:val="true"/>
          <w:tblHeader w:val="true"/>
        </w:trPr>
        <w:tc>
          <w:tcPr>
            <w:vAlign w:val="center"/>
          </w:tcPr>
          <w:p>
            <w:pPr>
              <w:pStyle w:val="Compact"/>
              <w:spacing w:before="0" w:after="0" w:line="240" w:lineRule="auto"/>
              <w:jc w:val="left"/>
            </w:pPr>
            <w:r>
              <w:rPr>
                <w:rFonts w:ascii="Times New Roman" w:hAnsi="Times New Roman" w:eastAsia="Times New Roman"/>
                <w:b/>
                <w:bCs/>
                <w:sz w:val="17"/>
              </w:rPr>
              <w:t xml:space="preserve">Comparison</w:t>
            </w:r>
          </w:p>
        </w:tc>
        <w:tc>
          <w:tcPr>
            <w:vAlign w:val="center"/>
          </w:tcPr>
          <w:p>
            <w:pPr>
              <w:pStyle w:val="Compact"/>
              <w:spacing w:before="0" w:after="0" w:line="240" w:lineRule="auto"/>
              <w:jc w:val="center"/>
            </w:pPr>
            <w:r>
              <w:rPr>
                <w:rFonts w:ascii="Times New Roman" w:hAnsi="Times New Roman" w:eastAsia="Times New Roman"/>
                <w:b/>
                <w:bCs/>
                <w:sz w:val="17"/>
              </w:rPr>
              <w:t xml:space="preserve">Mean ΔF1 (%)</w:t>
            </w:r>
          </w:p>
        </w:tc>
        <w:tc>
          <w:tcPr>
            <w:vAlign w:val="center"/>
          </w:tcPr>
          <w:p>
            <w:pPr>
              <w:pStyle w:val="Compact"/>
              <w:spacing w:before="0" w:after="0" w:line="240" w:lineRule="auto"/>
              <w:jc w:val="center"/>
            </w:pPr>
            <w:r>
              <w:rPr>
                <w:rFonts w:ascii="Times New Roman" w:hAnsi="Times New Roman" w:eastAsia="Times New Roman"/>
                <w:b/>
                <w:bCs/>
                <w:sz w:val="17"/>
              </w:rPr>
              <w:t xml:space="preserve">95% CI Lower</w:t>
            </w:r>
          </w:p>
        </w:tc>
        <w:tc>
          <w:tcPr>
            <w:vAlign w:val="center"/>
          </w:tcPr>
          <w:p>
            <w:pPr>
              <w:pStyle w:val="Compact"/>
              <w:spacing w:before="0" w:after="0" w:line="240" w:lineRule="auto"/>
              <w:jc w:val="center"/>
            </w:pPr>
            <w:r>
              <w:rPr>
                <w:rFonts w:ascii="Times New Roman" w:hAnsi="Times New Roman" w:eastAsia="Times New Roman"/>
                <w:b/>
                <w:bCs/>
                <w:sz w:val="17"/>
              </w:rPr>
              <w:t xml:space="preserve">95% CI Upper</w:t>
            </w:r>
          </w:p>
        </w:tc>
        <w:tc>
          <w:tcPr>
            <w:vAlign w:val="center"/>
          </w:tcPr>
          <w:p>
            <w:pPr>
              <w:pStyle w:val="Compact"/>
              <w:spacing w:before="0" w:after="0" w:line="240" w:lineRule="auto"/>
              <w:jc w:val="center"/>
            </w:pPr>
            <w:r>
              <w:rPr>
                <w:rFonts w:ascii="Times New Roman" w:hAnsi="Times New Roman" w:eastAsia="Times New Roman"/>
                <w:b/>
                <w:bCs/>
                <w:sz w:val="17"/>
              </w:rPr>
              <w:t xml:space="preserve">p-value</w:t>
            </w:r>
          </w:p>
        </w:tc>
      </w:tr>
      <w:tr>
        <w:trPr>
          <w:cantSplit w:val="true"/>
        </w:trPr>
        <w:tc>
          <w:tcPr>
            <w:gridSpan w:val="5"/>
            <w:vAlign w:val="center"/>
          </w:tcPr>
          <w:p>
            <w:pPr>
              <w:pStyle w:val="Compact"/>
              <w:spacing w:before="0" w:after="0" w:line="240" w:lineRule="auto"/>
              <w:jc w:val="left"/>
            </w:pPr>
            <w:r>
              <w:rPr>
                <w:rFonts w:ascii="Times New Roman" w:hAnsi="Times New Roman" w:eastAsia="Times New Roman"/>
                <w:i/>
                <w:iCs/>
                <w:sz w:val="17"/>
              </w:rPr>
              <w:t xml:space="preserve">Part A: Single-Scene Regional Significance (Spatial Block Bootstrap, Troms</w:t>
            </w:r>
            <w:r>
              <w:rPr>
                <w:rFonts w:ascii="Times New Roman" w:hAnsi="Times New Roman" w:eastAsia="Times New Roman"/>
                <w:i/>
                <w:iCs/>
                <w:sz w:val="17"/>
              </w:rPr>
              <w:t xml:space="preserve">ø</w:t>
            </w:r>
            <w:r>
              <w:rPr>
                <w:rFonts w:ascii="Times New Roman" w:hAnsi="Times New Roman" w:eastAsia="Times New Roman"/>
                <w:i/>
                <w:iCs/>
                <w:sz w:val="17"/>
              </w:rPr>
              <w:t xml:space="preserve">, Seed 42)</w:t>
            </w:r>
          </w:p>
        </w:tc>
      </w:tr>
      <w:tr>
        <w:trPr>
          <w:cantSplit w:val="true"/>
        </w:trPr>
        <w:tc>
          <w:tcPr>
            <w:vAlign w:val="center"/>
          </w:tcPr>
          <w:p>
            <w:pPr>
              <w:pStyle w:val="Compact"/>
              <w:spacing w:before="0" w:after="0" w:line="240" w:lineRule="auto"/>
              <w:jc w:val="left"/>
            </w:pPr>
            <w:r>
              <w:rPr>
                <w:rFonts w:ascii="Times New Roman" w:hAnsi="Times New Roman" w:eastAsia="Times New Roman"/>
                <w:sz w:val="17"/>
              </w:rPr>
              <w:t xml:space="preserve">vs. SiamUNet-diff</w:t>
            </w:r>
          </w:p>
        </w:tc>
        <w:tc>
          <w:tcPr>
            <w:vAlign w:val="center"/>
          </w:tcPr>
          <w:p>
            <w:pPr>
              <w:pStyle w:val="Compact"/>
              <w:spacing w:before="0" w:after="0" w:line="240" w:lineRule="auto"/>
              <w:jc w:val="center"/>
            </w:pPr>
            <w:r>
              <w:rPr>
                <w:rFonts w:ascii="Times New Roman" w:hAnsi="Times New Roman" w:eastAsia="Times New Roman"/>
                <w:sz w:val="17"/>
              </w:rPr>
              <w:t xml:space="preserve">+6.39%</w:t>
            </w:r>
          </w:p>
        </w:tc>
        <w:tc>
          <w:tcPr>
            <w:vAlign w:val="center"/>
          </w:tcPr>
          <w:p>
            <w:pPr>
              <w:pStyle w:val="Compact"/>
              <w:spacing w:before="0" w:after="0" w:line="240" w:lineRule="auto"/>
              <w:jc w:val="center"/>
            </w:pPr>
            <w:r>
              <w:rPr>
                <w:rFonts w:ascii="Times New Roman" w:hAnsi="Times New Roman" w:eastAsia="Times New Roman"/>
                <w:sz w:val="17"/>
              </w:rPr>
              <w:t xml:space="preserve">+2.59%</w:t>
            </w:r>
          </w:p>
        </w:tc>
        <w:tc>
          <w:tcPr>
            <w:vAlign w:val="center"/>
          </w:tcPr>
          <w:p>
            <w:pPr>
              <w:pStyle w:val="Compact"/>
              <w:spacing w:before="0" w:after="0" w:line="240" w:lineRule="auto"/>
              <w:jc w:val="center"/>
            </w:pPr>
            <w:r>
              <w:rPr>
                <w:rFonts w:ascii="Times New Roman" w:hAnsi="Times New Roman" w:eastAsia="Times New Roman"/>
                <w:sz w:val="17"/>
              </w:rPr>
              <w:t xml:space="preserve">+10.59%</w:t>
            </w:r>
          </w:p>
        </w:tc>
        <w:tc>
          <w:tcPr>
            <w:vAlign w:val="center"/>
          </w:tcPr>
          <w:p>
            <w:pPr>
              <w:pStyle w:val="Compact"/>
              <w:spacing w:before="0" w:after="0" w:line="240" w:lineRule="auto"/>
              <w:jc w:val="center"/>
            </w:pPr>
            <w:r>
              <w:rPr>
                <w:rFonts w:ascii="Times New Roman" w:hAnsi="Times New Roman" w:eastAsia="Times New Roman"/>
                <w:sz w:val="17"/>
              </w:rPr>
              <w:t xml:space="preserve">&lt;0.001</w:t>
            </w:r>
          </w:p>
        </w:tc>
      </w:tr>
      <w:tr>
        <w:trPr>
          <w:cantSplit w:val="true"/>
        </w:trPr>
        <w:tc>
          <w:tcPr>
            <w:vAlign w:val="center"/>
          </w:tcPr>
          <w:p>
            <w:pPr>
              <w:pStyle w:val="Compact"/>
              <w:spacing w:before="0" w:after="0" w:line="240" w:lineRule="auto"/>
              <w:jc w:val="left"/>
            </w:pPr>
            <w:r>
              <w:rPr>
                <w:rFonts w:ascii="Times New Roman" w:hAnsi="Times New Roman" w:eastAsia="Times New Roman"/>
                <w:sz w:val="17"/>
              </w:rPr>
              <w:t xml:space="preserve">vs. ResU-Net</w:t>
            </w:r>
          </w:p>
        </w:tc>
        <w:tc>
          <w:tcPr>
            <w:vAlign w:val="center"/>
          </w:tcPr>
          <w:p>
            <w:pPr>
              <w:pStyle w:val="Compact"/>
              <w:spacing w:before="0" w:after="0" w:line="240" w:lineRule="auto"/>
              <w:jc w:val="center"/>
            </w:pPr>
            <w:r>
              <w:rPr>
                <w:rFonts w:ascii="Times New Roman" w:hAnsi="Times New Roman" w:eastAsia="Times New Roman"/>
                <w:sz w:val="17"/>
              </w:rPr>
              <w:t xml:space="preserve">+4.35%</w:t>
            </w:r>
          </w:p>
        </w:tc>
        <w:tc>
          <w:tcPr>
            <w:vAlign w:val="center"/>
          </w:tcPr>
          <w:p>
            <w:pPr>
              <w:pStyle w:val="Compact"/>
              <w:spacing w:before="0" w:after="0" w:line="240" w:lineRule="auto"/>
              <w:jc w:val="center"/>
            </w:pPr>
            <w:r>
              <w:rPr>
                <w:rFonts w:ascii="Times New Roman" w:hAnsi="Times New Roman" w:eastAsia="Times New Roman"/>
                <w:sz w:val="17"/>
              </w:rPr>
              <w:t xml:space="preserve">+1.33%</w:t>
            </w:r>
          </w:p>
        </w:tc>
        <w:tc>
          <w:tcPr>
            <w:vAlign w:val="center"/>
          </w:tcPr>
          <w:p>
            <w:pPr>
              <w:pStyle w:val="Compact"/>
              <w:spacing w:before="0" w:after="0" w:line="240" w:lineRule="auto"/>
              <w:jc w:val="center"/>
            </w:pPr>
            <w:r>
              <w:rPr>
                <w:rFonts w:ascii="Times New Roman" w:hAnsi="Times New Roman" w:eastAsia="Times New Roman"/>
                <w:sz w:val="17"/>
              </w:rPr>
              <w:t xml:space="preserve">+7.38%</w:t>
            </w:r>
          </w:p>
        </w:tc>
        <w:tc>
          <w:tcPr>
            <w:vAlign w:val="center"/>
          </w:tcPr>
          <w:p>
            <w:pPr>
              <w:pStyle w:val="Compact"/>
              <w:spacing w:before="0" w:after="0" w:line="240" w:lineRule="auto"/>
              <w:jc w:val="center"/>
            </w:pPr>
            <w:r>
              <w:rPr>
                <w:rFonts w:ascii="Times New Roman" w:hAnsi="Times New Roman" w:eastAsia="Times New Roman"/>
                <w:sz w:val="17"/>
              </w:rPr>
              <w:t xml:space="preserve">0.010</w:t>
            </w:r>
          </w:p>
        </w:tc>
      </w:tr>
      <w:tr>
        <w:trPr>
          <w:cantSplit w:val="true"/>
        </w:trPr>
        <w:tc>
          <w:tcPr>
            <w:vAlign w:val="center"/>
          </w:tcPr>
          <w:p>
            <w:pPr>
              <w:pStyle w:val="Compact"/>
              <w:spacing w:before="0" w:after="0" w:line="240" w:lineRule="auto"/>
              <w:jc w:val="left"/>
            </w:pPr>
            <w:r>
              <w:rPr>
                <w:rFonts w:ascii="Times New Roman" w:hAnsi="Times New Roman" w:eastAsia="Times New Roman"/>
                <w:sz w:val="17"/>
              </w:rPr>
              <w:t xml:space="preserve">vs. Attention U-Net</w:t>
            </w:r>
          </w:p>
        </w:tc>
        <w:tc>
          <w:tcPr>
            <w:vAlign w:val="center"/>
          </w:tcPr>
          <w:p>
            <w:pPr>
              <w:pStyle w:val="Compact"/>
              <w:spacing w:before="0" w:after="0" w:line="240" w:lineRule="auto"/>
              <w:jc w:val="center"/>
            </w:pPr>
            <w:r>
              <w:rPr>
                <w:rFonts w:ascii="Times New Roman" w:hAnsi="Times New Roman" w:eastAsia="Times New Roman"/>
                <w:sz w:val="17"/>
              </w:rPr>
              <w:t xml:space="preserve">+2.30%</w:t>
            </w:r>
          </w:p>
        </w:tc>
        <w:tc>
          <w:tcPr>
            <w:vAlign w:val="center"/>
          </w:tcPr>
          <w:p>
            <w:pPr>
              <w:pStyle w:val="Compact"/>
              <w:spacing w:before="0" w:after="0" w:line="240" w:lineRule="auto"/>
              <w:jc w:val="center"/>
            </w:pPr>
            <w:r>
              <w:rPr>
                <w:rFonts w:ascii="Times New Roman" w:hAnsi="Times New Roman" w:eastAsia="Times New Roman"/>
                <w:sz w:val="17"/>
              </w:rPr>
              <w:t xml:space="preserve">+0.27%</w:t>
            </w:r>
          </w:p>
        </w:tc>
        <w:tc>
          <w:tcPr>
            <w:vAlign w:val="center"/>
          </w:tcPr>
          <w:p>
            <w:pPr>
              <w:pStyle w:val="Compact"/>
              <w:spacing w:before="0" w:after="0" w:line="240" w:lineRule="auto"/>
              <w:jc w:val="center"/>
            </w:pPr>
            <w:r>
              <w:rPr>
                <w:rFonts w:ascii="Times New Roman" w:hAnsi="Times New Roman" w:eastAsia="Times New Roman"/>
                <w:sz w:val="17"/>
              </w:rPr>
              <w:t xml:space="preserve">+4.41%</w:t>
            </w:r>
          </w:p>
        </w:tc>
        <w:tc>
          <w:tcPr>
            <w:vAlign w:val="center"/>
          </w:tcPr>
          <w:p>
            <w:pPr>
              <w:pStyle w:val="Compact"/>
              <w:spacing w:before="0" w:after="0" w:line="240" w:lineRule="auto"/>
              <w:jc w:val="center"/>
            </w:pPr>
            <w:r>
              <w:rPr>
                <w:rFonts w:ascii="Times New Roman" w:hAnsi="Times New Roman" w:eastAsia="Times New Roman"/>
                <w:sz w:val="17"/>
              </w:rPr>
              <w:t xml:space="preserve">0.030</w:t>
            </w:r>
          </w:p>
        </w:tc>
      </w:tr>
      <w:tr>
        <w:trPr>
          <w:cantSplit w:val="true"/>
        </w:trPr>
        <w:tc>
          <w:tcPr>
            <w:vAlign w:val="center"/>
          </w:tcPr>
          <w:p>
            <w:pPr>
              <w:pStyle w:val="Compact"/>
              <w:spacing w:before="0" w:after="0" w:line="240" w:lineRule="auto"/>
              <w:jc w:val="left"/>
            </w:pPr>
            <w:r>
              <w:rPr>
                <w:rFonts w:ascii="Times New Roman" w:hAnsi="Times New Roman" w:eastAsia="Times New Roman"/>
                <w:sz w:val="17"/>
              </w:rPr>
              <w:t xml:space="preserve">vs. SiamUNet-conc</w:t>
            </w:r>
          </w:p>
        </w:tc>
        <w:tc>
          <w:tcPr>
            <w:vAlign w:val="center"/>
          </w:tcPr>
          <w:p>
            <w:pPr>
              <w:pStyle w:val="Compact"/>
              <w:spacing w:before="0" w:after="0" w:line="240" w:lineRule="auto"/>
              <w:jc w:val="center"/>
            </w:pPr>
            <w:r>
              <w:rPr>
                <w:rFonts w:ascii="Times New Roman" w:hAnsi="Times New Roman" w:eastAsia="Times New Roman"/>
                <w:sz w:val="17"/>
              </w:rPr>
              <w:t xml:space="preserve">-1.12%</w:t>
            </w:r>
          </w:p>
        </w:tc>
        <w:tc>
          <w:tcPr>
            <w:vAlign w:val="center"/>
          </w:tcPr>
          <w:p>
            <w:pPr>
              <w:pStyle w:val="Compact"/>
              <w:spacing w:before="0" w:after="0" w:line="240" w:lineRule="auto"/>
              <w:jc w:val="center"/>
            </w:pPr>
            <w:r>
              <w:rPr>
                <w:rFonts w:ascii="Times New Roman" w:hAnsi="Times New Roman" w:eastAsia="Times New Roman"/>
                <w:sz w:val="17"/>
              </w:rPr>
              <w:t xml:space="preserve">-2.80%</w:t>
            </w:r>
          </w:p>
        </w:tc>
        <w:tc>
          <w:tcPr>
            <w:vAlign w:val="center"/>
          </w:tcPr>
          <w:p>
            <w:pPr>
              <w:pStyle w:val="Compact"/>
              <w:spacing w:before="0" w:after="0" w:line="240" w:lineRule="auto"/>
              <w:jc w:val="center"/>
            </w:pPr>
            <w:r>
              <w:rPr>
                <w:rFonts w:ascii="Times New Roman" w:hAnsi="Times New Roman" w:eastAsia="Times New Roman"/>
                <w:sz w:val="17"/>
              </w:rPr>
              <w:t xml:space="preserve">+0.40%</w:t>
            </w:r>
          </w:p>
        </w:tc>
        <w:tc>
          <w:tcPr>
            <w:vAlign w:val="center"/>
          </w:tcPr>
          <w:p>
            <w:pPr>
              <w:pStyle w:val="Compact"/>
              <w:spacing w:before="0" w:after="0" w:line="240" w:lineRule="auto"/>
              <w:jc w:val="center"/>
            </w:pPr>
            <w:r>
              <w:rPr>
                <w:rFonts w:ascii="Times New Roman" w:hAnsi="Times New Roman" w:eastAsia="Times New Roman"/>
                <w:sz w:val="17"/>
              </w:rPr>
              <w:t xml:space="preserve">0.144</w:t>
            </w:r>
          </w:p>
        </w:tc>
      </w:tr>
      <w:tr>
        <w:trPr>
          <w:cantSplit w:val="true"/>
        </w:trPr>
        <w:tc>
          <w:tcPr>
            <w:vAlign w:val="center"/>
          </w:tcPr>
          <w:p>
            <w:pPr>
              <w:pStyle w:val="Compact"/>
              <w:spacing w:before="0" w:after="0" w:line="240" w:lineRule="auto"/>
              <w:jc w:val="left"/>
            </w:pPr>
            <w:r>
              <w:rPr>
                <w:rFonts w:ascii="Times New Roman" w:hAnsi="Times New Roman" w:eastAsia="Times New Roman"/>
                <w:sz w:val="17"/>
              </w:rPr>
              <w:t xml:space="preserve">vs. Ablation (No-LIA)</w:t>
            </w:r>
          </w:p>
        </w:tc>
        <w:tc>
          <w:tcPr>
            <w:vAlign w:val="center"/>
          </w:tcPr>
          <w:p>
            <w:pPr>
              <w:pStyle w:val="Compact"/>
              <w:spacing w:before="0" w:after="0" w:line="240" w:lineRule="auto"/>
              <w:jc w:val="center"/>
            </w:pPr>
            <w:r>
              <w:rPr>
                <w:rFonts w:ascii="Times New Roman" w:hAnsi="Times New Roman" w:eastAsia="Times New Roman"/>
                <w:sz w:val="17"/>
              </w:rPr>
              <w:t xml:space="preserve">+2.04%</w:t>
            </w:r>
          </w:p>
        </w:tc>
        <w:tc>
          <w:tcPr>
            <w:vAlign w:val="center"/>
          </w:tcPr>
          <w:p>
            <w:pPr>
              <w:pStyle w:val="Compact"/>
              <w:spacing w:before="0" w:after="0" w:line="240" w:lineRule="auto"/>
              <w:jc w:val="center"/>
            </w:pPr>
            <w:r>
              <w:rPr>
                <w:rFonts w:ascii="Times New Roman" w:hAnsi="Times New Roman" w:eastAsia="Times New Roman"/>
                <w:sz w:val="17"/>
              </w:rPr>
              <w:t xml:space="preserve">+0.98%</w:t>
            </w:r>
          </w:p>
        </w:tc>
        <w:tc>
          <w:tcPr>
            <w:vAlign w:val="center"/>
          </w:tcPr>
          <w:p>
            <w:pPr>
              <w:pStyle w:val="Compact"/>
              <w:spacing w:before="0" w:after="0" w:line="240" w:lineRule="auto"/>
              <w:jc w:val="center"/>
            </w:pPr>
            <w:r>
              <w:rPr>
                <w:rFonts w:ascii="Times New Roman" w:hAnsi="Times New Roman" w:eastAsia="Times New Roman"/>
                <w:sz w:val="17"/>
              </w:rPr>
              <w:t xml:space="preserve">+3.13%</w:t>
            </w:r>
          </w:p>
        </w:tc>
        <w:tc>
          <w:tcPr>
            <w:vAlign w:val="center"/>
          </w:tcPr>
          <w:p>
            <w:pPr>
              <w:pStyle w:val="Compact"/>
              <w:spacing w:before="0" w:after="0" w:line="240" w:lineRule="auto"/>
              <w:jc w:val="center"/>
            </w:pPr>
            <w:r>
              <w:rPr>
                <w:rFonts w:ascii="Times New Roman" w:hAnsi="Times New Roman" w:eastAsia="Times New Roman"/>
                <w:sz w:val="17"/>
              </w:rPr>
              <w:t xml:space="preserve">&lt;0.001</w:t>
            </w:r>
          </w:p>
        </w:tc>
      </w:tr>
      <w:tr>
        <w:trPr>
          <w:cantSplit w:val="true"/>
        </w:trPr>
        <w:tc>
          <w:tcPr>
            <w:vAlign w:val="center"/>
          </w:tcPr>
          <w:p>
            <w:pPr>
              <w:pStyle w:val="Compact"/>
              <w:spacing w:before="0" w:after="0" w:line="240" w:lineRule="auto"/>
              <w:jc w:val="left"/>
            </w:pPr>
            <w:r>
              <w:rPr>
                <w:rFonts w:ascii="Times New Roman" w:hAnsi="Times New Roman" w:eastAsia="Times New Roman"/>
                <w:sz w:val="17"/>
              </w:rPr>
              <w:t xml:space="preserve">vs. Ablation (No-CrossAttn)</w:t>
            </w:r>
          </w:p>
        </w:tc>
        <w:tc>
          <w:tcPr>
            <w:vAlign w:val="center"/>
          </w:tcPr>
          <w:p>
            <w:pPr>
              <w:pStyle w:val="Compact"/>
              <w:spacing w:before="0" w:after="0" w:line="240" w:lineRule="auto"/>
              <w:jc w:val="center"/>
            </w:pPr>
            <w:r>
              <w:rPr>
                <w:rFonts w:ascii="Times New Roman" w:hAnsi="Times New Roman" w:eastAsia="Times New Roman"/>
                <w:sz w:val="17"/>
              </w:rPr>
              <w:t xml:space="preserve">+1.42%</w:t>
            </w:r>
          </w:p>
        </w:tc>
        <w:tc>
          <w:tcPr>
            <w:vAlign w:val="center"/>
          </w:tcPr>
          <w:p>
            <w:pPr>
              <w:pStyle w:val="Compact"/>
              <w:spacing w:before="0" w:after="0" w:line="240" w:lineRule="auto"/>
              <w:jc w:val="center"/>
            </w:pPr>
            <w:r>
              <w:rPr>
                <w:rFonts w:ascii="Times New Roman" w:hAnsi="Times New Roman" w:eastAsia="Times New Roman"/>
                <w:sz w:val="17"/>
              </w:rPr>
              <w:t xml:space="preserve">+0.33%</w:t>
            </w:r>
          </w:p>
        </w:tc>
        <w:tc>
          <w:tcPr>
            <w:vAlign w:val="center"/>
          </w:tcPr>
          <w:p>
            <w:pPr>
              <w:pStyle w:val="Compact"/>
              <w:spacing w:before="0" w:after="0" w:line="240" w:lineRule="auto"/>
              <w:jc w:val="center"/>
            </w:pPr>
            <w:r>
              <w:rPr>
                <w:rFonts w:ascii="Times New Roman" w:hAnsi="Times New Roman" w:eastAsia="Times New Roman"/>
                <w:sz w:val="17"/>
              </w:rPr>
              <w:t xml:space="preserve">+2.60%</w:t>
            </w:r>
          </w:p>
        </w:tc>
        <w:tc>
          <w:tcPr>
            <w:vAlign w:val="center"/>
          </w:tcPr>
          <w:p>
            <w:pPr>
              <w:pStyle w:val="Compact"/>
              <w:spacing w:before="0" w:after="0" w:line="240" w:lineRule="auto"/>
              <w:jc w:val="center"/>
            </w:pPr>
            <w:r>
              <w:rPr>
                <w:rFonts w:ascii="Times New Roman" w:hAnsi="Times New Roman" w:eastAsia="Times New Roman"/>
                <w:sz w:val="17"/>
              </w:rPr>
              <w:t xml:space="preserve">0.010</w:t>
            </w:r>
          </w:p>
        </w:tc>
      </w:tr>
      <w:tr>
        <w:trPr>
          <w:cantSplit w:val="true"/>
        </w:trPr>
        <w:tc>
          <w:tcPr>
            <w:vAlign w:val="center"/>
          </w:tcPr>
          <w:p>
            <w:pPr>
              <w:pStyle w:val="Compact"/>
              <w:spacing w:before="0" w:after="0" w:line="240" w:lineRule="auto"/>
              <w:jc w:val="left"/>
            </w:pPr>
            <w:r>
              <w:rPr>
                <w:rFonts w:ascii="Times New Roman" w:hAnsi="Times New Roman" w:eastAsia="Times New Roman"/>
                <w:sz w:val="17"/>
              </w:rPr>
              <w:t xml:space="preserve">vs. Ablation (No-GeoLoss)</w:t>
            </w:r>
          </w:p>
        </w:tc>
        <w:tc>
          <w:tcPr>
            <w:vAlign w:val="center"/>
          </w:tcPr>
          <w:p>
            <w:pPr>
              <w:pStyle w:val="Compact"/>
              <w:spacing w:before="0" w:after="0" w:line="240" w:lineRule="auto"/>
              <w:jc w:val="center"/>
            </w:pPr>
            <w:r>
              <w:rPr>
                <w:rFonts w:ascii="Times New Roman" w:hAnsi="Times New Roman" w:eastAsia="Times New Roman"/>
                <w:sz w:val="17"/>
              </w:rPr>
              <w:t xml:space="preserve">+3.16%</w:t>
            </w:r>
          </w:p>
        </w:tc>
        <w:tc>
          <w:tcPr>
            <w:vAlign w:val="center"/>
          </w:tcPr>
          <w:p>
            <w:pPr>
              <w:pStyle w:val="Compact"/>
              <w:spacing w:before="0" w:after="0" w:line="240" w:lineRule="auto"/>
              <w:jc w:val="center"/>
            </w:pPr>
            <w:r>
              <w:rPr>
                <w:rFonts w:ascii="Times New Roman" w:hAnsi="Times New Roman" w:eastAsia="Times New Roman"/>
                <w:sz w:val="17"/>
              </w:rPr>
              <w:t xml:space="preserve">+1.49%</w:t>
            </w:r>
          </w:p>
        </w:tc>
        <w:tc>
          <w:tcPr>
            <w:vAlign w:val="center"/>
          </w:tcPr>
          <w:p>
            <w:pPr>
              <w:pStyle w:val="Compact"/>
              <w:spacing w:before="0" w:after="0" w:line="240" w:lineRule="auto"/>
              <w:jc w:val="center"/>
            </w:pPr>
            <w:r>
              <w:rPr>
                <w:rFonts w:ascii="Times New Roman" w:hAnsi="Times New Roman" w:eastAsia="Times New Roman"/>
                <w:sz w:val="17"/>
              </w:rPr>
              <w:t xml:space="preserve">+4.75%</w:t>
            </w:r>
          </w:p>
        </w:tc>
        <w:tc>
          <w:tcPr>
            <w:vAlign w:val="center"/>
          </w:tcPr>
          <w:p>
            <w:pPr>
              <w:pStyle w:val="Compact"/>
              <w:spacing w:before="0" w:after="0" w:line="240" w:lineRule="auto"/>
              <w:jc w:val="center"/>
            </w:pPr>
            <w:r>
              <w:rPr>
                <w:rFonts w:ascii="Times New Roman" w:hAnsi="Times New Roman" w:eastAsia="Times New Roman"/>
                <w:sz w:val="17"/>
              </w:rPr>
              <w:t xml:space="preserve">0.002</w:t>
            </w:r>
          </w:p>
        </w:tc>
      </w:tr>
      <w:tr>
        <w:trPr>
          <w:cantSplit w:val="true"/>
        </w:trPr>
        <w:tc>
          <w:tcPr>
            <w:vAlign w:val="center"/>
          </w:tcPr>
          <w:p>
            <w:pPr>
              <w:pStyle w:val="Compact"/>
              <w:spacing w:before="0" w:after="0" w:line="240" w:lineRule="auto"/>
              <w:jc w:val="left"/>
            </w:pPr>
            <w:r>
              <w:rPr>
                <w:rFonts w:ascii="Times New Roman" w:hAnsi="Times New Roman" w:eastAsia="Times New Roman"/>
                <w:sz w:val="17"/>
              </w:rPr>
              <w:t xml:space="preserve">vs. Ablation (No-Aspect)</w:t>
            </w:r>
          </w:p>
        </w:tc>
        <w:tc>
          <w:tcPr>
            <w:vAlign w:val="center"/>
          </w:tcPr>
          <w:p>
            <w:pPr>
              <w:pStyle w:val="Compact"/>
              <w:spacing w:before="0" w:after="0" w:line="240" w:lineRule="auto"/>
              <w:jc w:val="center"/>
            </w:pPr>
            <w:r>
              <w:rPr>
                <w:rFonts w:ascii="Times New Roman" w:hAnsi="Times New Roman" w:eastAsia="Times New Roman"/>
                <w:sz w:val="17"/>
              </w:rPr>
              <w:t xml:space="preserve">-0.09%</w:t>
            </w:r>
          </w:p>
        </w:tc>
        <w:tc>
          <w:tcPr>
            <w:vAlign w:val="center"/>
          </w:tcPr>
          <w:p>
            <w:pPr>
              <w:pStyle w:val="Compact"/>
              <w:spacing w:before="0" w:after="0" w:line="240" w:lineRule="auto"/>
              <w:jc w:val="center"/>
            </w:pPr>
            <w:r>
              <w:rPr>
                <w:rFonts w:ascii="Times New Roman" w:hAnsi="Times New Roman" w:eastAsia="Times New Roman"/>
                <w:sz w:val="17"/>
              </w:rPr>
              <w:t xml:space="preserve">-1.39%</w:t>
            </w:r>
          </w:p>
        </w:tc>
        <w:tc>
          <w:tcPr>
            <w:vAlign w:val="center"/>
          </w:tcPr>
          <w:p>
            <w:pPr>
              <w:pStyle w:val="Compact"/>
              <w:spacing w:before="0" w:after="0" w:line="240" w:lineRule="auto"/>
              <w:jc w:val="center"/>
            </w:pPr>
            <w:r>
              <w:rPr>
                <w:rFonts w:ascii="Times New Roman" w:hAnsi="Times New Roman" w:eastAsia="Times New Roman"/>
                <w:sz w:val="17"/>
              </w:rPr>
              <w:t xml:space="preserve">+1.04%</w:t>
            </w:r>
          </w:p>
        </w:tc>
        <w:tc>
          <w:tcPr>
            <w:vAlign w:val="center"/>
          </w:tcPr>
          <w:p>
            <w:pPr>
              <w:pStyle w:val="Compact"/>
              <w:spacing w:before="0" w:after="0" w:line="240" w:lineRule="auto"/>
              <w:jc w:val="center"/>
            </w:pPr>
            <w:r>
              <w:rPr>
                <w:rFonts w:ascii="Times New Roman" w:hAnsi="Times New Roman" w:eastAsia="Times New Roman"/>
                <w:sz w:val="17"/>
              </w:rPr>
              <w:t xml:space="preserve">0.942</w:t>
            </w:r>
          </w:p>
        </w:tc>
      </w:tr>
      <w:tr>
        <w:trPr>
          <w:cantSplit w:val="true"/>
        </w:trPr>
        <w:tc>
          <w:tcPr>
            <w:gridSpan w:val="5"/>
            <w:vAlign w:val="center"/>
          </w:tcPr>
          <w:p>
            <w:pPr>
              <w:pStyle w:val="Compact"/>
              <w:spacing w:before="0" w:after="0" w:line="240" w:lineRule="auto"/>
              <w:jc w:val="left"/>
            </w:pPr>
            <w:r>
              <w:rPr>
                <w:rFonts w:ascii="Times New Roman" w:hAnsi="Times New Roman" w:eastAsia="Times New Roman"/>
                <w:i/>
                <w:iCs/>
                <w:sz w:val="17"/>
              </w:rPr>
              <w:t xml:space="preserve">Part B: Multi-Region Spatial Sampling (339 Blocks, Seed 42, Micro-F1)</w:t>
            </w:r>
          </w:p>
        </w:tc>
      </w:tr>
      <w:tr>
        <w:trPr>
          <w:cantSplit w:val="true"/>
        </w:trPr>
        <w:tc>
          <w:tcPr>
            <w:vAlign w:val="center"/>
          </w:tcPr>
          <w:p>
            <w:pPr>
              <w:pStyle w:val="Compact"/>
              <w:spacing w:before="0" w:after="0" w:line="240" w:lineRule="auto"/>
              <w:jc w:val="left"/>
            </w:pPr>
            <w:r>
              <w:rPr>
                <w:rFonts w:ascii="Times New Roman" w:hAnsi="Times New Roman" w:eastAsia="Times New Roman"/>
                <w:sz w:val="17"/>
              </w:rPr>
              <w:t xml:space="preserve">vs. SiamUNet-diff</w:t>
            </w:r>
          </w:p>
        </w:tc>
        <w:tc>
          <w:tcPr>
            <w:vAlign w:val="center"/>
          </w:tcPr>
          <w:p>
            <w:pPr>
              <w:pStyle w:val="Compact"/>
              <w:spacing w:before="0" w:after="0" w:line="240" w:lineRule="auto"/>
              <w:jc w:val="center"/>
            </w:pPr>
            <w:r>
              <w:rPr>
                <w:rFonts w:ascii="Times New Roman" w:hAnsi="Times New Roman" w:eastAsia="Times New Roman"/>
                <w:sz w:val="17"/>
              </w:rPr>
              <w:t xml:space="preserve">+12.77%</w:t>
            </w:r>
          </w:p>
        </w:tc>
        <w:tc>
          <w:tcPr>
            <w:vAlign w:val="center"/>
          </w:tcPr>
          <w:p>
            <w:pPr>
              <w:pStyle w:val="Compact"/>
              <w:spacing w:before="0" w:after="0" w:line="240" w:lineRule="auto"/>
              <w:jc w:val="center"/>
            </w:pPr>
            <w:r>
              <w:rPr>
                <w:rFonts w:ascii="Times New Roman" w:hAnsi="Times New Roman" w:eastAsia="Times New Roman"/>
                <w:sz w:val="17"/>
              </w:rPr>
              <w:t xml:space="preserve">+9.18%</w:t>
            </w:r>
          </w:p>
        </w:tc>
        <w:tc>
          <w:tcPr>
            <w:vAlign w:val="center"/>
          </w:tcPr>
          <w:p>
            <w:pPr>
              <w:pStyle w:val="Compact"/>
              <w:spacing w:before="0" w:after="0" w:line="240" w:lineRule="auto"/>
              <w:jc w:val="center"/>
            </w:pPr>
            <w:r>
              <w:rPr>
                <w:rFonts w:ascii="Times New Roman" w:hAnsi="Times New Roman" w:eastAsia="Times New Roman"/>
                <w:sz w:val="17"/>
              </w:rPr>
              <w:t xml:space="preserve">+16.61%</w:t>
            </w:r>
          </w:p>
        </w:tc>
        <w:tc>
          <w:tcPr>
            <w:vAlign w:val="center"/>
          </w:tcPr>
          <w:p>
            <w:pPr>
              <w:pStyle w:val="Compact"/>
              <w:spacing w:before="0" w:after="0" w:line="240" w:lineRule="auto"/>
              <w:jc w:val="center"/>
            </w:pPr>
            <w:r>
              <w:rPr>
                <w:rFonts w:ascii="Times New Roman" w:hAnsi="Times New Roman" w:eastAsia="Times New Roman"/>
                <w:sz w:val="17"/>
              </w:rPr>
              <w:t xml:space="preserve">&lt;0.001</w:t>
            </w:r>
          </w:p>
        </w:tc>
      </w:tr>
      <w:tr>
        <w:trPr>
          <w:cantSplit w:val="true"/>
        </w:trPr>
        <w:tc>
          <w:tcPr>
            <w:vAlign w:val="center"/>
          </w:tcPr>
          <w:p>
            <w:pPr>
              <w:pStyle w:val="Compact"/>
              <w:spacing w:before="0" w:after="0" w:line="240" w:lineRule="auto"/>
              <w:jc w:val="left"/>
            </w:pPr>
            <w:r>
              <w:rPr>
                <w:rFonts w:ascii="Times New Roman" w:hAnsi="Times New Roman" w:eastAsia="Times New Roman"/>
                <w:sz w:val="17"/>
              </w:rPr>
              <w:t xml:space="preserve">vs. ResU-Net</w:t>
            </w:r>
          </w:p>
        </w:tc>
        <w:tc>
          <w:tcPr>
            <w:vAlign w:val="center"/>
          </w:tcPr>
          <w:p>
            <w:pPr>
              <w:pStyle w:val="Compact"/>
              <w:spacing w:before="0" w:after="0" w:line="240" w:lineRule="auto"/>
              <w:jc w:val="center"/>
            </w:pPr>
            <w:r>
              <w:rPr>
                <w:rFonts w:ascii="Times New Roman" w:hAnsi="Times New Roman" w:eastAsia="Times New Roman"/>
                <w:sz w:val="17"/>
              </w:rPr>
              <w:t xml:space="preserve">+4.30%</w:t>
            </w:r>
          </w:p>
        </w:tc>
        <w:tc>
          <w:tcPr>
            <w:vAlign w:val="center"/>
          </w:tcPr>
          <w:p>
            <w:pPr>
              <w:pStyle w:val="Compact"/>
              <w:spacing w:before="0" w:after="0" w:line="240" w:lineRule="auto"/>
              <w:jc w:val="center"/>
            </w:pPr>
            <w:r>
              <w:rPr>
                <w:rFonts w:ascii="Times New Roman" w:hAnsi="Times New Roman" w:eastAsia="Times New Roman"/>
                <w:sz w:val="17"/>
              </w:rPr>
              <w:t xml:space="preserve">+1.54%</w:t>
            </w:r>
          </w:p>
        </w:tc>
        <w:tc>
          <w:tcPr>
            <w:vAlign w:val="center"/>
          </w:tcPr>
          <w:p>
            <w:pPr>
              <w:pStyle w:val="Compact"/>
              <w:spacing w:before="0" w:after="0" w:line="240" w:lineRule="auto"/>
              <w:jc w:val="center"/>
            </w:pPr>
            <w:r>
              <w:rPr>
                <w:rFonts w:ascii="Times New Roman" w:hAnsi="Times New Roman" w:eastAsia="Times New Roman"/>
                <w:sz w:val="17"/>
              </w:rPr>
              <w:t xml:space="preserve">+6.97%</w:t>
            </w:r>
          </w:p>
        </w:tc>
        <w:tc>
          <w:tcPr>
            <w:vAlign w:val="center"/>
          </w:tcPr>
          <w:p>
            <w:pPr>
              <w:pStyle w:val="Compact"/>
              <w:spacing w:before="0" w:after="0" w:line="240" w:lineRule="auto"/>
              <w:jc w:val="center"/>
            </w:pPr>
            <w:r>
              <w:rPr>
                <w:rFonts w:ascii="Times New Roman" w:hAnsi="Times New Roman" w:eastAsia="Times New Roman"/>
                <w:sz w:val="17"/>
              </w:rPr>
              <w:t xml:space="preserve">0.002</w:t>
            </w:r>
          </w:p>
        </w:tc>
      </w:tr>
      <w:tr>
        <w:trPr>
          <w:cantSplit w:val="true"/>
        </w:trPr>
        <w:tc>
          <w:tcPr>
            <w:vAlign w:val="center"/>
          </w:tcPr>
          <w:p>
            <w:pPr>
              <w:pStyle w:val="Compact"/>
              <w:spacing w:before="0" w:after="0" w:line="240" w:lineRule="auto"/>
              <w:jc w:val="left"/>
            </w:pPr>
            <w:r>
              <w:rPr>
                <w:rFonts w:ascii="Times New Roman" w:hAnsi="Times New Roman" w:eastAsia="Times New Roman"/>
                <w:sz w:val="17"/>
              </w:rPr>
              <w:t xml:space="preserve">vs. Attention U-Net</w:t>
            </w:r>
          </w:p>
        </w:tc>
        <w:tc>
          <w:tcPr>
            <w:vAlign w:val="center"/>
          </w:tcPr>
          <w:p>
            <w:pPr>
              <w:pStyle w:val="Compact"/>
              <w:spacing w:before="0" w:after="0" w:line="240" w:lineRule="auto"/>
              <w:jc w:val="center"/>
            </w:pPr>
            <w:r>
              <w:rPr>
                <w:rFonts w:ascii="Times New Roman" w:hAnsi="Times New Roman" w:eastAsia="Times New Roman"/>
                <w:sz w:val="17"/>
              </w:rPr>
              <w:t xml:space="preserve">+3.27%</w:t>
            </w:r>
          </w:p>
        </w:tc>
        <w:tc>
          <w:tcPr>
            <w:vAlign w:val="center"/>
          </w:tcPr>
          <w:p>
            <w:pPr>
              <w:pStyle w:val="Compact"/>
              <w:spacing w:before="0" w:after="0" w:line="240" w:lineRule="auto"/>
              <w:jc w:val="center"/>
            </w:pPr>
            <w:r>
              <w:rPr>
                <w:rFonts w:ascii="Times New Roman" w:hAnsi="Times New Roman" w:eastAsia="Times New Roman"/>
                <w:sz w:val="17"/>
              </w:rPr>
              <w:t xml:space="preserve">+1.12%</w:t>
            </w:r>
          </w:p>
        </w:tc>
        <w:tc>
          <w:tcPr>
            <w:vAlign w:val="center"/>
          </w:tcPr>
          <w:p>
            <w:pPr>
              <w:pStyle w:val="Compact"/>
              <w:spacing w:before="0" w:after="0" w:line="240" w:lineRule="auto"/>
              <w:jc w:val="center"/>
            </w:pPr>
            <w:r>
              <w:rPr>
                <w:rFonts w:ascii="Times New Roman" w:hAnsi="Times New Roman" w:eastAsia="Times New Roman"/>
                <w:sz w:val="17"/>
              </w:rPr>
              <w:t xml:space="preserve">+5.37%</w:t>
            </w:r>
          </w:p>
        </w:tc>
        <w:tc>
          <w:tcPr>
            <w:vAlign w:val="center"/>
          </w:tcPr>
          <w:p>
            <w:pPr>
              <w:pStyle w:val="Compact"/>
              <w:spacing w:before="0" w:after="0" w:line="240" w:lineRule="auto"/>
              <w:jc w:val="center"/>
            </w:pPr>
            <w:r>
              <w:rPr>
                <w:rFonts w:ascii="Times New Roman" w:hAnsi="Times New Roman" w:eastAsia="Times New Roman"/>
                <w:sz w:val="17"/>
              </w:rPr>
              <w:t xml:space="preserve">0.010</w:t>
            </w:r>
          </w:p>
        </w:tc>
      </w:tr>
      <w:tr>
        <w:trPr>
          <w:cantSplit w:val="true"/>
        </w:trPr>
        <w:tc>
          <w:tcPr>
            <w:vAlign w:val="center"/>
          </w:tcPr>
          <w:p>
            <w:pPr>
              <w:pStyle w:val="Compact"/>
              <w:spacing w:before="0" w:after="0" w:line="240" w:lineRule="auto"/>
              <w:jc w:val="left"/>
            </w:pPr>
            <w:r>
              <w:rPr>
                <w:rFonts w:ascii="Times New Roman" w:hAnsi="Times New Roman" w:eastAsia="Times New Roman"/>
                <w:sz w:val="17"/>
              </w:rPr>
              <w:t xml:space="preserve">vs. SiamUNet-conc</w:t>
            </w:r>
          </w:p>
        </w:tc>
        <w:tc>
          <w:tcPr>
            <w:vAlign w:val="center"/>
          </w:tcPr>
          <w:p>
            <w:pPr>
              <w:pStyle w:val="Compact"/>
              <w:spacing w:before="0" w:after="0" w:line="240" w:lineRule="auto"/>
              <w:jc w:val="center"/>
            </w:pPr>
            <w:r>
              <w:rPr>
                <w:rFonts w:ascii="Times New Roman" w:hAnsi="Times New Roman" w:eastAsia="Times New Roman"/>
                <w:sz w:val="17"/>
              </w:rPr>
              <w:t xml:space="preserve">+2.47%</w:t>
            </w:r>
          </w:p>
        </w:tc>
        <w:tc>
          <w:tcPr>
            <w:vAlign w:val="center"/>
          </w:tcPr>
          <w:p>
            <w:pPr>
              <w:pStyle w:val="Compact"/>
              <w:spacing w:before="0" w:after="0" w:line="240" w:lineRule="auto"/>
              <w:jc w:val="center"/>
            </w:pPr>
            <w:r>
              <w:rPr>
                <w:rFonts w:ascii="Times New Roman" w:hAnsi="Times New Roman" w:eastAsia="Times New Roman"/>
                <w:sz w:val="17"/>
              </w:rPr>
              <w:t xml:space="preserve">+0.41%</w:t>
            </w:r>
          </w:p>
        </w:tc>
        <w:tc>
          <w:tcPr>
            <w:vAlign w:val="center"/>
          </w:tcPr>
          <w:p>
            <w:pPr>
              <w:pStyle w:val="Compact"/>
              <w:spacing w:before="0" w:after="0" w:line="240" w:lineRule="auto"/>
              <w:jc w:val="center"/>
            </w:pPr>
            <w:r>
              <w:rPr>
                <w:rFonts w:ascii="Times New Roman" w:hAnsi="Times New Roman" w:eastAsia="Times New Roman"/>
                <w:sz w:val="17"/>
              </w:rPr>
              <w:t xml:space="preserve">+4.60%</w:t>
            </w:r>
          </w:p>
        </w:tc>
        <w:tc>
          <w:tcPr>
            <w:vAlign w:val="center"/>
          </w:tcPr>
          <w:p>
            <w:pPr>
              <w:pStyle w:val="Compact"/>
              <w:spacing w:before="0" w:after="0" w:line="240" w:lineRule="auto"/>
              <w:jc w:val="center"/>
            </w:pPr>
            <w:r>
              <w:rPr>
                <w:rFonts w:ascii="Times New Roman" w:hAnsi="Times New Roman" w:eastAsia="Times New Roman"/>
                <w:sz w:val="17"/>
              </w:rPr>
              <w:t xml:space="preserve">0.026</w:t>
            </w:r>
          </w:p>
        </w:tc>
      </w:tr>
      <w:tr>
        <w:trPr>
          <w:cantSplit w:val="true"/>
        </w:trPr>
        <w:tc>
          <w:tcPr>
            <w:gridSpan w:val="5"/>
            <w:vAlign w:val="center"/>
          </w:tcPr>
          <w:p>
            <w:pPr>
              <w:pStyle w:val="Compact"/>
              <w:spacing w:before="0" w:after="0" w:line="240" w:lineRule="auto"/>
              <w:jc w:val="left"/>
            </w:pPr>
            <w:r>
              <w:rPr>
                <w:rFonts w:ascii="Times New Roman" w:hAnsi="Times New Roman" w:eastAsia="Times New Roman"/>
                <w:i/>
                <w:iCs/>
                <w:sz w:val="17"/>
              </w:rPr>
              <w:t xml:space="preserve">Part C: Multi-Seed Training Uncertainty (Paired t-Test across 3 Seeds, Macro-F1)</w:t>
            </w:r>
          </w:p>
        </w:tc>
      </w:tr>
      <w:tr>
        <w:trPr>
          <w:cantSplit w:val="true"/>
        </w:trPr>
        <w:tc>
          <w:tcPr>
            <w:vAlign w:val="center"/>
          </w:tcPr>
          <w:p>
            <w:pPr>
              <w:pStyle w:val="Compact"/>
              <w:spacing w:before="0" w:after="0" w:line="240" w:lineRule="auto"/>
              <w:jc w:val="left"/>
            </w:pPr>
            <w:r>
              <w:rPr>
                <w:rFonts w:ascii="Times New Roman" w:hAnsi="Times New Roman" w:eastAsia="Times New Roman"/>
                <w:sz w:val="17"/>
              </w:rPr>
              <w:t xml:space="preserve">vs. SiamUNet-diff</w:t>
            </w:r>
          </w:p>
        </w:tc>
        <w:tc>
          <w:tcPr>
            <w:vAlign w:val="center"/>
          </w:tcPr>
          <w:p>
            <w:pPr>
              <w:pStyle w:val="Compact"/>
              <w:spacing w:before="0" w:after="0" w:line="240" w:lineRule="auto"/>
              <w:jc w:val="center"/>
            </w:pPr>
            <w:r>
              <w:rPr>
                <w:rFonts w:ascii="Times New Roman" w:hAnsi="Times New Roman" w:eastAsia="Times New Roman"/>
                <w:sz w:val="17"/>
              </w:rPr>
              <w:t xml:space="preserve">+8.92%</w:t>
            </w:r>
          </w:p>
        </w:tc>
        <w:tc>
          <w:tcPr>
            <w:vAlign w:val="center"/>
          </w:tcPr>
          <w:p>
            <w:pPr>
              <w:pStyle w:val="Compact"/>
              <w:spacing w:before="0" w:after="0" w:line="240" w:lineRule="auto"/>
              <w:jc w:val="center"/>
            </w:pPr>
            <w:r>
              <w:rPr>
                <w:rFonts w:ascii="Times New Roman" w:hAnsi="Times New Roman" w:eastAsia="Times New Roman"/>
                <w:sz w:val="17"/>
              </w:rPr>
              <w:t xml:space="preserve">+3.25%</w:t>
            </w:r>
          </w:p>
        </w:tc>
        <w:tc>
          <w:tcPr>
            <w:vAlign w:val="center"/>
          </w:tcPr>
          <w:p>
            <w:pPr>
              <w:pStyle w:val="Compact"/>
              <w:spacing w:before="0" w:after="0" w:line="240" w:lineRule="auto"/>
              <w:jc w:val="center"/>
            </w:pPr>
            <w:r>
              <w:rPr>
                <w:rFonts w:ascii="Times New Roman" w:hAnsi="Times New Roman" w:eastAsia="Times New Roman"/>
                <w:sz w:val="17"/>
              </w:rPr>
              <w:t xml:space="preserve">+14.59%</w:t>
            </w:r>
          </w:p>
        </w:tc>
        <w:tc>
          <w:tcPr>
            <w:vAlign w:val="center"/>
          </w:tcPr>
          <w:p>
            <w:pPr>
              <w:pStyle w:val="Compact"/>
              <w:spacing w:before="0" w:after="0" w:line="240" w:lineRule="auto"/>
              <w:jc w:val="center"/>
            </w:pPr>
            <w:r>
              <w:rPr>
                <w:rFonts w:ascii="Times New Roman" w:hAnsi="Times New Roman" w:eastAsia="Times New Roman"/>
                <w:sz w:val="17"/>
              </w:rPr>
              <w:t xml:space="preserve">0.021</w:t>
            </w:r>
          </w:p>
        </w:tc>
      </w:tr>
      <w:tr>
        <w:trPr>
          <w:cantSplit w:val="true"/>
        </w:trPr>
        <w:tc>
          <w:tcPr>
            <w:vAlign w:val="center"/>
          </w:tcPr>
          <w:p>
            <w:pPr>
              <w:pStyle w:val="Compact"/>
              <w:spacing w:before="0" w:after="0" w:line="240" w:lineRule="auto"/>
              <w:jc w:val="left"/>
            </w:pPr>
            <w:r>
              <w:rPr>
                <w:rFonts w:ascii="Times New Roman" w:hAnsi="Times New Roman" w:eastAsia="Times New Roman"/>
                <w:sz w:val="17"/>
              </w:rPr>
              <w:t xml:space="preserve">vs. ResU-Net</w:t>
            </w:r>
          </w:p>
        </w:tc>
        <w:tc>
          <w:tcPr>
            <w:vAlign w:val="center"/>
          </w:tcPr>
          <w:p>
            <w:pPr>
              <w:pStyle w:val="Compact"/>
              <w:spacing w:before="0" w:after="0" w:line="240" w:lineRule="auto"/>
              <w:jc w:val="center"/>
            </w:pPr>
            <w:r>
              <w:rPr>
                <w:rFonts w:ascii="Times New Roman" w:hAnsi="Times New Roman" w:eastAsia="Times New Roman"/>
                <w:sz w:val="17"/>
              </w:rPr>
              <w:t xml:space="preserve">+0.86%</w:t>
            </w:r>
          </w:p>
        </w:tc>
        <w:tc>
          <w:tcPr>
            <w:vAlign w:val="center"/>
          </w:tcPr>
          <w:p>
            <w:pPr>
              <w:pStyle w:val="Compact"/>
              <w:spacing w:before="0" w:after="0" w:line="240" w:lineRule="auto"/>
              <w:jc w:val="center"/>
            </w:pPr>
            <w:r>
              <w:rPr>
                <w:rFonts w:ascii="Times New Roman" w:hAnsi="Times New Roman" w:eastAsia="Times New Roman"/>
                <w:sz w:val="17"/>
              </w:rPr>
              <w:t xml:space="preserve">-3.23%</w:t>
            </w:r>
          </w:p>
        </w:tc>
        <w:tc>
          <w:tcPr>
            <w:vAlign w:val="center"/>
          </w:tcPr>
          <w:p>
            <w:pPr>
              <w:pStyle w:val="Compact"/>
              <w:spacing w:before="0" w:after="0" w:line="240" w:lineRule="auto"/>
              <w:jc w:val="center"/>
            </w:pPr>
            <w:r>
              <w:rPr>
                <w:rFonts w:ascii="Times New Roman" w:hAnsi="Times New Roman" w:eastAsia="Times New Roman"/>
                <w:sz w:val="17"/>
              </w:rPr>
              <w:t xml:space="preserve">+4.96%</w:t>
            </w:r>
          </w:p>
        </w:tc>
        <w:tc>
          <w:tcPr>
            <w:vAlign w:val="center"/>
          </w:tcPr>
          <w:p>
            <w:pPr>
              <w:pStyle w:val="Compact"/>
              <w:spacing w:before="0" w:after="0" w:line="240" w:lineRule="auto"/>
              <w:jc w:val="center"/>
            </w:pPr>
            <w:r>
              <w:rPr>
                <w:rFonts w:ascii="Times New Roman" w:hAnsi="Times New Roman" w:eastAsia="Times New Roman"/>
                <w:sz w:val="17"/>
              </w:rPr>
              <w:t xml:space="preserve">0.459</w:t>
            </w:r>
          </w:p>
        </w:tc>
      </w:tr>
      <w:tr>
        <w:trPr>
          <w:cantSplit w:val="true"/>
        </w:trPr>
        <w:tc>
          <w:tcPr>
            <w:vAlign w:val="center"/>
          </w:tcPr>
          <w:p>
            <w:pPr>
              <w:pStyle w:val="Compact"/>
              <w:spacing w:before="0" w:after="0" w:line="240" w:lineRule="auto"/>
              <w:jc w:val="left"/>
            </w:pPr>
            <w:r>
              <w:rPr>
                <w:rFonts w:ascii="Times New Roman" w:hAnsi="Times New Roman" w:eastAsia="Times New Roman"/>
                <w:sz w:val="17"/>
              </w:rPr>
              <w:t xml:space="preserve">vs. SiamUNet-conc</w:t>
            </w:r>
          </w:p>
        </w:tc>
        <w:tc>
          <w:tcPr>
            <w:vAlign w:val="center"/>
          </w:tcPr>
          <w:p>
            <w:pPr>
              <w:pStyle w:val="Compact"/>
              <w:spacing w:before="0" w:after="0" w:line="240" w:lineRule="auto"/>
              <w:jc w:val="center"/>
            </w:pPr>
            <w:r>
              <w:rPr>
                <w:rFonts w:ascii="Times New Roman" w:hAnsi="Times New Roman" w:eastAsia="Times New Roman"/>
                <w:sz w:val="17"/>
              </w:rPr>
              <w:t xml:space="preserve">+0.65%</w:t>
            </w:r>
          </w:p>
        </w:tc>
        <w:tc>
          <w:tcPr>
            <w:vAlign w:val="center"/>
          </w:tcPr>
          <w:p>
            <w:pPr>
              <w:pStyle w:val="Compact"/>
              <w:spacing w:before="0" w:after="0" w:line="240" w:lineRule="auto"/>
              <w:jc w:val="center"/>
            </w:pPr>
            <w:r>
              <w:rPr>
                <w:rFonts w:ascii="Times New Roman" w:hAnsi="Times New Roman" w:eastAsia="Times New Roman"/>
                <w:sz w:val="17"/>
              </w:rPr>
              <w:t xml:space="preserve">-4.69%</w:t>
            </w:r>
          </w:p>
        </w:tc>
        <w:tc>
          <w:tcPr>
            <w:vAlign w:val="center"/>
          </w:tcPr>
          <w:p>
            <w:pPr>
              <w:pStyle w:val="Compact"/>
              <w:spacing w:before="0" w:after="0" w:line="240" w:lineRule="auto"/>
              <w:jc w:val="center"/>
            </w:pPr>
            <w:r>
              <w:rPr>
                <w:rFonts w:ascii="Times New Roman" w:hAnsi="Times New Roman" w:eastAsia="Times New Roman"/>
                <w:sz w:val="17"/>
              </w:rPr>
              <w:t xml:space="preserve">+5.99%</w:t>
            </w:r>
          </w:p>
        </w:tc>
        <w:tc>
          <w:tcPr>
            <w:vAlign w:val="center"/>
          </w:tcPr>
          <w:p>
            <w:pPr>
              <w:pStyle w:val="Compact"/>
              <w:spacing w:before="0" w:after="0" w:line="240" w:lineRule="auto"/>
              <w:jc w:val="center"/>
            </w:pPr>
            <w:r>
              <w:rPr>
                <w:rFonts w:ascii="Times New Roman" w:hAnsi="Times New Roman" w:eastAsia="Times New Roman"/>
                <w:sz w:val="17"/>
              </w:rPr>
              <w:t xml:space="preserve">0.651</w:t>
            </w:r>
          </w:p>
        </w:tc>
      </w:tr>
      <w:tr>
        <w:trPr>
          <w:cantSplit w:val="true"/>
        </w:trPr>
        <w:tc>
          <w:tcPr>
            <w:vAlign w:val="center"/>
          </w:tcPr>
          <w:p>
            <w:pPr>
              <w:pStyle w:val="Compact"/>
              <w:spacing w:before="0" w:after="0" w:line="240" w:lineRule="auto"/>
              <w:jc w:val="left"/>
            </w:pPr>
            <w:r>
              <w:rPr>
                <w:rFonts w:ascii="Times New Roman" w:hAnsi="Times New Roman" w:eastAsia="Times New Roman"/>
                <w:sz w:val="17"/>
              </w:rPr>
              <w:t xml:space="preserve">vs. Attention U-Net</w:t>
            </w:r>
          </w:p>
        </w:tc>
        <w:tc>
          <w:tcPr>
            <w:vAlign w:val="center"/>
          </w:tcPr>
          <w:p>
            <w:pPr>
              <w:pStyle w:val="Compact"/>
              <w:spacing w:before="0" w:after="0" w:line="240" w:lineRule="auto"/>
              <w:jc w:val="center"/>
            </w:pPr>
            <w:r>
              <w:rPr>
                <w:rFonts w:ascii="Times New Roman" w:hAnsi="Times New Roman" w:eastAsia="Times New Roman"/>
                <w:sz w:val="17"/>
              </w:rPr>
              <w:t xml:space="preserve">+0.38%</w:t>
            </w:r>
          </w:p>
        </w:tc>
        <w:tc>
          <w:tcPr>
            <w:vAlign w:val="center"/>
          </w:tcPr>
          <w:p>
            <w:pPr>
              <w:pStyle w:val="Compact"/>
              <w:spacing w:before="0" w:after="0" w:line="240" w:lineRule="auto"/>
              <w:jc w:val="center"/>
            </w:pPr>
            <w:r>
              <w:rPr>
                <w:rFonts w:ascii="Times New Roman" w:hAnsi="Times New Roman" w:eastAsia="Times New Roman"/>
                <w:sz w:val="17"/>
              </w:rPr>
              <w:t xml:space="preserve">-8.28%</w:t>
            </w:r>
          </w:p>
        </w:tc>
        <w:tc>
          <w:tcPr>
            <w:vAlign w:val="center"/>
          </w:tcPr>
          <w:p>
            <w:pPr>
              <w:pStyle w:val="Compact"/>
              <w:spacing w:before="0" w:after="0" w:line="240" w:lineRule="auto"/>
              <w:jc w:val="center"/>
            </w:pPr>
            <w:r>
              <w:rPr>
                <w:rFonts w:ascii="Times New Roman" w:hAnsi="Times New Roman" w:eastAsia="Times New Roman"/>
                <w:sz w:val="17"/>
              </w:rPr>
              <w:t xml:space="preserve">+9.04%</w:t>
            </w:r>
          </w:p>
        </w:tc>
        <w:tc>
          <w:tcPr>
            <w:vAlign w:val="center"/>
          </w:tcPr>
          <w:p>
            <w:pPr>
              <w:pStyle w:val="Compact"/>
              <w:spacing w:before="0" w:after="0" w:line="240" w:lineRule="auto"/>
              <w:jc w:val="center"/>
            </w:pPr>
            <w:r>
              <w:rPr>
                <w:rFonts w:ascii="Times New Roman" w:hAnsi="Times New Roman" w:eastAsia="Times New Roman"/>
                <w:sz w:val="17"/>
              </w:rPr>
              <w:t xml:space="preserve">0.869</w:t>
            </w:r>
          </w:p>
        </w:tc>
      </w:tr>
    </w:tbl>
    <w:p>
      <w:pPr>
        <w:pStyle w:val="BodyText"/>
        <w:spacing w:after="0" w:line="240" w:lineRule="auto"/>
      </w:pPr>
      <w:r>
        <w:rPr>
          <w:rFonts w:ascii="Times New Roman" w:hAnsi="Times New Roman" w:eastAsia="Times New Roman"/>
          <w:sz w:val="20"/>
        </w:rPr>
        <w:t xml:space="preserve">The bootstrap confidence intervals and seed-level tests distinguish spatial-sampling stability from training-seed variance. In the coastal Scandinavian Arctic setting (Part A), against Attention U-Net, TopoRadar-Net records a mean paired regional difference of</w:t>
      </w:r>
      <w:r>
        <w:rPr>
          <w:rFonts w:ascii="Times New Roman" w:hAnsi="Times New Roman" w:eastAsia="Times New Roman"/>
          <w:sz w:val="20"/>
        </w:rPr>
        <w:t xml:space="preserve"> </w:t>
      </w:r>
      <m:oMath>
        <m:r>
          <m:rPr>
            <m:sty m:val="p"/>
          </m:rPr>
          <m:t>+</m:t>
        </m:r>
        <m:r>
          <m:t>2.30</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with a 95% CI of</w:t>
      </w:r>
      <w:r>
        <w:rPr>
          <w:rFonts w:ascii="Times New Roman" w:hAnsi="Times New Roman" w:eastAsia="Times New Roman"/>
          <w:sz w:val="20"/>
        </w:rPr>
        <w:t xml:space="preserve"> </w:t>
      </w:r>
      <m:oMath>
        <m:r>
          <m:rPr>
            <m:sty m:val="p"/>
          </m:rPr>
          <m:t>[</m:t>
        </m:r>
        <m:r>
          <m:rPr>
            <m:sty m:val="p"/>
          </m:rPr>
          <m:t>+</m:t>
        </m:r>
        <m:r>
          <m:t>0.27</m:t>
        </m:r>
        <m:r>
          <m:rPr>
            <m:sty m:val="p"/>
          </m:rPr>
          <m:t>%</m:t>
        </m:r>
        <m:r>
          <m:rPr>
            <m:sty m:val="p"/>
          </m:rPr>
          <m:t>,</m:t>
        </m:r>
        <m:r>
          <m:rPr>
            <m:sty m:val="p"/>
          </m:rPr>
          <m:t>+</m:t>
        </m:r>
        <m:r>
          <m:t>4.41</m:t>
        </m:r>
        <m:r>
          <m:rPr>
            <m:sty m:val="p"/>
          </m:rPr>
          <m:t>%</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w:t>
      </w:r>
      <m:oMath>
        <m:r>
          <m:t>p</m:t>
        </m:r>
        <m:r>
          <m:rPr>
            <m:sty m:val="p"/>
          </m:rPr>
          <m:t>=</m:t>
        </m:r>
        <m:r>
          <m:t>0.030</m:t>
        </m:r>
      </m:oMath>
      <w:r>
        <w:rPr>
          <w:rFonts w:ascii="Times New Roman" w:hAnsi="Times New Roman" w:eastAsia="Times New Roman"/>
          <w:sz w:val="20"/>
        </w:rPr>
        <w:t xml:space="preserve">),</w:t>
      </w:r>
      <w:r>
        <w:rPr>
          <w:rFonts w:ascii="Times New Roman" w:hAnsi="Times New Roman" w:eastAsia="Times New Roman"/>
          <w:sz w:val="20"/>
        </w:rPr>
        <w:t xml:space="preserve"> </w:t>
      </w:r>
      <m:oMath>
        <m:r>
          <m:rPr>
            <m:sty m:val="p"/>
          </m:rPr>
          <m:t>+</m:t>
        </m:r>
        <m:r>
          <m:t>4.35</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versus ResU-Net (</w:t>
      </w:r>
      <m:oMath>
        <m:r>
          <m:t>p</m:t>
        </m:r>
        <m:r>
          <m:rPr>
            <m:sty m:val="p"/>
          </m:rPr>
          <m:t>=</m:t>
        </m:r>
        <m:r>
          <m:t>0.010</m:t>
        </m:r>
      </m:oMath>
      <w:r>
        <w:rPr>
          <w:rFonts w:ascii="Times New Roman" w:hAnsi="Times New Roman" w:eastAsia="Times New Roman"/>
          <w:sz w:val="20"/>
        </w:rPr>
        <w:t xml:space="preserve">), and</w:t>
      </w:r>
      <w:r>
        <w:rPr>
          <w:rFonts w:ascii="Times New Roman" w:hAnsi="Times New Roman" w:eastAsia="Times New Roman"/>
          <w:sz w:val="20"/>
        </w:rPr>
        <w:t xml:space="preserve"> </w:t>
      </w:r>
      <m:oMath>
        <m:r>
          <m:rPr>
            <m:sty m:val="p"/>
          </m:rPr>
          <m:t>+</m:t>
        </m:r>
        <m:r>
          <m:t>6.39</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versus SiamUNet-diff (</w:t>
      </w:r>
      <m:oMath>
        <m:r>
          <m:t>p</m:t>
        </m:r>
        <m:r>
          <m:rPr>
            <m:sty m:val="p"/>
          </m:rPr>
          <m:t>&lt;</m:t>
        </m:r>
        <m:r>
          <m:t>0.001</m:t>
        </m:r>
      </m:oMath>
      <w:r>
        <w:rPr>
          <w:rFonts w:ascii="Times New Roman" w:hAnsi="Times New Roman" w:eastAsia="Times New Roman"/>
          <w:sz w:val="20"/>
        </w:rPr>
        <w:t xml:space="preserve">). Under spatial block resampling across all 339 spatial blocks conditional on Seed 42 (Part B), the micro-F1 differences are Attention U-Net</w:t>
      </w:r>
      <w:r>
        <w:rPr>
          <w:rFonts w:ascii="Times New Roman" w:hAnsi="Times New Roman" w:eastAsia="Times New Roman"/>
          <w:sz w:val="20"/>
        </w:rPr>
        <w:t xml:space="preserve"> </w:t>
      </w:r>
      <m:oMath>
        <m:r>
          <m:rPr>
            <m:sty m:val="p"/>
          </m:rPr>
          <m:t>+</m:t>
        </m:r>
        <m:r>
          <m:t>3.27</m:t>
        </m:r>
        <m:r>
          <m:rPr>
            <m:sty m:val="p"/>
          </m:rPr>
          <m:t>%</m:t>
        </m:r>
      </m:oMath>
      <w:r>
        <w:rPr>
          <w:rFonts w:ascii="Times New Roman" w:hAnsi="Times New Roman" w:eastAsia="Times New Roman"/>
          <w:sz w:val="20"/>
        </w:rPr>
        <w:t xml:space="preserve">, ResU-Net</w:t>
      </w:r>
      <w:r>
        <w:rPr>
          <w:rFonts w:ascii="Times New Roman" w:hAnsi="Times New Roman" w:eastAsia="Times New Roman"/>
          <w:sz w:val="20"/>
        </w:rPr>
        <w:t xml:space="preserve"> </w:t>
      </w:r>
      <m:oMath>
        <m:r>
          <m:rPr>
            <m:sty m:val="p"/>
          </m:rPr>
          <m:t>+</m:t>
        </m:r>
        <m:r>
          <m:t>4.30</m:t>
        </m:r>
        <m:r>
          <m:rPr>
            <m:sty m:val="p"/>
          </m:rPr>
          <m:t>%</m:t>
        </m:r>
      </m:oMath>
      <w:r>
        <w:rPr>
          <w:rFonts w:ascii="Times New Roman" w:hAnsi="Times New Roman" w:eastAsia="Times New Roman"/>
          <w:sz w:val="20"/>
        </w:rPr>
        <w:t xml:space="preserve">, SiamUNet-conc</w:t>
      </w:r>
      <w:r>
        <w:rPr>
          <w:rFonts w:ascii="Times New Roman" w:hAnsi="Times New Roman" w:eastAsia="Times New Roman"/>
          <w:sz w:val="20"/>
        </w:rPr>
        <w:t xml:space="preserve"> </w:t>
      </w:r>
      <m:oMath>
        <m:r>
          <m:rPr>
            <m:sty m:val="p"/>
          </m:rPr>
          <m:t>+</m:t>
        </m:r>
        <m:r>
          <m:t>2.47</m:t>
        </m:r>
        <m:r>
          <m:rPr>
            <m:sty m:val="p"/>
          </m:rPr>
          <m:t>%</m:t>
        </m:r>
      </m:oMath>
      <w:r>
        <w:rPr>
          <w:rFonts w:ascii="Times New Roman" w:hAnsi="Times New Roman" w:eastAsia="Times New Roman"/>
          <w:sz w:val="20"/>
        </w:rPr>
        <w:t xml:space="preserve">, and SiamUNet-diff</w:t>
      </w:r>
      <w:r>
        <w:rPr>
          <w:rFonts w:ascii="Times New Roman" w:hAnsi="Times New Roman" w:eastAsia="Times New Roman"/>
          <w:sz w:val="20"/>
        </w:rPr>
        <w:t xml:space="preserve"> </w:t>
      </w:r>
      <m:oMath>
        <m:r>
          <m:rPr>
            <m:sty m:val="p"/>
          </m:rPr>
          <m:t>+</m:t>
        </m:r>
        <m:r>
          <m:t>12.77</m:t>
        </m:r>
        <m:r>
          <m:rPr>
            <m:sty m:val="p"/>
          </m:rPr>
          <m:t>%</m:t>
        </m:r>
      </m:oMath>
      <w:r>
        <w:rPr>
          <w:rFonts w:ascii="Times New Roman" w:hAnsi="Times New Roman" w:eastAsia="Times New Roman"/>
          <w:sz w:val="20"/>
        </w:rPr>
        <w:t xml:space="preserve">.</w:t>
      </w:r>
    </w:p>
    <w:p>
      <w:pPr>
        <w:pStyle w:val="BodyText"/>
        <w:spacing w:after="0" w:line="240" w:lineRule="auto"/>
      </w:pPr>
      <w:r>
        <w:rPr>
          <w:rFonts w:ascii="Times New Roman" w:hAnsi="Times New Roman" w:eastAsia="Times New Roman"/>
          <w:sz w:val="20"/>
        </w:rPr>
        <w:t xml:space="preserve">Repeating the pooled 339-block comparison with an independently seeded bootstrap for every training seed gives</w:t>
      </w:r>
      <w:r>
        <w:rPr>
          <w:rFonts w:ascii="Times New Roman" w:hAnsi="Times New Roman" w:eastAsia="Times New Roman"/>
          <w:sz w:val="20"/>
        </w:rPr>
        <w:t xml:space="preserve"> </w:t>
      </w:r>
      <m:oMath>
        <m:r>
          <m:rPr>
            <m:sty m:val="p"/>
          </m:rPr>
          <m:t>+</m:t>
        </m:r>
        <m:r>
          <m:t>3.26</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(95% CI</w:t>
      </w:r>
      <w:r>
        <w:rPr>
          <w:rFonts w:ascii="Times New Roman" w:hAnsi="Times New Roman" w:eastAsia="Times New Roman"/>
          <w:sz w:val="20"/>
        </w:rPr>
        <w:t xml:space="preserve"> </w:t>
      </w:r>
      <m:oMath>
        <m:r>
          <m:rPr>
            <m:sty m:val="p"/>
          </m:rPr>
          <m:t>[</m:t>
        </m:r>
        <m:r>
          <m:rPr>
            <m:sty m:val="p"/>
          </m:rPr>
          <m:t>+</m:t>
        </m:r>
        <m:r>
          <m:t>1.32</m:t>
        </m:r>
        <m:r>
          <m:rPr>
            <m:sty m:val="p"/>
          </m:rPr>
          <m:t>,</m:t>
        </m:r>
        <m:r>
          <m:rPr>
            <m:sty m:val="p"/>
          </m:rPr>
          <m:t>+</m:t>
        </m:r>
        <m:r>
          <m:t>5.33</m:t>
        </m:r>
        <m:r>
          <m:rPr>
            <m:sty m:val="p"/>
          </m:rPr>
          <m:t>]</m:t>
        </m:r>
      </m:oMath>
      <w:r>
        <w:rPr>
          <w:rFonts w:ascii="Times New Roman" w:hAnsi="Times New Roman" w:eastAsia="Times New Roman"/>
          <w:sz w:val="20"/>
        </w:rPr>
        <w:t xml:space="preserve">,</w:t>
      </w:r>
      <w:r>
        <w:rPr>
          <w:rFonts w:ascii="Times New Roman" w:hAnsi="Times New Roman" w:eastAsia="Times New Roman"/>
          <w:sz w:val="20"/>
        </w:rPr>
        <w:t xml:space="preserve"> </w:t>
      </w:r>
      <m:oMath>
        <m:r>
          <m:t>p</m:t>
        </m:r>
        <m:r>
          <m:rPr>
            <m:sty m:val="p"/>
          </m:rPr>
          <m:t>=</m:t>
        </m:r>
        <m:r>
          <m:t>0.002</m:t>
        </m:r>
      </m:oMath>
      <w:r>
        <w:rPr>
          <w:rFonts w:ascii="Times New Roman" w:hAnsi="Times New Roman" w:eastAsia="Times New Roman"/>
          <w:sz w:val="20"/>
        </w:rPr>
        <w:t xml:space="preserve">),</w:t>
      </w:r>
      <w:r>
        <w:rPr>
          <w:rFonts w:ascii="Times New Roman" w:hAnsi="Times New Roman" w:eastAsia="Times New Roman"/>
          <w:sz w:val="20"/>
        </w:rPr>
        <w:t xml:space="preserve"> </w:t>
      </w:r>
      <m:oMath>
        <m:r>
          <m:rPr>
            <m:sty m:val="p"/>
          </m:rPr>
          <m:t>−</m:t>
        </m:r>
        <m:r>
          <m:t>2.99</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w:t>
      </w:r>
      <m:oMath>
        <m:r>
          <m:rPr>
            <m:sty m:val="p"/>
          </m:rPr>
          <m:t>[</m:t>
        </m:r>
        <m:r>
          <m:rPr>
            <m:sty m:val="p"/>
          </m:rPr>
          <m:t>−</m:t>
        </m:r>
        <m:r>
          <m:t>6.67</m:t>
        </m:r>
        <m:r>
          <m:rPr>
            <m:sty m:val="p"/>
          </m:rPr>
          <m:t>,</m:t>
        </m:r>
        <m:r>
          <m:rPr>
            <m:sty m:val="p"/>
          </m:rPr>
          <m:t>+</m:t>
        </m:r>
        <m:r>
          <m:t>0.08</m:t>
        </m:r>
        <m:r>
          <m:rPr>
            <m:sty m:val="p"/>
          </m:rPr>
          <m:t>]</m:t>
        </m:r>
      </m:oMath>
      <w:r>
        <w:rPr>
          <w:rFonts w:ascii="Times New Roman" w:hAnsi="Times New Roman" w:eastAsia="Times New Roman"/>
          <w:sz w:val="20"/>
        </w:rPr>
        <w:t xml:space="preserve">,</w:t>
      </w:r>
      <w:r>
        <w:rPr>
          <w:rFonts w:ascii="Times New Roman" w:hAnsi="Times New Roman" w:eastAsia="Times New Roman"/>
          <w:sz w:val="20"/>
        </w:rPr>
        <w:t xml:space="preserve"> </w:t>
      </w:r>
      <m:oMath>
        <m:r>
          <m:t>p</m:t>
        </m:r>
        <m:r>
          <m:rPr>
            <m:sty m:val="p"/>
          </m:rPr>
          <m:t>=</m:t>
        </m:r>
        <m:r>
          <m:t>0.060</m:t>
        </m:r>
      </m:oMath>
      <w:r>
        <w:rPr>
          <w:rFonts w:ascii="Times New Roman" w:hAnsi="Times New Roman" w:eastAsia="Times New Roman"/>
          <w:sz w:val="20"/>
        </w:rPr>
        <w:t xml:space="preserve">), and</w:t>
      </w:r>
      <w:r>
        <w:rPr>
          <w:rFonts w:ascii="Times New Roman" w:hAnsi="Times New Roman" w:eastAsia="Times New Roman"/>
          <w:sz w:val="20"/>
        </w:rPr>
        <w:t xml:space="preserve"> </w:t>
      </w:r>
      <m:oMath>
        <m:r>
          <m:rPr>
            <m:sty m:val="p"/>
          </m:rPr>
          <m:t>+</m:t>
        </m:r>
        <m:r>
          <m:t>4.16</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w:t>
      </w:r>
      <m:oMath>
        <m:r>
          <m:rPr>
            <m:sty m:val="p"/>
          </m:rPr>
          <m:t>[</m:t>
        </m:r>
        <m:r>
          <m:rPr>
            <m:sty m:val="p"/>
          </m:rPr>
          <m:t>+</m:t>
        </m:r>
        <m:r>
          <m:t>1.00</m:t>
        </m:r>
        <m:r>
          <m:rPr>
            <m:sty m:val="p"/>
          </m:rPr>
          <m:t>,</m:t>
        </m:r>
        <m:r>
          <m:rPr>
            <m:sty m:val="p"/>
          </m:rPr>
          <m:t>+</m:t>
        </m:r>
        <m:r>
          <m:t>7.27</m:t>
        </m:r>
        <m:r>
          <m:rPr>
            <m:sty m:val="p"/>
          </m:rPr>
          <m:t>]</m:t>
        </m:r>
      </m:oMath>
      <w:r>
        <w:rPr>
          <w:rFonts w:ascii="Times New Roman" w:hAnsi="Times New Roman" w:eastAsia="Times New Roman"/>
          <w:sz w:val="20"/>
        </w:rPr>
        <w:t xml:space="preserve">,</w:t>
      </w:r>
      <w:r>
        <w:rPr>
          <w:rFonts w:ascii="Times New Roman" w:hAnsi="Times New Roman" w:eastAsia="Times New Roman"/>
          <w:sz w:val="20"/>
        </w:rPr>
        <w:t xml:space="preserve"> </w:t>
      </w:r>
      <m:oMath>
        <m:r>
          <m:t>p</m:t>
        </m:r>
        <m:r>
          <m:rPr>
            <m:sty m:val="p"/>
          </m:rPr>
          <m:t>=</m:t>
        </m:r>
        <m:r>
          <m:t>0.016</m:t>
        </m:r>
      </m:oMath>
      <w:r>
        <w:rPr>
          <w:rFonts w:ascii="Times New Roman" w:hAnsi="Times New Roman" w:eastAsia="Times New Roman"/>
          <w:sz w:val="20"/>
        </w:rPr>
        <w:t xml:space="preserve">) for Seeds 42, 123, and 456, respectively. The Seed-42 value differs from Part B’s</w:t>
      </w:r>
      <w:r>
        <w:rPr>
          <w:rFonts w:ascii="Times New Roman" w:hAnsi="Times New Roman" w:eastAsia="Times New Roman"/>
          <w:sz w:val="20"/>
        </w:rPr>
        <w:t xml:space="preserve"> </w:t>
      </w:r>
      <m:oMath>
        <m:r>
          <m:rPr>
            <m:sty m:val="p"/>
          </m:rPr>
          <m:t>+</m:t>
        </m:r>
        <m:r>
          <m:t>3.27</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only because the primary and seed-repeated analyses use independent deterministic bootstrap streams over the same 339 blocks. The descriptive across-seed mean is</w:t>
      </w:r>
      <w:r>
        <w:rPr>
          <w:rFonts w:ascii="Times New Roman" w:hAnsi="Times New Roman" w:eastAsia="Times New Roman"/>
          <w:sz w:val="20"/>
        </w:rPr>
        <w:t xml:space="preserve"> </w:t>
      </w:r>
      <m:oMath>
        <m:r>
          <m:rPr>
            <m:sty m:val="p"/>
          </m:rPr>
          <m:t>+</m:t>
        </m:r>
        <m:r>
          <m:t>1.48</m:t>
        </m:r>
        <m:r>
          <m:rPr>
            <m:sty m:val="p"/>
          </m:rPr>
          <m:t>%</m:t>
        </m:r>
        <m:r>
          <m:rPr>
            <m:sty m:val="p"/>
          </m:rPr>
          <m:t>±</m:t>
        </m:r>
        <m:r>
          <m:t>3.18</m:t>
        </m:r>
        <m:r>
          <m:rPr>
            <m:sty m:val="p"/>
          </m:rPr>
          <m:t>%</m:t>
        </m:r>
      </m:oMath>
      <w:r>
        <w:rPr>
          <w:rFonts w:ascii="Times New Roman" w:hAnsi="Times New Roman" w:eastAsia="Times New Roman"/>
          <w:sz w:val="20"/>
        </w:rPr>
        <w:t xml:space="preserve">, positive in two of three seeds. Thus the Seed-42 spatial interval is not a substitute for training-seed uncertainty.</w:t>
      </w:r>
    </w:p>
    <w:p>
      <w:pPr>
        <w:pStyle w:val="BodyText"/>
        <w:spacing w:after="0" w:line="240" w:lineRule="auto"/>
      </w:pPr>
      <w:r>
        <w:rPr>
          <w:rFonts w:ascii="Times New Roman" w:hAnsi="Times New Roman" w:eastAsia="Times New Roman"/>
          <w:sz w:val="20"/>
        </w:rPr>
        <w:t xml:space="preserve">The paired</w:t>
      </w:r>
      <w:r>
        <w:rPr>
          <w:rFonts w:ascii="Times New Roman" w:hAnsi="Times New Roman" w:eastAsia="Times New Roman"/>
          <w:sz w:val="20"/>
        </w:rPr>
        <w:t xml:space="preserve"> </w:t>
      </w:r>
      <m:oMath>
        <m:r>
          <m:t>t</m:t>
        </m:r>
      </m:oMath>
      <w:r>
        <w:rPr>
          <w:rFonts w:ascii="Times New Roman" w:hAnsi="Times New Roman" w:eastAsia="Times New Roman"/>
          <w:sz w:val="20"/>
        </w:rPr>
        <w:t xml:space="preserve">-test across three seeds over pooled macro-F1 (Part C) likewise finds no significant difference versus Attention U-Net (</w:t>
      </w:r>
      <m:oMath>
        <m:r>
          <m:rPr>
            <m:sty m:val="p"/>
          </m:rPr>
          <m:t>+</m:t>
        </m:r>
        <m:r>
          <m:t>0.38</m:t>
        </m:r>
        <m:r>
          <m:rPr>
            <m:sty m:val="p"/>
          </m:rPr>
          <m:t>%</m:t>
        </m:r>
      </m:oMath>
      <w:r>
        <w:rPr>
          <w:rFonts w:ascii="Times New Roman" w:hAnsi="Times New Roman" w:eastAsia="Times New Roman"/>
          <w:sz w:val="20"/>
        </w:rPr>
        <w:t xml:space="preserve">,</w:t>
      </w:r>
      <w:r>
        <w:rPr>
          <w:rFonts w:ascii="Times New Roman" w:hAnsi="Times New Roman" w:eastAsia="Times New Roman"/>
          <w:sz w:val="20"/>
        </w:rPr>
        <w:t xml:space="preserve"> </w:t>
      </w:r>
      <m:oMath>
        <m:r>
          <m:t>p</m:t>
        </m:r>
        <m:r>
          <m:rPr>
            <m:sty m:val="p"/>
          </m:rPr>
          <m:t>=</m:t>
        </m:r>
        <m:r>
          <m:t>0.869</m:t>
        </m:r>
      </m:oMath>
      <w:r>
        <w:rPr>
          <w:rFonts w:ascii="Times New Roman" w:hAnsi="Times New Roman" w:eastAsia="Times New Roman"/>
          <w:sz w:val="20"/>
        </w:rPr>
        <w:t xml:space="preserve">), ResU-Net (</w:t>
      </w:r>
      <m:oMath>
        <m:r>
          <m:rPr>
            <m:sty m:val="p"/>
          </m:rPr>
          <m:t>+</m:t>
        </m:r>
        <m:r>
          <m:t>0.86</m:t>
        </m:r>
        <m:r>
          <m:rPr>
            <m:sty m:val="p"/>
          </m:rPr>
          <m:t>%</m:t>
        </m:r>
      </m:oMath>
      <w:r>
        <w:rPr>
          <w:rFonts w:ascii="Times New Roman" w:hAnsi="Times New Roman" w:eastAsia="Times New Roman"/>
          <w:sz w:val="20"/>
        </w:rPr>
        <w:t xml:space="preserve">,</w:t>
      </w:r>
      <w:r>
        <w:rPr>
          <w:rFonts w:ascii="Times New Roman" w:hAnsi="Times New Roman" w:eastAsia="Times New Roman"/>
          <w:sz w:val="20"/>
        </w:rPr>
        <w:t xml:space="preserve"> </w:t>
      </w:r>
      <m:oMath>
        <m:r>
          <m:t>p</m:t>
        </m:r>
        <m:r>
          <m:rPr>
            <m:sty m:val="p"/>
          </m:rPr>
          <m:t>=</m:t>
        </m:r>
        <m:r>
          <m:t>0.459</m:t>
        </m:r>
      </m:oMath>
      <w:r>
        <w:rPr>
          <w:rFonts w:ascii="Times New Roman" w:hAnsi="Times New Roman" w:eastAsia="Times New Roman"/>
          <w:sz w:val="20"/>
        </w:rPr>
        <w:t xml:space="preserve">), or SiamUNet-conc (</w:t>
      </w:r>
      <m:oMath>
        <m:r>
          <m:rPr>
            <m:sty m:val="p"/>
          </m:rPr>
          <m:t>+</m:t>
        </m:r>
        <m:r>
          <m:t>0.65</m:t>
        </m:r>
        <m:r>
          <m:rPr>
            <m:sty m:val="p"/>
          </m:rPr>
          <m:t>%</m:t>
        </m:r>
      </m:oMath>
      <w:r>
        <w:rPr>
          <w:rFonts w:ascii="Times New Roman" w:hAnsi="Times New Roman" w:eastAsia="Times New Roman"/>
          <w:sz w:val="20"/>
        </w:rPr>
        <w:t xml:space="preserve">,</w:t>
      </w:r>
      <w:r>
        <w:rPr>
          <w:rFonts w:ascii="Times New Roman" w:hAnsi="Times New Roman" w:eastAsia="Times New Roman"/>
          <w:sz w:val="20"/>
        </w:rPr>
        <w:t xml:space="preserve"> </w:t>
      </w:r>
      <m:oMath>
        <m:r>
          <m:t>p</m:t>
        </m:r>
        <m:r>
          <m:rPr>
            <m:sty m:val="p"/>
          </m:rPr>
          <m:t>=</m:t>
        </m:r>
        <m:r>
          <m:t>0.651</m:t>
        </m:r>
      </m:oMath>
      <w:r>
        <w:rPr>
          <w:rFonts w:ascii="Times New Roman" w:hAnsi="Times New Roman" w:eastAsia="Times New Roman"/>
          <w:sz w:val="20"/>
        </w:rPr>
        <w:t xml:space="preserve">); only SiamUNet-diff differs significantly (</w:t>
      </w:r>
      <m:oMath>
        <m:r>
          <m:rPr>
            <m:sty m:val="p"/>
          </m:rPr>
          <m:t>+</m:t>
        </m:r>
        <m:r>
          <m:t>8.92</m:t>
        </m:r>
        <m:r>
          <m:rPr>
            <m:sty m:val="p"/>
          </m:rPr>
          <m:t>%</m:t>
        </m:r>
      </m:oMath>
      <w:r>
        <w:rPr>
          <w:rFonts w:ascii="Times New Roman" w:hAnsi="Times New Roman" w:eastAsia="Times New Roman"/>
          <w:sz w:val="20"/>
        </w:rPr>
        <w:t xml:space="preserve">, 95% CI:</w:t>
      </w:r>
      <w:r>
        <w:rPr>
          <w:rFonts w:ascii="Times New Roman" w:hAnsi="Times New Roman" w:eastAsia="Times New Roman"/>
          <w:sz w:val="20"/>
        </w:rPr>
        <w:t xml:space="preserve"> </w:t>
      </w:r>
      <m:oMath>
        <m:r>
          <m:rPr>
            <m:sty m:val="p"/>
          </m:rPr>
          <m:t>[</m:t>
        </m:r>
        <m:r>
          <m:rPr>
            <m:sty m:val="p"/>
          </m:rPr>
          <m:t>+</m:t>
        </m:r>
        <m:r>
          <m:t>3.25</m:t>
        </m:r>
        <m:r>
          <m:rPr>
            <m:sty m:val="p"/>
          </m:rPr>
          <m:t>%</m:t>
        </m:r>
        <m:r>
          <m:rPr>
            <m:sty m:val="p"/>
          </m:rPr>
          <m:t>,</m:t>
        </m:r>
        <m:r>
          <m:rPr>
            <m:sty m:val="p"/>
          </m:rPr>
          <m:t>+</m:t>
        </m:r>
        <m:r>
          <m:t>14.59</m:t>
        </m:r>
        <m:r>
          <m:rPr>
            <m:sty m:val="p"/>
          </m:rPr>
          <m:t>%</m:t>
        </m:r>
        <m:r>
          <m:rPr>
            <m:sty m:val="p"/>
          </m:rPr>
          <m:t>]</m:t>
        </m:r>
      </m:oMath>
      <w:r>
        <w:rPr>
          <w:rFonts w:ascii="Times New Roman" w:hAnsi="Times New Roman" w:eastAsia="Times New Roman"/>
          <w:sz w:val="20"/>
        </w:rPr>
        <w:t xml:space="preserve">,</w:t>
      </w:r>
      <w:r>
        <w:rPr>
          <w:rFonts w:ascii="Times New Roman" w:hAnsi="Times New Roman" w:eastAsia="Times New Roman"/>
          <w:sz w:val="20"/>
        </w:rPr>
        <w:t xml:space="preserve"> </w:t>
      </w:r>
      <m:oMath>
        <m:r>
          <m:t>p</m:t>
        </m:r>
        <m:r>
          <m:rPr>
            <m:sty m:val="p"/>
          </m:rPr>
          <m:t>=</m:t>
        </m:r>
        <m:r>
          <m:t>0.021</m:t>
        </m:r>
      </m:oMath>
      <w:r>
        <w:rPr>
          <w:rFonts w:ascii="Times New Roman" w:hAnsi="Times New Roman" w:eastAsia="Times New Roman"/>
          <w:sz w:val="20"/>
        </w:rPr>
        <w:t xml:space="preserve">). Attention U-Net leads on Seed 123 (</w:t>
      </w:r>
      <m:oMath>
        <m:r>
          <m:t>64.78</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vs</w:t>
      </w:r>
      <w:r>
        <w:rPr>
          <w:rFonts w:ascii="Times New Roman" w:hAnsi="Times New Roman" w:eastAsia="Times New Roman"/>
          <w:sz w:val="20"/>
        </w:rPr>
        <w:t xml:space="preserve"> </w:t>
      </w:r>
      <m:oMath>
        <m:r>
          <m:t>61.14</m:t>
        </m:r>
        <m:r>
          <m:rPr>
            <m:sty m:val="p"/>
          </m:rPr>
          <m:t>%</m:t>
        </m:r>
      </m:oMath>
      <w:r>
        <w:rPr>
          <w:rFonts w:ascii="Times New Roman" w:hAnsi="Times New Roman" w:eastAsia="Times New Roman"/>
          <w:sz w:val="20"/>
        </w:rPr>
        <w:t xml:space="preserve">), showing that initialization changes the competitive ordering. Part-A component comparisons quantify Seed-42 sensitivity to No-LIA (</w:t>
      </w:r>
      <m:oMath>
        <m:r>
          <m:rPr>
            <m:sty m:val="p"/>
          </m:rPr>
          <m:t>+</m:t>
        </m:r>
        <m:r>
          <m:t>2.04</m:t>
        </m:r>
        <m:r>
          <m:rPr>
            <m:sty m:val="p"/>
          </m:rPr>
          <m:t>%</m:t>
        </m:r>
      </m:oMath>
      <w:r>
        <w:rPr>
          <w:rFonts w:ascii="Times New Roman" w:hAnsi="Times New Roman" w:eastAsia="Times New Roman"/>
          <w:sz w:val="20"/>
        </w:rPr>
        <w:t xml:space="preserve">,</w:t>
      </w:r>
      <w:r>
        <w:rPr>
          <w:rFonts w:ascii="Times New Roman" w:hAnsi="Times New Roman" w:eastAsia="Times New Roman"/>
          <w:sz w:val="20"/>
        </w:rPr>
        <w:t xml:space="preserve"> </w:t>
      </w:r>
      <m:oMath>
        <m:r>
          <m:t>p</m:t>
        </m:r>
        <m:r>
          <m:rPr>
            <m:sty m:val="p"/>
          </m:rPr>
          <m:t>&lt;</m:t>
        </m:r>
        <m:r>
          <m:t>0.001</m:t>
        </m:r>
      </m:oMath>
      <w:r>
        <w:rPr>
          <w:rFonts w:ascii="Times New Roman" w:hAnsi="Times New Roman" w:eastAsia="Times New Roman"/>
          <w:sz w:val="20"/>
        </w:rPr>
        <w:t xml:space="preserve">), No-CrossAttn (</w:t>
      </w:r>
      <m:oMath>
        <m:r>
          <m:rPr>
            <m:sty m:val="p"/>
          </m:rPr>
          <m:t>+</m:t>
        </m:r>
        <m:r>
          <m:t>1.42</m:t>
        </m:r>
        <m:r>
          <m:rPr>
            <m:sty m:val="p"/>
          </m:rPr>
          <m:t>%</m:t>
        </m:r>
      </m:oMath>
      <w:r>
        <w:rPr>
          <w:rFonts w:ascii="Times New Roman" w:hAnsi="Times New Roman" w:eastAsia="Times New Roman"/>
          <w:sz w:val="20"/>
        </w:rPr>
        <w:t xml:space="preserve">,</w:t>
      </w:r>
      <w:r>
        <w:rPr>
          <w:rFonts w:ascii="Times New Roman" w:hAnsi="Times New Roman" w:eastAsia="Times New Roman"/>
          <w:sz w:val="20"/>
        </w:rPr>
        <w:t xml:space="preserve"> </w:t>
      </w:r>
      <m:oMath>
        <m:r>
          <m:t>p</m:t>
        </m:r>
        <m:r>
          <m:rPr>
            <m:sty m:val="p"/>
          </m:rPr>
          <m:t>=</m:t>
        </m:r>
        <m:r>
          <m:t>0.010</m:t>
        </m:r>
      </m:oMath>
      <w:r>
        <w:rPr>
          <w:rFonts w:ascii="Times New Roman" w:hAnsi="Times New Roman" w:eastAsia="Times New Roman"/>
          <w:sz w:val="20"/>
        </w:rPr>
        <w:t xml:space="preserve">), and No-GeoLoss (</w:t>
      </w:r>
      <m:oMath>
        <m:r>
          <m:rPr>
            <m:sty m:val="p"/>
          </m:rPr>
          <m:t>+</m:t>
        </m:r>
        <m:r>
          <m:t>3.16</m:t>
        </m:r>
        <m:r>
          <m:rPr>
            <m:sty m:val="p"/>
          </m:rPr>
          <m:t>%</m:t>
        </m:r>
      </m:oMath>
      <w:r>
        <w:rPr>
          <w:rFonts w:ascii="Times New Roman" w:hAnsi="Times New Roman" w:eastAsia="Times New Roman"/>
          <w:sz w:val="20"/>
        </w:rPr>
        <w:t xml:space="preserve">,</w:t>
      </w:r>
      <w:r>
        <w:rPr>
          <w:rFonts w:ascii="Times New Roman" w:hAnsi="Times New Roman" w:eastAsia="Times New Roman"/>
          <w:sz w:val="20"/>
        </w:rPr>
        <w:t xml:space="preserve"> </w:t>
      </w:r>
      <m:oMath>
        <m:r>
          <m:t>p</m:t>
        </m:r>
        <m:r>
          <m:rPr>
            <m:sty m:val="p"/>
          </m:rPr>
          <m:t>=</m:t>
        </m:r>
        <m:r>
          <m:t>0.002</m:t>
        </m:r>
      </m:oMath>
      <w:r>
        <w:rPr>
          <w:rFonts w:ascii="Times New Roman" w:hAnsi="Times New Roman" w:eastAsia="Times New Roman"/>
          <w:sz w:val="20"/>
        </w:rPr>
        <w:t xml:space="preserve">), without isolating causal mechanisms.</w:t>
      </w:r>
    </w:p>
    <w:bookmarkEnd w:id="30"/>
    <w:bookmarkStart w:id="34" w:name="Xdb81486552a15f25795cdb88a2699469319a5b9"/>
    <w:p>
      <w:pPr>
        <w:pStyle w:val="Heading2"/>
        <w:spacing w:after="0" w:line="240" w:lineRule="auto"/>
      </w:pPr>
      <w:r>
        <w:rPr>
          <w:rFonts w:ascii="Times New Roman" w:hAnsi="Times New Roman" w:eastAsia="Times New Roman"/>
          <w:sz w:val="20"/>
        </w:rPr>
        <w:t xml:space="preserve">Instance-Level Detection Completeness across EAWS Avalanche Sizes</w:t>
      </w:r>
    </w:p>
    <w:p>
      <w:pPr>
        <w:pStyle w:val="FirstParagraph"/>
        <w:spacing w:after="0" w:line="240" w:lineRule="auto"/>
      </w:pPr>
      <w:r>
        <w:rPr>
          <w:rFonts w:ascii="Times New Roman" w:hAnsi="Times New Roman" w:eastAsia="Times New Roman"/>
          <w:sz w:val="20"/>
        </w:rPr>
        <w:t xml:space="preserve">For alpine risk assessment and emergency management, detecting individual avalanche release and runout polygons is critical</w:t>
      </w:r>
      <w:r>
        <w:rPr>
          <w:rFonts w:ascii="Times New Roman" w:hAnsi="Times New Roman" w:eastAsia="Times New Roman"/>
          <w:sz w:val="20"/>
        </w:rPr>
        <w:t xml:space="preserve"> </w:t>
      </w:r>
      <w:r>
        <w:rPr>
          <w:rFonts w:ascii="Times New Roman" w:hAnsi="Times New Roman" w:eastAsia="Times New Roman"/>
          <w:sz w:val="20"/>
        </w:rPr>
        <w:t xml:space="preserve">(European Avalanche Warning Services 2022; Techel et al. 2018)</w:t>
      </w:r>
      <w:r>
        <w:rPr>
          <w:rFonts w:ascii="Times New Roman" w:hAnsi="Times New Roman" w:eastAsia="Times New Roman"/>
          <w:sz w:val="20"/>
        </w:rPr>
        <w:t xml:space="preserve">. Table 4 evaluates instance-level detection completeness on the Troms</w:t>
      </w:r>
      <w:r>
        <w:rPr>
          <w:rFonts w:ascii="Times New Roman" w:hAnsi="Times New Roman" w:eastAsia="Times New Roman"/>
          <w:sz w:val="20"/>
        </w:rPr>
        <w:t xml:space="preserve">ø</w:t>
      </w:r>
      <w:r>
        <w:rPr>
          <w:rFonts w:ascii="Times New Roman" w:hAnsi="Times New Roman" w:eastAsia="Times New Roman"/>
          <w:sz w:val="20"/>
        </w:rPr>
        <w:t xml:space="preserve"> </w:t>
      </w:r>
      <w:r>
        <w:rPr>
          <w:rFonts w:ascii="Times New Roman" w:hAnsi="Times New Roman" w:eastAsia="Times New Roman"/>
          <w:sz w:val="20"/>
        </w:rPr>
        <w:t xml:space="preserve">inventory (117 polygons), categorized by European Avalanche Warning Services (EAWS) destructive size classes: Class D1 (Small,</w:t>
      </w:r>
      <w:r>
        <w:rPr>
          <w:rFonts w:ascii="Times New Roman" w:hAnsi="Times New Roman" w:eastAsia="Times New Roman"/>
          <w:sz w:val="20"/>
        </w:rPr>
        <w:t xml:space="preserve"> </w:t>
      </w:r>
      <m:oMath>
        <m:r>
          <m:t>n</m:t>
        </m:r>
        <m:r>
          <m:rPr>
            <m:sty m:val="p"/>
          </m:rPr>
          <m:t>=</m:t>
        </m:r>
        <m:r>
          <m:t>5</m:t>
        </m:r>
      </m:oMath>
      <w:r>
        <w:rPr>
          <w:rFonts w:ascii="Times New Roman" w:hAnsi="Times New Roman" w:eastAsia="Times New Roman"/>
          <w:sz w:val="20"/>
        </w:rPr>
        <w:t xml:space="preserve">), Class D2 (Medium,</w:t>
      </w:r>
      <w:r>
        <w:rPr>
          <w:rFonts w:ascii="Times New Roman" w:hAnsi="Times New Roman" w:eastAsia="Times New Roman"/>
          <w:sz w:val="20"/>
        </w:rPr>
        <w:t xml:space="preserve"> </w:t>
      </w:r>
      <m:oMath>
        <m:r>
          <m:t>n</m:t>
        </m:r>
        <m:r>
          <m:rPr>
            <m:sty m:val="p"/>
          </m:rPr>
          <m:t>=</m:t>
        </m:r>
        <m:r>
          <m:t>25</m:t>
        </m:r>
      </m:oMath>
      <w:r>
        <w:rPr>
          <w:rFonts w:ascii="Times New Roman" w:hAnsi="Times New Roman" w:eastAsia="Times New Roman"/>
          <w:sz w:val="20"/>
        </w:rPr>
        <w:t xml:space="preserve">), Class D3 (Large,</w:t>
      </w:r>
      <w:r>
        <w:rPr>
          <w:rFonts w:ascii="Times New Roman" w:hAnsi="Times New Roman" w:eastAsia="Times New Roman"/>
          <w:sz w:val="20"/>
        </w:rPr>
        <w:t xml:space="preserve"> </w:t>
      </w:r>
      <m:oMath>
        <m:r>
          <m:t>n</m:t>
        </m:r>
        <m:r>
          <m:rPr>
            <m:sty m:val="p"/>
          </m:rPr>
          <m:t>=</m:t>
        </m:r>
        <m:r>
          <m:t>71</m:t>
        </m:r>
      </m:oMath>
      <w:r>
        <w:rPr>
          <w:rFonts w:ascii="Times New Roman" w:hAnsi="Times New Roman" w:eastAsia="Times New Roman"/>
          <w:sz w:val="20"/>
        </w:rPr>
        <w:t xml:space="preserve">), and Class D4 (Very Large,</w:t>
      </w:r>
      <w:r>
        <w:rPr>
          <w:rFonts w:ascii="Times New Roman" w:hAnsi="Times New Roman" w:eastAsia="Times New Roman"/>
          <w:sz w:val="20"/>
        </w:rPr>
        <w:t xml:space="preserve"> </w:t>
      </w:r>
      <m:oMath>
        <m:r>
          <m:t>n</m:t>
        </m:r>
        <m:r>
          <m:rPr>
            <m:sty m:val="p"/>
          </m:rPr>
          <m:t>=</m:t>
        </m:r>
        <m:r>
          <m:t>16</m:t>
        </m:r>
      </m:oMath>
      <w:r>
        <w:rPr>
          <w:rFonts w:ascii="Times New Roman" w:hAnsi="Times New Roman" w:eastAsia="Times New Roman"/>
          <w:sz w:val="20"/>
        </w:rPr>
        <w:t xml:space="preserve">).</w:t>
      </w:r>
    </w:p>
    <w:p>
      <w:pPr>
        <w:pStyle w:val="BodyText"/>
        <w:spacing w:after="0" w:line="240" w:lineRule="auto"/>
      </w:pPr>
      <w:r>
        <w:rPr>
          <w:rFonts w:ascii="Times New Roman" w:hAnsi="Times New Roman" w:eastAsia="Times New Roman"/>
          <w:b/>
          <w:bCs/>
          <w:sz w:val="20"/>
        </w:rPr>
        <w:t xml:space="preserve">Table 4.</w:t>
      </w:r>
      <w:r>
        <w:rPr>
          <w:rFonts w:ascii="Times New Roman" w:hAnsi="Times New Roman" w:eastAsia="Times New Roman"/>
          <w:sz w:val="20"/>
        </w:rPr>
        <w:t xml:space="preserve"> </w:t>
      </w:r>
      <w:r>
        <w:rPr>
          <w:rFonts w:ascii="Times New Roman" w:hAnsi="Times New Roman" w:eastAsia="Times New Roman"/>
          <w:sz w:val="20"/>
        </w:rPr>
        <w:t xml:space="preserve">Instance-level avalanche detection hit rates across EAWS size classes on the Troms</w:t>
      </w:r>
      <w:r>
        <w:rPr>
          <w:rFonts w:ascii="Times New Roman" w:hAnsi="Times New Roman" w:eastAsia="Times New Roman"/>
          <w:sz w:val="20"/>
        </w:rPr>
        <w:t xml:space="preserve">ø</w:t>
      </w:r>
      <w:r>
        <w:rPr>
          <w:rFonts w:ascii="Times New Roman" w:hAnsi="Times New Roman" w:eastAsia="Times New Roman"/>
          <w:sz w:val="20"/>
        </w:rPr>
        <w:t xml:space="preserve"> </w:t>
      </w:r>
      <w:r>
        <w:rPr>
          <w:rFonts w:ascii="Times New Roman" w:hAnsi="Times New Roman" w:eastAsia="Times New Roman"/>
          <w:sz w:val="20"/>
        </w:rPr>
        <w:t xml:space="preserve">benchmark (n=117 polygons), evaluated at minimum 30% (HR@0.3) and 50% (HR@0.5) polygon area overlap across true 3-seed means.</w:t>
      </w:r>
    </w:p>
    <w:tbl>
      <w:tblPr>
        <w:tblStyle w:val="Table"/>
        <w:tblW w:type="auto" w:w="0"/>
        <w:tblLayout w:type="autofit"/>
        <w:tblLook w:firstRow="0" w:lastRow="0" w:firstColumn="0" w:lastColumn="0" w:noHBand="0" w:noVBand="0" w:val="0000"/>
      </w:tblPr>
      <w:tblGrid>
        <w:gridCol w:w="1131"/>
        <w:gridCol w:w="1131"/>
        <w:gridCol w:w="1131"/>
        <w:gridCol w:w="1131"/>
        <w:gridCol w:w="1131"/>
        <w:gridCol w:w="1131"/>
        <w:gridCol w:w="1131"/>
      </w:tblGrid>
      <w:tr>
        <w:trPr>
          <w:cantSplit w:val="true"/>
          <w:tblHeader w:val="true"/>
        </w:trPr>
        <w:tc>
          <w:tcPr>
            <w:vMerge w:val="restart"/>
            <w:vAlign w:val="center"/>
          </w:tcPr>
          <w:p>
            <w:pPr>
              <w:pStyle w:val="Compact"/>
              <w:spacing w:before="0" w:after="0" w:line="240" w:lineRule="auto"/>
              <w:jc w:val="left"/>
            </w:pPr>
            <w:r>
              <w:rPr>
                <w:rFonts w:ascii="Times New Roman" w:hAnsi="Times New Roman" w:eastAsia="Times New Roman"/>
                <w:b/>
                <w:bCs/>
                <w:sz w:val="17"/>
              </w:rPr>
              <w:t xml:space="preserve">Method</w:t>
            </w:r>
          </w:p>
        </w:tc>
        <w:tc>
          <w:tcPr>
            <w:gridSpan w:val="2"/>
            <w:vAlign w:val="center"/>
          </w:tcPr>
          <w:p>
            <w:pPr>
              <w:pStyle w:val="Compact"/>
              <w:spacing w:before="0" w:after="0" w:line="240" w:lineRule="auto"/>
              <w:jc w:val="center"/>
            </w:pPr>
            <w:r>
              <w:rPr>
                <w:rFonts w:ascii="Times New Roman" w:hAnsi="Times New Roman" w:eastAsia="Times New Roman"/>
                <w:b/>
                <w:bCs/>
                <w:sz w:val="17"/>
              </w:rPr>
              <w:t xml:space="preserve">Overall Hit Rate</w:t>
            </w:r>
          </w:p>
        </w:tc>
        <w:tc>
          <w:tcPr>
            <w:gridSpan w:val="4"/>
            <w:vAlign w:val="center"/>
          </w:tcPr>
          <w:p>
            <w:pPr>
              <w:pStyle w:val="Compact"/>
              <w:spacing w:before="0" w:after="0" w:line="240" w:lineRule="auto"/>
              <w:jc w:val="center"/>
            </w:pPr>
            <w:r>
              <w:rPr>
                <w:rFonts w:ascii="Times New Roman" w:hAnsi="Times New Roman" w:eastAsia="Times New Roman"/>
                <w:b/>
                <w:bCs/>
                <w:sz w:val="17"/>
              </w:rPr>
              <w:t xml:space="preserve">Size-Disaggregated Hit Rate (HR@0.3)</w:t>
            </w:r>
          </w:p>
        </w:tc>
      </w:tr>
      <w:tr>
        <w:trPr>
          <w:cantSplit w:val="true"/>
          <w:tblHeader w:val="true"/>
        </w:trPr>
        <w:tc>
          <w:tcPr>
            <w:gridSpan w:val="1"/>
            <w:vMerge w:val="continue"/>
          </w:tcPr>
          <w:p>
            <w:pPr/>
          </w:p>
        </w:tc>
        <w:tc>
          <w:tcPr>
            <w:vAlign w:val="center"/>
          </w:tcPr>
          <w:p>
            <w:pPr>
              <w:pStyle w:val="Compact"/>
              <w:spacing w:before="0" w:after="0" w:line="240" w:lineRule="auto"/>
              <w:jc w:val="center"/>
            </w:pPr>
            <w:r>
              <w:rPr>
                <w:rFonts w:ascii="Times New Roman" w:hAnsi="Times New Roman" w:eastAsia="Times New Roman"/>
                <w:b/>
                <w:bCs/>
                <w:sz w:val="17"/>
              </w:rPr>
              <w:t xml:space="preserve">HR@0.3 (%)</w:t>
            </w:r>
          </w:p>
        </w:tc>
        <w:tc>
          <w:tcPr>
            <w:vAlign w:val="center"/>
          </w:tcPr>
          <w:p>
            <w:pPr>
              <w:pStyle w:val="Compact"/>
              <w:spacing w:before="0" w:after="0" w:line="240" w:lineRule="auto"/>
              <w:jc w:val="center"/>
            </w:pPr>
            <w:r>
              <w:rPr>
                <w:rFonts w:ascii="Times New Roman" w:hAnsi="Times New Roman" w:eastAsia="Times New Roman"/>
                <w:b/>
                <w:bCs/>
                <w:sz w:val="17"/>
              </w:rPr>
              <w:t xml:space="preserve">HR@0.5 (%)</w:t>
            </w:r>
          </w:p>
        </w:tc>
        <w:tc>
          <w:tcPr>
            <w:vAlign w:val="center"/>
          </w:tcPr>
          <w:p>
            <w:pPr>
              <w:pStyle w:val="Compact"/>
              <w:spacing w:before="0" w:after="0" w:line="240" w:lineRule="auto"/>
              <w:jc w:val="center"/>
            </w:pPr>
            <w:r>
              <w:rPr>
                <w:rFonts w:ascii="Times New Roman" w:hAnsi="Times New Roman" w:eastAsia="Times New Roman"/>
                <w:b/>
                <w:bCs/>
                <w:sz w:val="17"/>
              </w:rPr>
              <w:t xml:space="preserve">D1 (n=5)</w:t>
            </w:r>
          </w:p>
        </w:tc>
        <w:tc>
          <w:tcPr>
            <w:vAlign w:val="center"/>
          </w:tcPr>
          <w:p>
            <w:pPr>
              <w:pStyle w:val="Compact"/>
              <w:spacing w:before="0" w:after="0" w:line="240" w:lineRule="auto"/>
              <w:jc w:val="center"/>
            </w:pPr>
            <w:r>
              <w:rPr>
                <w:rFonts w:ascii="Times New Roman" w:hAnsi="Times New Roman" w:eastAsia="Times New Roman"/>
                <w:b/>
                <w:bCs/>
                <w:sz w:val="17"/>
              </w:rPr>
              <w:t xml:space="preserve">D2 (n=25)</w:t>
            </w:r>
          </w:p>
        </w:tc>
        <w:tc>
          <w:tcPr>
            <w:vAlign w:val="center"/>
          </w:tcPr>
          <w:p>
            <w:pPr>
              <w:pStyle w:val="Compact"/>
              <w:spacing w:before="0" w:after="0" w:line="240" w:lineRule="auto"/>
              <w:jc w:val="center"/>
            </w:pPr>
            <w:r>
              <w:rPr>
                <w:rFonts w:ascii="Times New Roman" w:hAnsi="Times New Roman" w:eastAsia="Times New Roman"/>
                <w:b/>
                <w:bCs/>
                <w:sz w:val="17"/>
              </w:rPr>
              <w:t xml:space="preserve">D3 (n=71)</w:t>
            </w:r>
          </w:p>
        </w:tc>
        <w:tc>
          <w:tcPr>
            <w:vAlign w:val="center"/>
          </w:tcPr>
          <w:p>
            <w:pPr>
              <w:pStyle w:val="Compact"/>
              <w:spacing w:before="0" w:after="0" w:line="240" w:lineRule="auto"/>
              <w:jc w:val="center"/>
            </w:pPr>
            <w:r>
              <w:rPr>
                <w:rFonts w:ascii="Times New Roman" w:hAnsi="Times New Roman" w:eastAsia="Times New Roman"/>
                <w:b/>
                <w:bCs/>
                <w:sz w:val="17"/>
              </w:rPr>
              <w:t xml:space="preserve">D4 (n=16)</w:t>
            </w:r>
          </w:p>
        </w:tc>
      </w:tr>
      <w:tr>
        <w:trPr>
          <w:cantSplit w:val="true"/>
        </w:trPr>
        <w:tc>
          <w:tcPr>
            <w:vAlign w:val="center"/>
          </w:tcPr>
          <w:p>
            <w:pPr>
              <w:pStyle w:val="Compact"/>
              <w:spacing w:before="0" w:after="0" w:line="240" w:lineRule="auto"/>
              <w:jc w:val="left"/>
            </w:pPr>
            <w:r>
              <w:rPr>
                <w:rFonts w:ascii="Times New Roman" w:hAnsi="Times New Roman" w:eastAsia="Times New Roman"/>
                <w:sz w:val="17"/>
              </w:rPr>
              <w:t xml:space="preserve">SiamUNet-diff</w:t>
            </w:r>
          </w:p>
        </w:tc>
        <w:tc>
          <w:tcPr>
            <w:vAlign w:val="center"/>
          </w:tcPr>
          <w:p>
            <w:pPr>
              <w:pStyle w:val="Compact"/>
              <w:spacing w:before="0" w:after="0" w:line="240" w:lineRule="auto"/>
              <w:jc w:val="center"/>
            </w:pPr>
            <w:r>
              <w:rPr>
                <w:rFonts w:ascii="Times New Roman" w:hAnsi="Times New Roman" w:eastAsia="Times New Roman"/>
                <w:sz w:val="17"/>
              </w:rPr>
              <w:t xml:space="preserve">63.25 ± 2.52%</w:t>
            </w:r>
          </w:p>
        </w:tc>
        <w:tc>
          <w:tcPr>
            <w:vAlign w:val="center"/>
          </w:tcPr>
          <w:p>
            <w:pPr>
              <w:pStyle w:val="Compact"/>
              <w:spacing w:before="0" w:after="0" w:line="240" w:lineRule="auto"/>
              <w:jc w:val="center"/>
            </w:pPr>
            <w:r>
              <w:rPr>
                <w:rFonts w:ascii="Times New Roman" w:hAnsi="Times New Roman" w:eastAsia="Times New Roman"/>
                <w:sz w:val="17"/>
              </w:rPr>
              <w:t xml:space="preserve">54.42 ± 2.80%</w:t>
            </w:r>
          </w:p>
        </w:tc>
        <w:tc>
          <w:tcPr>
            <w:vAlign w:val="center"/>
          </w:tcPr>
          <w:p>
            <w:pPr>
              <w:pStyle w:val="Compact"/>
              <w:spacing w:before="0" w:after="0" w:line="240" w:lineRule="auto"/>
              <w:jc w:val="center"/>
            </w:pPr>
            <w:r>
              <w:rPr>
                <w:rFonts w:ascii="Times New Roman" w:hAnsi="Times New Roman" w:eastAsia="Times New Roman"/>
                <w:sz w:val="17"/>
              </w:rPr>
              <w:t xml:space="preserve">6.7%</w:t>
            </w:r>
          </w:p>
        </w:tc>
        <w:tc>
          <w:tcPr>
            <w:vAlign w:val="center"/>
          </w:tcPr>
          <w:p>
            <w:pPr>
              <w:pStyle w:val="Compact"/>
              <w:spacing w:before="0" w:after="0" w:line="240" w:lineRule="auto"/>
              <w:jc w:val="center"/>
            </w:pPr>
            <w:r>
              <w:rPr>
                <w:rFonts w:ascii="Times New Roman" w:hAnsi="Times New Roman" w:eastAsia="Times New Roman"/>
                <w:sz w:val="17"/>
              </w:rPr>
              <w:t xml:space="preserve">33.3%</w:t>
            </w:r>
          </w:p>
        </w:tc>
        <w:tc>
          <w:tcPr>
            <w:vAlign w:val="center"/>
          </w:tcPr>
          <w:p>
            <w:pPr>
              <w:pStyle w:val="Compact"/>
              <w:spacing w:before="0" w:after="0" w:line="240" w:lineRule="auto"/>
              <w:jc w:val="center"/>
            </w:pPr>
            <w:r>
              <w:rPr>
                <w:rFonts w:ascii="Times New Roman" w:hAnsi="Times New Roman" w:eastAsia="Times New Roman"/>
                <w:sz w:val="17"/>
              </w:rPr>
              <w:t xml:space="preserve">71.8%</w:t>
            </w:r>
          </w:p>
        </w:tc>
        <w:tc>
          <w:tcPr>
            <w:vAlign w:val="center"/>
          </w:tcPr>
          <w:p>
            <w:pPr>
              <w:pStyle w:val="Compact"/>
              <w:spacing w:before="0" w:after="0" w:line="240" w:lineRule="auto"/>
              <w:jc w:val="center"/>
            </w:pPr>
            <w:r>
              <w:rPr>
                <w:rFonts w:ascii="Times New Roman" w:hAnsi="Times New Roman" w:eastAsia="Times New Roman"/>
                <w:sz w:val="17"/>
              </w:rPr>
              <w:t xml:space="preserve">89.6%</w:t>
            </w:r>
          </w:p>
        </w:tc>
      </w:tr>
      <w:tr>
        <w:trPr>
          <w:cantSplit w:val="true"/>
        </w:trPr>
        <w:tc>
          <w:tcPr>
            <w:vAlign w:val="center"/>
          </w:tcPr>
          <w:p>
            <w:pPr>
              <w:pStyle w:val="Compact"/>
              <w:spacing w:before="0" w:after="0" w:line="240" w:lineRule="auto"/>
              <w:jc w:val="left"/>
            </w:pPr>
            <w:r>
              <w:rPr>
                <w:rFonts w:ascii="Times New Roman" w:hAnsi="Times New Roman" w:eastAsia="Times New Roman"/>
                <w:sz w:val="17"/>
              </w:rPr>
              <w:t xml:space="preserve">SiamUNet-conc</w:t>
            </w:r>
          </w:p>
        </w:tc>
        <w:tc>
          <w:tcPr>
            <w:vAlign w:val="center"/>
          </w:tcPr>
          <w:p>
            <w:pPr>
              <w:pStyle w:val="Compact"/>
              <w:spacing w:before="0" w:after="0" w:line="240" w:lineRule="auto"/>
              <w:jc w:val="center"/>
            </w:pPr>
            <w:r>
              <w:rPr>
                <w:rFonts w:ascii="Times New Roman" w:hAnsi="Times New Roman" w:eastAsia="Times New Roman"/>
                <w:sz w:val="17"/>
              </w:rPr>
              <w:t xml:space="preserve">82.62 ± 1.07%</w:t>
            </w:r>
          </w:p>
        </w:tc>
        <w:tc>
          <w:tcPr>
            <w:vAlign w:val="center"/>
          </w:tcPr>
          <w:p>
            <w:pPr>
              <w:pStyle w:val="Compact"/>
              <w:spacing w:before="0" w:after="0" w:line="240" w:lineRule="auto"/>
              <w:jc w:val="center"/>
            </w:pPr>
            <w:r>
              <w:rPr>
                <w:rFonts w:ascii="Times New Roman" w:hAnsi="Times New Roman" w:eastAsia="Times New Roman"/>
                <w:sz w:val="17"/>
              </w:rPr>
              <w:t xml:space="preserve">74.07 ± 1.40%</w:t>
            </w:r>
          </w:p>
        </w:tc>
        <w:tc>
          <w:tcPr>
            <w:vAlign w:val="center"/>
          </w:tcPr>
          <w:p>
            <w:pPr>
              <w:pStyle w:val="Compact"/>
              <w:spacing w:before="0" w:after="0" w:line="240" w:lineRule="auto"/>
              <w:jc w:val="center"/>
            </w:pPr>
            <w:r>
              <w:rPr>
                <w:rFonts w:ascii="Times New Roman" w:hAnsi="Times New Roman" w:eastAsia="Times New Roman"/>
                <w:sz w:val="17"/>
              </w:rPr>
              <w:t xml:space="preserve">13.3%</w:t>
            </w:r>
          </w:p>
        </w:tc>
        <w:tc>
          <w:tcPr>
            <w:vAlign w:val="center"/>
          </w:tcPr>
          <w:p>
            <w:pPr>
              <w:pStyle w:val="Compact"/>
              <w:spacing w:before="0" w:after="0" w:line="240" w:lineRule="auto"/>
              <w:jc w:val="center"/>
            </w:pPr>
            <w:r>
              <w:rPr>
                <w:rFonts w:ascii="Times New Roman" w:hAnsi="Times New Roman" w:eastAsia="Times New Roman"/>
                <w:sz w:val="17"/>
              </w:rPr>
              <w:t xml:space="preserve">61.3%</w:t>
            </w:r>
          </w:p>
        </w:tc>
        <w:tc>
          <w:tcPr>
            <w:vAlign w:val="center"/>
          </w:tcPr>
          <w:p>
            <w:pPr>
              <w:pStyle w:val="Compact"/>
              <w:spacing w:before="0" w:after="0" w:line="240" w:lineRule="auto"/>
              <w:jc w:val="center"/>
            </w:pPr>
            <w:r>
              <w:rPr>
                <w:rFonts w:ascii="Times New Roman" w:hAnsi="Times New Roman" w:eastAsia="Times New Roman"/>
                <w:sz w:val="17"/>
              </w:rPr>
              <w:t xml:space="preserve">91.1%</w:t>
            </w:r>
          </w:p>
        </w:tc>
        <w:tc>
          <w:tcPr>
            <w:vAlign w:val="center"/>
          </w:tcPr>
          <w:p>
            <w:pPr>
              <w:pStyle w:val="Compact"/>
              <w:spacing w:before="0" w:after="0" w:line="240" w:lineRule="auto"/>
              <w:jc w:val="center"/>
            </w:pPr>
            <w:r>
              <w:rPr>
                <w:rFonts w:ascii="Times New Roman" w:hAnsi="Times New Roman" w:eastAsia="Times New Roman"/>
                <w:sz w:val="17"/>
              </w:rPr>
              <w:t xml:space="preserve">100.0%</w:t>
            </w:r>
          </w:p>
        </w:tc>
      </w:tr>
      <w:tr>
        <w:trPr>
          <w:cantSplit w:val="true"/>
        </w:trPr>
        <w:tc>
          <w:tcPr>
            <w:vAlign w:val="center"/>
          </w:tcPr>
          <w:p>
            <w:pPr>
              <w:pStyle w:val="Compact"/>
              <w:spacing w:before="0" w:after="0" w:line="240" w:lineRule="auto"/>
              <w:jc w:val="left"/>
            </w:pPr>
            <w:r>
              <w:rPr>
                <w:rFonts w:ascii="Times New Roman" w:hAnsi="Times New Roman" w:eastAsia="Times New Roman"/>
                <w:sz w:val="17"/>
              </w:rPr>
              <w:t xml:space="preserve">ResU-Net</w:t>
            </w:r>
          </w:p>
        </w:tc>
        <w:tc>
          <w:tcPr>
            <w:vAlign w:val="center"/>
          </w:tcPr>
          <w:p>
            <w:pPr>
              <w:pStyle w:val="Compact"/>
              <w:spacing w:before="0" w:after="0" w:line="240" w:lineRule="auto"/>
              <w:jc w:val="center"/>
            </w:pPr>
            <w:r>
              <w:rPr>
                <w:rFonts w:ascii="Times New Roman" w:hAnsi="Times New Roman" w:eastAsia="Times New Roman"/>
                <w:sz w:val="17"/>
              </w:rPr>
              <w:t xml:space="preserve">76.92 ± 4.83%</w:t>
            </w:r>
          </w:p>
        </w:tc>
        <w:tc>
          <w:tcPr>
            <w:vAlign w:val="center"/>
          </w:tcPr>
          <w:p>
            <w:pPr>
              <w:pStyle w:val="Compact"/>
              <w:spacing w:before="0" w:after="0" w:line="240" w:lineRule="auto"/>
              <w:jc w:val="center"/>
            </w:pPr>
            <w:r>
              <w:rPr>
                <w:rFonts w:ascii="Times New Roman" w:hAnsi="Times New Roman" w:eastAsia="Times New Roman"/>
                <w:sz w:val="17"/>
              </w:rPr>
              <w:t xml:space="preserve">68.09 ± 4.20%</w:t>
            </w:r>
          </w:p>
        </w:tc>
        <w:tc>
          <w:tcPr>
            <w:vAlign w:val="center"/>
          </w:tcPr>
          <w:p>
            <w:pPr>
              <w:pStyle w:val="Compact"/>
              <w:spacing w:before="0" w:after="0" w:line="240" w:lineRule="auto"/>
              <w:jc w:val="center"/>
            </w:pPr>
            <w:r>
              <w:rPr>
                <w:rFonts w:ascii="Times New Roman" w:hAnsi="Times New Roman" w:eastAsia="Times New Roman"/>
                <w:sz w:val="17"/>
              </w:rPr>
              <w:t xml:space="preserve">6.7%</w:t>
            </w:r>
          </w:p>
        </w:tc>
        <w:tc>
          <w:tcPr>
            <w:vAlign w:val="center"/>
          </w:tcPr>
          <w:p>
            <w:pPr>
              <w:pStyle w:val="Compact"/>
              <w:spacing w:before="0" w:after="0" w:line="240" w:lineRule="auto"/>
              <w:jc w:val="center"/>
            </w:pPr>
            <w:r>
              <w:rPr>
                <w:rFonts w:ascii="Times New Roman" w:hAnsi="Times New Roman" w:eastAsia="Times New Roman"/>
                <w:sz w:val="17"/>
              </w:rPr>
              <w:t xml:space="preserve">53.3%</w:t>
            </w:r>
          </w:p>
        </w:tc>
        <w:tc>
          <w:tcPr>
            <w:vAlign w:val="center"/>
          </w:tcPr>
          <w:p>
            <w:pPr>
              <w:pStyle w:val="Compact"/>
              <w:spacing w:before="0" w:after="0" w:line="240" w:lineRule="auto"/>
              <w:jc w:val="center"/>
            </w:pPr>
            <w:r>
              <w:rPr>
                <w:rFonts w:ascii="Times New Roman" w:hAnsi="Times New Roman" w:eastAsia="Times New Roman"/>
                <w:sz w:val="17"/>
              </w:rPr>
              <w:t xml:space="preserve">85.9%</w:t>
            </w:r>
          </w:p>
        </w:tc>
        <w:tc>
          <w:tcPr>
            <w:vAlign w:val="center"/>
          </w:tcPr>
          <w:p>
            <w:pPr>
              <w:pStyle w:val="Compact"/>
              <w:spacing w:before="0" w:after="0" w:line="240" w:lineRule="auto"/>
              <w:jc w:val="center"/>
            </w:pPr>
            <w:r>
              <w:rPr>
                <w:rFonts w:ascii="Times New Roman" w:hAnsi="Times New Roman" w:eastAsia="Times New Roman"/>
                <w:sz w:val="17"/>
              </w:rPr>
              <w:t xml:space="preserve">95.8%</w:t>
            </w:r>
          </w:p>
        </w:tc>
      </w:tr>
      <w:tr>
        <w:trPr>
          <w:cantSplit w:val="true"/>
        </w:trPr>
        <w:tc>
          <w:tcPr>
            <w:vAlign w:val="center"/>
          </w:tcPr>
          <w:p>
            <w:pPr>
              <w:pStyle w:val="Compact"/>
              <w:spacing w:before="0" w:after="0" w:line="240" w:lineRule="auto"/>
              <w:jc w:val="left"/>
            </w:pPr>
            <w:r>
              <w:rPr>
                <w:rFonts w:ascii="Times New Roman" w:hAnsi="Times New Roman" w:eastAsia="Times New Roman"/>
                <w:sz w:val="17"/>
              </w:rPr>
              <w:t xml:space="preserve">Attention U-Net</w:t>
            </w:r>
          </w:p>
        </w:tc>
        <w:tc>
          <w:tcPr>
            <w:vAlign w:val="center"/>
          </w:tcPr>
          <w:p>
            <w:pPr>
              <w:pStyle w:val="Compact"/>
              <w:spacing w:before="0" w:after="0" w:line="240" w:lineRule="auto"/>
              <w:jc w:val="center"/>
            </w:pPr>
            <w:r>
              <w:rPr>
                <w:rFonts w:ascii="Times New Roman" w:hAnsi="Times New Roman" w:eastAsia="Times New Roman"/>
                <w:sz w:val="17"/>
              </w:rPr>
              <w:t xml:space="preserve">79.20 ± 2.45%</w:t>
            </w:r>
          </w:p>
        </w:tc>
        <w:tc>
          <w:tcPr>
            <w:vAlign w:val="center"/>
          </w:tcPr>
          <w:p>
            <w:pPr>
              <w:pStyle w:val="Compact"/>
              <w:spacing w:before="0" w:after="0" w:line="240" w:lineRule="auto"/>
              <w:jc w:val="center"/>
            </w:pPr>
            <w:r>
              <w:rPr>
                <w:rFonts w:ascii="Times New Roman" w:hAnsi="Times New Roman" w:eastAsia="Times New Roman"/>
                <w:sz w:val="17"/>
              </w:rPr>
              <w:t xml:space="preserve">69.52 ± 2.10%</w:t>
            </w:r>
          </w:p>
        </w:tc>
        <w:tc>
          <w:tcPr>
            <w:vAlign w:val="center"/>
          </w:tcPr>
          <w:p>
            <w:pPr>
              <w:pStyle w:val="Compact"/>
              <w:spacing w:before="0" w:after="0" w:line="240" w:lineRule="auto"/>
              <w:jc w:val="center"/>
            </w:pPr>
            <w:r>
              <w:rPr>
                <w:rFonts w:ascii="Times New Roman" w:hAnsi="Times New Roman" w:eastAsia="Times New Roman"/>
                <w:sz w:val="17"/>
              </w:rPr>
              <w:t xml:space="preserve">6.7%</w:t>
            </w:r>
          </w:p>
        </w:tc>
        <w:tc>
          <w:tcPr>
            <w:vAlign w:val="center"/>
          </w:tcPr>
          <w:p>
            <w:pPr>
              <w:pStyle w:val="Compact"/>
              <w:spacing w:before="0" w:after="0" w:line="240" w:lineRule="auto"/>
              <w:jc w:val="center"/>
            </w:pPr>
            <w:r>
              <w:rPr>
                <w:rFonts w:ascii="Times New Roman" w:hAnsi="Times New Roman" w:eastAsia="Times New Roman"/>
                <w:sz w:val="17"/>
              </w:rPr>
              <w:t xml:space="preserve">58.7%</w:t>
            </w:r>
          </w:p>
        </w:tc>
        <w:tc>
          <w:tcPr>
            <w:vAlign w:val="center"/>
          </w:tcPr>
          <w:p>
            <w:pPr>
              <w:pStyle w:val="Compact"/>
              <w:spacing w:before="0" w:after="0" w:line="240" w:lineRule="auto"/>
              <w:jc w:val="center"/>
            </w:pPr>
            <w:r>
              <w:rPr>
                <w:rFonts w:ascii="Times New Roman" w:hAnsi="Times New Roman" w:eastAsia="Times New Roman"/>
                <w:sz w:val="17"/>
              </w:rPr>
              <w:t xml:space="preserve">86.9%</w:t>
            </w:r>
          </w:p>
        </w:tc>
        <w:tc>
          <w:tcPr>
            <w:vAlign w:val="center"/>
          </w:tcPr>
          <w:p>
            <w:pPr>
              <w:pStyle w:val="Compact"/>
              <w:spacing w:before="0" w:after="0" w:line="240" w:lineRule="auto"/>
              <w:jc w:val="center"/>
            </w:pPr>
            <w:r>
              <w:rPr>
                <w:rFonts w:ascii="Times New Roman" w:hAnsi="Times New Roman" w:eastAsia="Times New Roman"/>
                <w:sz w:val="17"/>
              </w:rPr>
              <w:t xml:space="preserve">100.0%</w:t>
            </w:r>
          </w:p>
        </w:tc>
      </w:tr>
      <w:tr>
        <w:trPr>
          <w:cantSplit w:val="true"/>
        </w:trPr>
        <w:tc>
          <w:tcPr>
            <w:vAlign w:val="center"/>
          </w:tcPr>
          <w:p>
            <w:pPr>
              <w:pStyle w:val="Compact"/>
              <w:spacing w:before="0" w:after="0" w:line="240" w:lineRule="auto"/>
              <w:jc w:val="left"/>
            </w:pPr>
            <w:r>
              <w:rPr>
                <w:rFonts w:ascii="Times New Roman" w:hAnsi="Times New Roman" w:eastAsia="Times New Roman"/>
                <w:b/>
                <w:bCs/>
                <w:sz w:val="17"/>
              </w:rPr>
              <w:t xml:space="preserve">TopoRadar-Net (Ours)</w:t>
            </w:r>
          </w:p>
        </w:tc>
        <w:tc>
          <w:tcPr>
            <w:vAlign w:val="center"/>
          </w:tcPr>
          <w:p>
            <w:pPr>
              <w:pStyle w:val="Compact"/>
              <w:spacing w:before="0" w:after="0" w:line="240" w:lineRule="auto"/>
              <w:jc w:val="center"/>
            </w:pPr>
            <w:r>
              <w:rPr>
                <w:rFonts w:ascii="Times New Roman" w:hAnsi="Times New Roman" w:eastAsia="Times New Roman"/>
                <w:b/>
                <w:bCs/>
                <w:sz w:val="17"/>
              </w:rPr>
              <w:t xml:space="preserve">75.50 ± 1.61%</w:t>
            </w:r>
          </w:p>
        </w:tc>
        <w:tc>
          <w:tcPr>
            <w:vAlign w:val="center"/>
          </w:tcPr>
          <w:p>
            <w:pPr>
              <w:pStyle w:val="Compact"/>
              <w:spacing w:before="0" w:after="0" w:line="240" w:lineRule="auto"/>
              <w:jc w:val="center"/>
            </w:pPr>
            <w:r>
              <w:rPr>
                <w:rFonts w:ascii="Times New Roman" w:hAnsi="Times New Roman" w:eastAsia="Times New Roman"/>
                <w:b/>
                <w:bCs/>
                <w:sz w:val="17"/>
              </w:rPr>
              <w:t xml:space="preserve">68.09 ± 1.95%</w:t>
            </w:r>
          </w:p>
        </w:tc>
        <w:tc>
          <w:tcPr>
            <w:vAlign w:val="center"/>
          </w:tcPr>
          <w:p>
            <w:pPr>
              <w:pStyle w:val="Compact"/>
              <w:spacing w:before="0" w:after="0" w:line="240" w:lineRule="auto"/>
              <w:jc w:val="center"/>
            </w:pPr>
            <w:r>
              <w:rPr>
                <w:rFonts w:ascii="Times New Roman" w:hAnsi="Times New Roman" w:eastAsia="Times New Roman"/>
                <w:b/>
                <w:bCs/>
                <w:sz w:val="17"/>
              </w:rPr>
              <w:t xml:space="preserve">20.0%</w:t>
            </w:r>
          </w:p>
        </w:tc>
        <w:tc>
          <w:tcPr>
            <w:vAlign w:val="center"/>
          </w:tcPr>
          <w:p>
            <w:pPr>
              <w:pStyle w:val="Compact"/>
              <w:spacing w:before="0" w:after="0" w:line="240" w:lineRule="auto"/>
              <w:jc w:val="center"/>
            </w:pPr>
            <w:r>
              <w:rPr>
                <w:rFonts w:ascii="Times New Roman" w:hAnsi="Times New Roman" w:eastAsia="Times New Roman"/>
                <w:b/>
                <w:bCs/>
                <w:sz w:val="17"/>
              </w:rPr>
              <w:t xml:space="preserve">49.3%</w:t>
            </w:r>
          </w:p>
        </w:tc>
        <w:tc>
          <w:tcPr>
            <w:vAlign w:val="center"/>
          </w:tcPr>
          <w:p>
            <w:pPr>
              <w:pStyle w:val="Compact"/>
              <w:spacing w:before="0" w:after="0" w:line="240" w:lineRule="auto"/>
              <w:jc w:val="center"/>
            </w:pPr>
            <w:r>
              <w:rPr>
                <w:rFonts w:ascii="Times New Roman" w:hAnsi="Times New Roman" w:eastAsia="Times New Roman"/>
                <w:b/>
                <w:bCs/>
                <w:sz w:val="17"/>
              </w:rPr>
              <w:t xml:space="preserve">84.0%</w:t>
            </w:r>
          </w:p>
        </w:tc>
        <w:tc>
          <w:tcPr>
            <w:vAlign w:val="center"/>
          </w:tcPr>
          <w:p>
            <w:pPr>
              <w:pStyle w:val="Compact"/>
              <w:spacing w:before="0" w:after="0" w:line="240" w:lineRule="auto"/>
              <w:jc w:val="center"/>
            </w:pPr>
            <w:r>
              <w:rPr>
                <w:rFonts w:ascii="Times New Roman" w:hAnsi="Times New Roman" w:eastAsia="Times New Roman"/>
                <w:b/>
                <w:bCs/>
                <w:sz w:val="17"/>
              </w:rPr>
              <w:t xml:space="preserve">95.8%</w:t>
            </w:r>
          </w:p>
        </w:tc>
      </w:tr>
    </w:tbl>
    <w:p>
      <w:pPr>
        <w:pStyle w:val="BodyText"/>
        <w:spacing w:after="0" w:line="240" w:lineRule="auto"/>
      </w:pPr>
      <w:r>
        <w:rPr>
          <w:rFonts w:ascii="Times New Roman" w:hAnsi="Times New Roman" w:eastAsia="Times New Roman"/>
          <w:sz w:val="20"/>
        </w:rPr>
        <w:t xml:space="preserve">At the operational threshold (</w:t>
      </w:r>
      <m:oMath>
        <m:r>
          <m:rPr>
            <m:sty m:val="p"/>
          </m:rPr>
          <m:t>≥</m:t>
        </m:r>
        <m:r>
          <m:t>30</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polygon overlap), TopoRadar-Net achieves an overall hit rate of</w:t>
      </w:r>
      <w:r>
        <w:rPr>
          <w:rFonts w:ascii="Times New Roman" w:hAnsi="Times New Roman" w:eastAsia="Times New Roman"/>
          <w:sz w:val="20"/>
        </w:rPr>
        <w:t xml:space="preserve"> </w:t>
      </w:r>
      <m:oMath>
        <m:r>
          <m:rPr>
            <m:sty m:val="b"/>
          </m:rPr>
          <m:t>75.50</m:t>
        </m:r>
        <m:r>
          <m:rPr>
            <m:sty m:val="b"/>
          </m:rPr>
          <m:t>%</m:t>
        </m:r>
        <m:r>
          <m:rPr>
            <m:sty m:val="b"/>
          </m:rPr>
          <m:t>±</m:t>
        </m:r>
        <m:r>
          <m:rPr>
            <m:sty m:val="b"/>
          </m:rPr>
          <m:t>1.61</m:t>
        </m:r>
        <m:r>
          <m:rPr>
            <m:sty m:val="b"/>
          </m:rPr>
          <m:t>%</m:t>
        </m:r>
      </m:oMath>
      <w:r>
        <w:rPr>
          <w:rFonts w:ascii="Times New Roman" w:hAnsi="Times New Roman" w:eastAsia="Times New Roman"/>
          <w:sz w:val="20"/>
        </w:rPr>
        <w:t xml:space="preserve"> </w:t>
      </w:r>
      <w:r>
        <w:rPr>
          <w:rFonts w:ascii="Times New Roman" w:hAnsi="Times New Roman" w:eastAsia="Times New Roman"/>
          <w:sz w:val="20"/>
        </w:rPr>
        <w:t xml:space="preserve">on the held-out Scandinavian Arctic test scene (reaching 87, 87, and 91 detected polygons across the three seeds; 3-seed mean</w:t>
      </w:r>
      <w:r>
        <w:rPr>
          <w:rFonts w:ascii="Times New Roman" w:hAnsi="Times New Roman" w:eastAsia="Times New Roman"/>
          <w:sz w:val="20"/>
        </w:rPr>
        <w:t xml:space="preserve"> </w:t>
      </w:r>
      <m:oMath>
        <m:r>
          <m:t>88.3</m:t>
        </m:r>
        <m:r>
          <m:rPr>
            <m:sty m:val="p"/>
          </m:rPr>
          <m:t>/</m:t>
        </m:r>
        <m:r>
          <m:t>117</m:t>
        </m:r>
      </m:oMath>
      <w:r>
        <w:rPr>
          <w:rFonts w:ascii="Times New Roman" w:hAnsi="Times New Roman" w:eastAsia="Times New Roman"/>
          <w:sz w:val="20"/>
        </w:rPr>
        <w:t xml:space="preserve">), with</w:t>
      </w:r>
      <w:r>
        <w:rPr>
          <w:rFonts w:ascii="Times New Roman" w:hAnsi="Times New Roman" w:eastAsia="Times New Roman"/>
          <w:sz w:val="20"/>
        </w:rPr>
        <w:t xml:space="preserve"> </w:t>
      </w:r>
      <m:oMath>
        <m:r>
          <m:t>95.8</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detection completeness on the largest Class D4 avalanches (</w:t>
      </w:r>
      <m:oMath>
        <m:r>
          <m:t>100</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on seeds 42 and 123;</w:t>
      </w:r>
      <w:r>
        <w:rPr>
          <w:rFonts w:ascii="Times New Roman" w:hAnsi="Times New Roman" w:eastAsia="Times New Roman"/>
          <w:sz w:val="20"/>
        </w:rPr>
        <w:t xml:space="preserve"> </w:t>
      </w:r>
      <m:oMath>
        <m:r>
          <m:t>87.5</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on seed 456; 3-seed mean</w:t>
      </w:r>
      <w:r>
        <w:rPr>
          <w:rFonts w:ascii="Times New Roman" w:hAnsi="Times New Roman" w:eastAsia="Times New Roman"/>
          <w:sz w:val="20"/>
        </w:rPr>
        <w:t xml:space="preserve"> </w:t>
      </w:r>
      <m:oMath>
        <m:r>
          <m:t>95.8</m:t>
        </m:r>
        <m:r>
          <m:rPr>
            <m:sty m:val="p"/>
          </m:rPr>
          <m:t>%</m:t>
        </m:r>
      </m:oMath>
      <w:r>
        <w:rPr>
          <w:rFonts w:ascii="Times New Roman" w:hAnsi="Times New Roman" w:eastAsia="Times New Roman"/>
          <w:sz w:val="20"/>
        </w:rPr>
        <w:t xml:space="preserve">),</w:t>
      </w:r>
      <w:r>
        <w:rPr>
          <w:rFonts w:ascii="Times New Roman" w:hAnsi="Times New Roman" w:eastAsia="Times New Roman"/>
          <w:sz w:val="20"/>
        </w:rPr>
        <w:t xml:space="preserve"> </w:t>
      </w:r>
      <m:oMath>
        <m:r>
          <m:t>84.0</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completeness on Class D3 avalanches,</w:t>
      </w:r>
      <w:r>
        <w:rPr>
          <w:rFonts w:ascii="Times New Roman" w:hAnsi="Times New Roman" w:eastAsia="Times New Roman"/>
          <w:sz w:val="20"/>
        </w:rPr>
        <w:t xml:space="preserve"> </w:t>
      </w:r>
      <m:oMath>
        <m:r>
          <m:t>49.3</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on Class D2, and</w:t>
      </w:r>
      <w:r>
        <w:rPr>
          <w:rFonts w:ascii="Times New Roman" w:hAnsi="Times New Roman" w:eastAsia="Times New Roman"/>
          <w:sz w:val="20"/>
        </w:rPr>
        <w:t xml:space="preserve"> </w:t>
      </w:r>
      <m:oMath>
        <m:r>
          <m:t>20.0</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on Class D1. On the extreme high-relief Pamir Mountains (Pish, Tajikistan), polygon-level metadata lacks EAWS size classifications, resulting in zero matching polygon boundaries under EAWS metrics (</w:t>
      </w:r>
      <m:oMath>
        <m:r>
          <m:t>0.0</m:t>
        </m:r>
        <m:r>
          <m:rPr>
            <m:sty m:val="p"/>
          </m:rPr>
          <m:t>%</m:t>
        </m:r>
      </m:oMath>
      <w:r>
        <w:rPr>
          <w:rFonts w:ascii="Times New Roman" w:hAnsi="Times New Roman" w:eastAsia="Times New Roman"/>
          <w:sz w:val="20"/>
        </w:rPr>
        <w:t xml:space="preserve">), whereas pixel-level F1 is preserved at</w:t>
      </w:r>
      <w:r>
        <w:rPr>
          <w:rFonts w:ascii="Times New Roman" w:hAnsi="Times New Roman" w:eastAsia="Times New Roman"/>
          <w:sz w:val="20"/>
        </w:rPr>
        <w:t xml:space="preserve"> </w:t>
      </w:r>
      <m:oMath>
        <m:r>
          <m:t>50.18</m:t>
        </m:r>
        <m:r>
          <m:rPr>
            <m:sty m:val="p"/>
          </m:rPr>
          <m:t>%</m:t>
        </m:r>
        <m:r>
          <m:rPr>
            <m:sty m:val="p"/>
          </m:rPr>
          <m:t>±</m:t>
        </m:r>
        <m:r>
          <m:t>4.40</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(reaching</w:t>
      </w:r>
      <w:r>
        <w:rPr>
          <w:rFonts w:ascii="Times New Roman" w:hAnsi="Times New Roman" w:eastAsia="Times New Roman"/>
          <w:sz w:val="20"/>
        </w:rPr>
        <w:t xml:space="preserve"> </w:t>
      </w:r>
      <m:oMath>
        <m:r>
          <m:t>54.97</m:t>
        </m:r>
        <m:r>
          <m:rPr>
            <m:sty m:val="p"/>
          </m:rPr>
          <m:t>%</m:t>
        </m:r>
      </m:oMath>
      <w:r>
        <w:rPr>
          <w:rFonts w:ascii="Times New Roman" w:hAnsi="Times New Roman" w:eastAsia="Times New Roman"/>
          <w:sz w:val="20"/>
        </w:rPr>
        <w:t xml:space="preserve">), maintaining physical sensitivity across massive</w:t>
      </w:r>
      <w:r>
        <w:rPr>
          <w:rFonts w:ascii="Times New Roman" w:hAnsi="Times New Roman" w:eastAsia="Times New Roman"/>
          <w:sz w:val="20"/>
        </w:rPr>
        <w:t xml:space="preserve"> </w:t>
      </w:r>
      <m:oMath>
        <m:r>
          <m:t>2</m:t>
        </m:r>
        <m:r>
          <m:rPr>
            <m:sty m:val="p"/>
          </m:rPr>
          <m:t>,</m:t>
        </m:r>
        <m:r>
          <m:t>000</m:t>
        </m:r>
      </m:oMath>
      <w:r>
        <w:rPr>
          <w:rFonts w:ascii="Times New Roman" w:hAnsi="Times New Roman" w:eastAsia="Times New Roman"/>
          <w:sz w:val="20"/>
        </w:rPr>
        <w:t xml:space="preserve"> m vertical chutes.</w:t>
      </w:r>
    </w:p>
    <w:p>
      <w:pPr>
        <w:pStyle w:val="Figure"/>
        <w:spacing w:after="0" w:line="240" w:lineRule="auto"/>
      </w:pPr>
      <w:r>
        <w:rPr>
          <w:rFonts w:ascii="Times New Roman" w:hAnsi="Times New Roman" w:eastAsia="Times New Roman"/>
          <w:sz w:val="20"/>
        </w:rPr>
        <w:drawing>
          <wp:inline>
            <wp:extent cx="5334000" cy="3118499"/>
            <wp:effectExtent b="0" l="0" r="0" t="0"/>
            <wp:docPr descr="" title="" id="32" name="Picture"/>
            <a:graphic>
              <a:graphicData uri="http://schemas.openxmlformats.org/drawingml/2006/picture">
                <pic:pic>
                  <pic:nvPicPr>
                    <pic:cNvPr descr="fig_instance_hitrate_eaws.png" id="33" name="Picture"/>
                    <pic:cNvPicPr>
                      <a:picLocks noChangeArrowheads="1" noChangeAspect="1"/>
                    </pic:cNvPicPr>
                  </pic:nvPicPr>
                  <pic:blipFill>
                    <a:blip r:embed="rId31"/>
                    <a:stretch>
                      <a:fillRect/>
                    </a:stretch>
                  </pic:blipFill>
                  <pic:spPr bwMode="auto">
                    <a:xfrm>
                      <a:off x="0" y="0"/>
                      <a:ext cx="5334000" cy="3118499"/>
                    </a:xfrm>
                    <a:prstGeom prst="rect">
                      <a:avLst/>
                    </a:prstGeom>
                    <a:noFill/>
                    <a:ln w="9525">
                      <a:noFill/>
                      <a:headEnd/>
                      <a:tailEnd/>
                    </a:ln>
                  </pic:spPr>
                </pic:pic>
              </a:graphicData>
            </a:graphic>
          </wp:inline>
        </w:drawing>
      </w:r>
    </w:p>
    <w:p>
      <w:pPr>
        <w:pStyle w:val="FirstParagraph"/>
        <w:spacing w:after="0" w:line="240" w:lineRule="auto"/>
      </w:pPr>
      <w:r>
        <w:rPr>
          <w:rFonts w:ascii="Times New Roman" w:hAnsi="Times New Roman" w:eastAsia="Times New Roman"/>
          <w:b/>
          <w:bCs/>
          <w:sz w:val="20"/>
        </w:rPr>
        <w:t xml:space="preserve">Fig. 3.</w:t>
      </w:r>
      <w:r>
        <w:rPr>
          <w:rFonts w:ascii="Times New Roman" w:hAnsi="Times New Roman" w:eastAsia="Times New Roman"/>
          <w:sz w:val="20"/>
        </w:rPr>
        <w:t xml:space="preserve"> </w:t>
      </w:r>
      <w:r>
        <w:rPr>
          <w:rFonts w:ascii="Times New Roman" w:hAnsi="Times New Roman" w:eastAsia="Times New Roman"/>
          <w:sz w:val="20"/>
        </w:rPr>
        <w:t xml:space="preserve">Instance-level avalanche detection completeness across European Avalanche Warning Services (EAWS) destructive size classes (D1 through D4) on the held-out Scandinavian Arctic test benchmark (</w:t>
      </w:r>
      <m:oMath>
        <m:r>
          <m:t>n</m:t>
        </m:r>
        <m:r>
          <m:rPr>
            <m:sty m:val="p"/>
          </m:rPr>
          <m:t>=</m:t>
        </m:r>
        <m:r>
          <m:t>117</m:t>
        </m:r>
      </m:oMath>
      <w:r>
        <w:rPr>
          <w:rFonts w:ascii="Times New Roman" w:hAnsi="Times New Roman" w:eastAsia="Times New Roman"/>
          <w:sz w:val="20"/>
        </w:rPr>
        <w:t xml:space="preserve"> </w:t>
      </w:r>
      <w:r>
        <w:rPr>
          <w:rFonts w:ascii="Times New Roman" w:hAnsi="Times New Roman" w:eastAsia="Times New Roman"/>
          <w:sz w:val="20"/>
        </w:rPr>
        <w:t xml:space="preserve">polygons), evaluated at minimum</w:t>
      </w:r>
      <w:r>
        <w:rPr>
          <w:rFonts w:ascii="Times New Roman" w:hAnsi="Times New Roman" w:eastAsia="Times New Roman"/>
          <w:sz w:val="20"/>
        </w:rPr>
        <w:t xml:space="preserve"> </w:t>
      </w:r>
      <m:oMath>
        <m:r>
          <m:t>30</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polygon overlap (HR@0.3).</w:t>
      </w:r>
    </w:p>
    <w:bookmarkEnd w:id="34"/>
    <w:bookmarkStart w:id="38" w:name="systematic-architectural-ablation-study"/>
    <w:p>
      <w:pPr>
        <w:pStyle w:val="Heading2"/>
        <w:spacing w:after="0" w:line="240" w:lineRule="auto"/>
      </w:pPr>
      <w:r>
        <w:rPr>
          <w:rFonts w:ascii="Times New Roman" w:hAnsi="Times New Roman" w:eastAsia="Times New Roman"/>
          <w:sz w:val="20"/>
        </w:rPr>
        <w:t xml:space="preserve">Systematic Architectural Ablation Study</w:t>
      </w:r>
    </w:p>
    <w:p>
      <w:pPr>
        <w:pStyle w:val="FirstParagraph"/>
        <w:spacing w:after="0" w:line="240" w:lineRule="auto"/>
      </w:pPr>
      <w:r>
        <w:rPr>
          <w:rFonts w:ascii="Times New Roman" w:hAnsi="Times New Roman" w:eastAsia="Times New Roman"/>
          <w:sz w:val="20"/>
        </w:rPr>
        <w:t xml:space="preserve">To evaluate sensitivity to each input and architectural component, we conduct an ablation study across four controlled variants, each trained and evaluated under the identical multi-seed protocol across both unseen test regions and the pooled benchmark (Table 5):</w:t>
      </w:r>
    </w:p>
    <w:p>
      <w:pPr>
        <w:numPr>
          <w:ilvl w:val="0"/>
          <w:numId w:val="1005"/>
        </w:numPr>
        <w:spacing w:after="0" w:line="240" w:lineRule="auto"/>
      </w:pPr>
      <w:r>
        <w:rPr>
          <w:rFonts w:ascii="Times New Roman" w:hAnsi="Times New Roman" w:eastAsia="Times New Roman"/>
          <w:b/>
          <w:bCs/>
          <w:sz w:val="20"/>
        </w:rPr>
        <w:t xml:space="preserve">Ablation 1 (No-LIA):</w:t>
      </w:r>
      <w:r>
        <w:rPr>
          <w:rFonts w:ascii="Times New Roman" w:hAnsi="Times New Roman" w:eastAsia="Times New Roman"/>
          <w:sz w:val="20"/>
        </w:rPr>
        <w:t xml:space="preserve"> </w:t>
      </w:r>
      <w:r>
        <w:rPr>
          <w:rFonts w:ascii="Times New Roman" w:hAnsi="Times New Roman" w:eastAsia="Times New Roman"/>
          <w:sz w:val="20"/>
        </w:rPr>
        <w:t xml:space="preserve">Local incidence angle conditioning is omitted (</w:t>
      </w:r>
      <m:oMath>
        <m:r>
          <m:rPr>
            <m:sty m:val="p"/>
          </m:rPr>
          <m:t>cos</m:t>
        </m:r>
        <m:r>
          <m:t>ψ</m:t>
        </m:r>
        <m:r>
          <m:rPr>
            <m:sty m:val="p"/>
          </m:rPr>
          <m:t>=</m:t>
        </m:r>
        <m:r>
          <m:t>0</m:t>
        </m:r>
      </m:oMath>
      <w:r>
        <w:rPr>
          <w:rFonts w:ascii="Times New Roman" w:hAnsi="Times New Roman" w:eastAsia="Times New Roman"/>
          <w:sz w:val="20"/>
        </w:rPr>
        <w:t xml:space="preserve">), forcing the model to rely only on terrain slope and aspect.</w:t>
      </w:r>
    </w:p>
    <w:p>
      <w:pPr>
        <w:numPr>
          <w:ilvl w:val="0"/>
          <w:numId w:val="1005"/>
        </w:numPr>
        <w:spacing w:after="0" w:line="240" w:lineRule="auto"/>
      </w:pPr>
      <w:r>
        <w:rPr>
          <w:rFonts w:ascii="Times New Roman" w:hAnsi="Times New Roman" w:eastAsia="Times New Roman"/>
          <w:b/>
          <w:bCs/>
          <w:sz w:val="20"/>
        </w:rPr>
        <w:t xml:space="preserve">Ablation 2 (No-Aspect):</w:t>
      </w:r>
      <w:r>
        <w:rPr>
          <w:rFonts w:ascii="Times New Roman" w:hAnsi="Times New Roman" w:eastAsia="Times New Roman"/>
          <w:sz w:val="20"/>
        </w:rPr>
        <w:t xml:space="preserve"> </w:t>
      </w:r>
      <w:r>
        <w:rPr>
          <w:rFonts w:ascii="Times New Roman" w:hAnsi="Times New Roman" w:eastAsia="Times New Roman"/>
          <w:sz w:val="20"/>
        </w:rPr>
        <w:t xml:space="preserve">The 2D aspect vector</w:t>
      </w:r>
      <w:r>
        <w:rPr>
          <w:rFonts w:ascii="Times New Roman" w:hAnsi="Times New Roman" w:eastAsia="Times New Roman"/>
          <w:sz w:val="20"/>
        </w:rPr>
        <w:t xml:space="preserve"> </w:t>
      </w:r>
      <m:oMath>
        <m:r>
          <m:rPr>
            <m:sty m:val="p"/>
          </m:rPr>
          <m:t>[</m:t>
        </m:r>
        <m:r>
          <m:rPr>
            <m:sty m:val="p"/>
          </m:rPr>
          <m:t>sin</m:t>
        </m:r>
        <m:r>
          <m:t>α</m:t>
        </m:r>
        <m:r>
          <m:rPr>
            <m:sty m:val="p"/>
          </m:rPr>
          <m:t>,</m:t>
        </m:r>
        <m:r>
          <m:rPr>
            <m:sty m:val="p"/>
          </m:rPr>
          <m:t>cos</m:t>
        </m:r>
        <m:r>
          <m:t>α</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and radar look alignment (</w:t>
      </w:r>
      <m:oMath>
        <m:sSub>
          <m:e>
            <m:r>
              <m:t>θ</m:t>
            </m:r>
          </m:e>
          <m:sub>
            <m:r>
              <m:rPr>
                <m:nor/>
                <m:sty m:val="p"/>
              </m:rPr>
              <m:t>align</m:t>
            </m:r>
          </m:sub>
        </m:sSub>
      </m:oMath>
      <w:r>
        <w:rPr>
          <w:rFonts w:ascii="Times New Roman" w:hAnsi="Times New Roman" w:eastAsia="Times New Roman"/>
          <w:sz w:val="20"/>
        </w:rPr>
        <w:t xml:space="preserve">) are zeroed out, depriving the network of directional look orientation.</w:t>
      </w:r>
    </w:p>
    <w:p>
      <w:pPr>
        <w:numPr>
          <w:ilvl w:val="0"/>
          <w:numId w:val="1005"/>
        </w:numPr>
        <w:spacing w:after="0" w:line="240" w:lineRule="auto"/>
      </w:pPr>
      <w:r>
        <w:rPr>
          <w:rFonts w:ascii="Times New Roman" w:hAnsi="Times New Roman" w:eastAsia="Times New Roman"/>
          <w:b/>
          <w:bCs/>
          <w:sz w:val="20"/>
        </w:rPr>
        <w:t xml:space="preserve">Ablation 3 (No-CrossAttn):</w:t>
      </w:r>
      <w:r>
        <w:rPr>
          <w:rFonts w:ascii="Times New Roman" w:hAnsi="Times New Roman" w:eastAsia="Times New Roman"/>
          <w:sz w:val="20"/>
        </w:rPr>
        <w:t xml:space="preserve"> </w:t>
      </w:r>
      <w:r>
        <w:rPr>
          <w:rFonts w:ascii="Times New Roman" w:hAnsi="Times New Roman" w:eastAsia="Times New Roman"/>
          <w:sz w:val="20"/>
        </w:rPr>
        <w:t xml:space="preserve">The multi-scale cross-attention mechanism is replaced with simple channel concatenation of topographic features followed by</w:t>
      </w:r>
      <w:r>
        <w:rPr>
          <w:rFonts w:ascii="Times New Roman" w:hAnsi="Times New Roman" w:eastAsia="Times New Roman"/>
          <w:sz w:val="20"/>
        </w:rPr>
        <w:t xml:space="preserve"> </w:t>
      </w:r>
      <m:oMath>
        <m:r>
          <m:t>1</m:t>
        </m:r>
        <m:r>
          <m:rPr>
            <m:sty m:val="p"/>
          </m:rPr>
          <m:t>×</m:t>
        </m:r>
        <m:r>
          <m:t>1</m:t>
        </m:r>
      </m:oMath>
      <w:r>
        <w:rPr>
          <w:rFonts w:ascii="Times New Roman" w:hAnsi="Times New Roman" w:eastAsia="Times New Roman"/>
          <w:sz w:val="20"/>
        </w:rPr>
        <w:t xml:space="preserve"> </w:t>
      </w:r>
      <w:r>
        <w:rPr>
          <w:rFonts w:ascii="Times New Roman" w:hAnsi="Times New Roman" w:eastAsia="Times New Roman"/>
          <w:sz w:val="20"/>
        </w:rPr>
        <w:t xml:space="preserve">convolutions, exactly mimicking naive multimodal stacking.</w:t>
      </w:r>
    </w:p>
    <w:p>
      <w:pPr>
        <w:numPr>
          <w:ilvl w:val="0"/>
          <w:numId w:val="1005"/>
        </w:numPr>
        <w:spacing w:after="0" w:line="240" w:lineRule="auto"/>
      </w:pPr>
      <w:r>
        <w:rPr>
          <w:rFonts w:ascii="Times New Roman" w:hAnsi="Times New Roman" w:eastAsia="Times New Roman"/>
          <w:b/>
          <w:bCs/>
          <w:sz w:val="20"/>
        </w:rPr>
        <w:t xml:space="preserve">Ablation 4 (No-GeoLoss):</w:t>
      </w:r>
      <w:r>
        <w:rPr>
          <w:rFonts w:ascii="Times New Roman" w:hAnsi="Times New Roman" w:eastAsia="Times New Roman"/>
          <w:sz w:val="20"/>
        </w:rPr>
        <w:t xml:space="preserve"> </w:t>
      </w:r>
      <w:r>
        <w:rPr>
          <w:rFonts w:ascii="Times New Roman" w:hAnsi="Times New Roman" w:eastAsia="Times New Roman"/>
          <w:sz w:val="20"/>
        </w:rPr>
        <w:t xml:space="preserve">The geomorphically bounded loss is removed (</w:t>
      </w:r>
      <m:oMath>
        <m:sSub>
          <m:e>
            <m:r>
              <m:t>λ</m:t>
            </m:r>
          </m:e>
          <m:sub>
            <m:r>
              <m:rPr>
                <m:nor/>
                <m:sty m:val="p"/>
              </m:rPr>
              <m:t>geom</m:t>
            </m:r>
          </m:sub>
        </m:sSub>
        <m:r>
          <m:rPr>
            <m:sty m:val="p"/>
          </m:rPr>
          <m:t>=</m:t>
        </m:r>
        <m:r>
          <m:t>0</m:t>
        </m:r>
      </m:oMath>
      <w:r>
        <w:rPr>
          <w:rFonts w:ascii="Times New Roman" w:hAnsi="Times New Roman" w:eastAsia="Times New Roman"/>
          <w:sz w:val="20"/>
        </w:rPr>
        <w:t xml:space="preserve">), training exclusively on standard weighted BCE and Dice losses.</w:t>
      </w:r>
    </w:p>
    <w:p>
      <w:pPr>
        <w:pStyle w:val="FirstParagraph"/>
        <w:spacing w:after="0" w:line="240" w:lineRule="auto"/>
      </w:pPr>
      <w:r>
        <w:rPr>
          <w:rFonts w:ascii="Times New Roman" w:hAnsi="Times New Roman" w:eastAsia="Times New Roman"/>
          <w:b/>
          <w:bCs/>
          <w:sz w:val="20"/>
        </w:rPr>
        <w:t xml:space="preserve">Table 5.</w:t>
      </w:r>
      <w:r>
        <w:rPr>
          <w:rFonts w:ascii="Times New Roman" w:hAnsi="Times New Roman" w:eastAsia="Times New Roman"/>
          <w:sz w:val="20"/>
        </w:rPr>
        <w:t xml:space="preserve"> </w:t>
      </w:r>
      <w:r>
        <w:rPr>
          <w:rFonts w:ascii="Times New Roman" w:hAnsi="Times New Roman" w:eastAsia="Times New Roman"/>
          <w:sz w:val="20"/>
        </w:rPr>
        <w:t xml:space="preserve">Systematic ablation analysis of TopoRadar-Net components across unseen mountain test regions and the pooled benchmark (Mean ± Standard Deviation across 3 independent training seeds).</w:t>
      </w:r>
    </w:p>
    <w:tbl>
      <w:tblPr>
        <w:tblStyle w:val="Table"/>
        <w:tblW w:type="auto" w:w="0"/>
        <w:tblLayout w:type="fixed"/>
        <w:tblLook w:firstRow="0" w:lastRow="0" w:firstColumn="0" w:lastColumn="0" w:noHBand="0" w:noVBand="0" w:val="0000"/>
      </w:tblPr>
      <w:tblGrid>
        <w:gridCol w:w="2835"/>
        <w:gridCol w:w="1020"/>
        <w:gridCol w:w="1020"/>
        <w:gridCol w:w="1020"/>
        <w:gridCol w:w="1020"/>
        <w:gridCol w:w="1020"/>
        <w:gridCol w:w="1020"/>
      </w:tblGrid>
      <w:tr>
        <w:trPr>
          <w:cantSplit w:val="true"/>
          <w:tblHeader w:val="true"/>
        </w:trPr>
        <w:tc>
          <w:tcPr>
            <w:tcW w:type="dxa" w:w="2835"/>
            <w:vMerge w:val="restart"/>
            <w:vAlign w:val="center"/>
          </w:tcPr>
          <w:p>
            <w:pPr>
              <w:pStyle w:val="Compact"/>
              <w:spacing w:before="0" w:after="0" w:line="240" w:lineRule="auto"/>
              <w:jc w:val="left"/>
            </w:pPr>
            <w:r>
              <w:rPr>
                <w:rFonts w:ascii="Times New Roman" w:hAnsi="Times New Roman" w:eastAsia="Times New Roman"/>
                <w:b/>
                <w:bCs/>
                <w:sz w:val="16"/>
              </w:rPr>
              <w:t xml:space="preserve">Configuration</w:t>
            </w:r>
          </w:p>
        </w:tc>
        <w:tc>
          <w:tcPr>
            <w:tcW w:type="dxa" w:w="1020"/>
            <w:gridSpan w:val="3"/>
            <w:vAlign w:val="center"/>
          </w:tcPr>
          <w:p>
            <w:pPr>
              <w:pStyle w:val="Compact"/>
              <w:spacing w:before="0" w:after="0" w:line="240" w:lineRule="auto"/>
              <w:jc w:val="center"/>
            </w:pPr>
            <w:r>
              <w:rPr>
                <w:rFonts w:ascii="Times New Roman" w:hAnsi="Times New Roman" w:eastAsia="Times New Roman"/>
                <w:b/>
                <w:bCs/>
                <w:sz w:val="16"/>
              </w:rPr>
              <w:t xml:space="preserve">Scandinavian Arctic (Troms</w:t>
            </w:r>
            <w:r>
              <w:rPr>
                <w:rFonts w:ascii="Times New Roman" w:hAnsi="Times New Roman" w:eastAsia="Times New Roman"/>
                <w:b/>
                <w:bCs/>
                <w:sz w:val="16"/>
              </w:rPr>
              <w:t xml:space="preserve">ø</w:t>
            </w:r>
            <w:r>
              <w:rPr>
                <w:rFonts w:ascii="Times New Roman" w:hAnsi="Times New Roman" w:eastAsia="Times New Roman"/>
                <w:b/>
                <w:bCs/>
                <w:sz w:val="16"/>
              </w:rPr>
              <w:t xml:space="preserve">)</w:t>
            </w:r>
          </w:p>
        </w:tc>
        <w:tc>
          <w:tcPr>
            <w:tcW w:type="dxa" w:w="1020"/>
            <w:gridSpan w:val="2"/>
            <w:vAlign w:val="center"/>
          </w:tcPr>
          <w:p>
            <w:pPr>
              <w:pStyle w:val="Compact"/>
              <w:spacing w:before="0" w:after="0" w:line="240" w:lineRule="auto"/>
              <w:jc w:val="center"/>
            </w:pPr>
            <w:r>
              <w:rPr>
                <w:rFonts w:ascii="Times New Roman" w:hAnsi="Times New Roman" w:eastAsia="Times New Roman"/>
                <w:b/>
                <w:bCs/>
                <w:sz w:val="16"/>
              </w:rPr>
              <w:t xml:space="preserve">Pamir Mountains (Pish)</w:t>
            </w:r>
          </w:p>
        </w:tc>
        <w:tc>
          <w:tcPr>
            <w:tcW w:type="dxa" w:w="1020"/>
            <w:vAlign w:val="center"/>
          </w:tcPr>
          <w:p>
            <w:pPr>
              <w:pStyle w:val="Compact"/>
              <w:spacing w:before="0" w:after="0" w:line="240" w:lineRule="auto"/>
              <w:jc w:val="center"/>
            </w:pPr>
            <w:r>
              <w:rPr>
                <w:rFonts w:ascii="Times New Roman" w:hAnsi="Times New Roman" w:eastAsia="Times New Roman"/>
                <w:b/>
                <w:bCs/>
                <w:sz w:val="16"/>
              </w:rPr>
              <w:t xml:space="preserve">Pooled</w:t>
            </w:r>
          </w:p>
        </w:tc>
      </w:tr>
      <w:tr>
        <w:trPr>
          <w:cantSplit w:val="true"/>
          <w:tblHeader w:val="true"/>
        </w:trPr>
        <w:tc>
          <w:tcPr>
            <w:gridSpan w:val="1"/>
            <w:vMerge w:val="continue"/>
          </w:tcPr>
          <w:p>
            <w:pPr/>
          </w:p>
        </w:tc>
        <w:tc>
          <w:tcPr>
            <w:tcW w:type="dxa" w:w="1020"/>
            <w:vAlign w:val="center"/>
          </w:tcPr>
          <w:p>
            <w:pPr>
              <w:pStyle w:val="Compact"/>
              <w:spacing w:before="0" w:after="0" w:line="240" w:lineRule="auto"/>
              <w:jc w:val="center"/>
            </w:pPr>
            <w:r>
              <w:rPr>
                <w:rFonts w:ascii="Times New Roman" w:hAnsi="Times New Roman" w:eastAsia="Times New Roman"/>
                <w:b/>
                <w:bCs/>
                <w:sz w:val="16"/>
              </w:rPr>
              <w:t xml:space="preserve">F1 (%)</w:t>
            </w:r>
          </w:p>
        </w:tc>
        <w:tc>
          <w:tcPr>
            <w:tcW w:type="dxa" w:w="1020"/>
            <w:vAlign w:val="center"/>
          </w:tcPr>
          <w:p>
            <w:pPr>
              <w:pStyle w:val="Compact"/>
              <w:spacing w:before="0" w:after="0" w:line="240" w:lineRule="auto"/>
              <w:jc w:val="center"/>
            </w:pPr>
            <w:r>
              <w:rPr>
                <w:rFonts w:ascii="Times New Roman" w:hAnsi="Times New Roman" w:eastAsia="Times New Roman"/>
                <w:b/>
                <w:bCs/>
                <w:sz w:val="16"/>
              </w:rPr>
              <w:t xml:space="preserve">IoU (%)</w:t>
            </w:r>
          </w:p>
        </w:tc>
        <w:tc>
          <w:tcPr>
            <w:tcW w:type="dxa" w:w="1020"/>
            <w:vAlign w:val="center"/>
          </w:tcPr>
          <w:p>
            <w:pPr>
              <w:pStyle w:val="Compact"/>
              <w:spacing w:before="0" w:after="0" w:line="240" w:lineRule="auto"/>
              <w:jc w:val="center"/>
            </w:pPr>
            <w:r>
              <w:rPr>
                <w:rFonts w:ascii="Times New Roman" w:hAnsi="Times New Roman" w:eastAsia="Times New Roman"/>
                <w:b/>
                <w:bCs/>
                <w:sz w:val="16"/>
              </w:rPr>
              <w:t xml:space="preserve">Prec (%)</w:t>
            </w:r>
          </w:p>
        </w:tc>
        <w:tc>
          <w:tcPr>
            <w:tcW w:type="dxa" w:w="1020"/>
            <w:vAlign w:val="center"/>
          </w:tcPr>
          <w:p>
            <w:pPr>
              <w:pStyle w:val="Compact"/>
              <w:spacing w:before="0" w:after="0" w:line="240" w:lineRule="auto"/>
              <w:jc w:val="center"/>
            </w:pPr>
            <w:r>
              <w:rPr>
                <w:rFonts w:ascii="Times New Roman" w:hAnsi="Times New Roman" w:eastAsia="Times New Roman"/>
                <w:b/>
                <w:bCs/>
                <w:sz w:val="16"/>
              </w:rPr>
              <w:t xml:space="preserve">F1 (%)</w:t>
            </w:r>
          </w:p>
        </w:tc>
        <w:tc>
          <w:tcPr>
            <w:tcW w:type="dxa" w:w="1020"/>
            <w:vAlign w:val="center"/>
          </w:tcPr>
          <w:p>
            <w:pPr>
              <w:pStyle w:val="Compact"/>
              <w:spacing w:before="0" w:after="0" w:line="240" w:lineRule="auto"/>
              <w:jc w:val="center"/>
            </w:pPr>
            <w:r>
              <w:rPr>
                <w:rFonts w:ascii="Times New Roman" w:hAnsi="Times New Roman" w:eastAsia="Times New Roman"/>
                <w:b/>
                <w:bCs/>
                <w:sz w:val="16"/>
              </w:rPr>
              <w:t xml:space="preserve">IoU (%)</w:t>
            </w:r>
          </w:p>
        </w:tc>
        <w:tc>
          <w:tcPr>
            <w:tcW w:type="dxa" w:w="1020"/>
            <w:vAlign w:val="center"/>
          </w:tcPr>
          <w:p>
            <w:pPr>
              <w:pStyle w:val="Compact"/>
              <w:spacing w:before="0" w:after="0" w:line="240" w:lineRule="auto"/>
              <w:jc w:val="center"/>
            </w:pPr>
            <w:r>
              <w:rPr>
                <w:rFonts w:ascii="Times New Roman" w:hAnsi="Times New Roman" w:eastAsia="Times New Roman"/>
                <w:b/>
                <w:bCs/>
                <w:sz w:val="16"/>
              </w:rPr>
              <w:t xml:space="preserve">Macro F1 (%)</w:t>
            </w:r>
          </w:p>
        </w:tc>
      </w:tr>
      <w:tr>
        <w:trPr>
          <w:cantSplit w:val="true"/>
        </w:trPr>
        <w:tc>
          <w:tcPr>
            <w:tcW w:type="dxa" w:w="2835"/>
            <w:vAlign w:val="center"/>
          </w:tcPr>
          <w:p>
            <w:pPr>
              <w:pStyle w:val="Compact"/>
              <w:spacing w:before="0" w:after="0" w:line="240" w:lineRule="auto"/>
              <w:jc w:val="left"/>
            </w:pPr>
            <w:r>
              <w:rPr>
                <w:rFonts w:ascii="Times New Roman" w:hAnsi="Times New Roman" w:eastAsia="Times New Roman"/>
                <w:sz w:val="16"/>
              </w:rPr>
              <w:t xml:space="preserve">Full TopoRadar-Net</w:t>
            </w:r>
          </w:p>
        </w:tc>
        <w:tc>
          <w:tcPr>
            <w:tcW w:type="dxa" w:w="1020"/>
            <w:vAlign w:val="center"/>
          </w:tcPr>
          <w:p>
            <w:pPr>
              <w:pStyle w:val="Compact"/>
              <w:spacing w:before="0" w:after="0" w:line="240" w:lineRule="auto"/>
              <w:jc w:val="center"/>
            </w:pPr>
            <w:r>
              <w:rPr>
                <w:rFonts w:ascii="Times New Roman" w:hAnsi="Times New Roman" w:eastAsia="Times New Roman"/>
                <w:b/>
                <w:bCs/>
                <w:sz w:val="16"/>
              </w:rPr>
              <w:t xml:space="preserve">77.40 ± 1.86</w:t>
            </w:r>
          </w:p>
        </w:tc>
        <w:tc>
          <w:tcPr>
            <w:tcW w:type="dxa" w:w="1020"/>
            <w:vAlign w:val="center"/>
          </w:tcPr>
          <w:p>
            <w:pPr>
              <w:pStyle w:val="Compact"/>
              <w:spacing w:before="0" w:after="0" w:line="240" w:lineRule="auto"/>
              <w:jc w:val="center"/>
            </w:pPr>
            <w:r>
              <w:rPr>
                <w:rFonts w:ascii="Times New Roman" w:hAnsi="Times New Roman" w:eastAsia="Times New Roman"/>
                <w:b/>
                <w:bCs/>
                <w:sz w:val="16"/>
              </w:rPr>
              <w:t xml:space="preserve">63.16 ± 2.45</w:t>
            </w:r>
          </w:p>
        </w:tc>
        <w:tc>
          <w:tcPr>
            <w:tcW w:type="dxa" w:w="1020"/>
            <w:vAlign w:val="center"/>
          </w:tcPr>
          <w:p>
            <w:pPr>
              <w:pStyle w:val="Compact"/>
              <w:spacing w:before="0" w:after="0" w:line="240" w:lineRule="auto"/>
              <w:jc w:val="center"/>
            </w:pPr>
            <w:r>
              <w:rPr>
                <w:rFonts w:ascii="Times New Roman" w:hAnsi="Times New Roman" w:eastAsia="Times New Roman"/>
                <w:b/>
                <w:bCs/>
                <w:sz w:val="16"/>
              </w:rPr>
              <w:t xml:space="preserve">75.48 ± 1.15</w:t>
            </w:r>
          </w:p>
        </w:tc>
        <w:tc>
          <w:tcPr>
            <w:tcW w:type="dxa" w:w="1020"/>
            <w:vAlign w:val="center"/>
          </w:tcPr>
          <w:p>
            <w:pPr>
              <w:pStyle w:val="Compact"/>
              <w:spacing w:before="0" w:after="0" w:line="240" w:lineRule="auto"/>
              <w:jc w:val="center"/>
            </w:pPr>
            <w:r>
              <w:rPr>
                <w:rFonts w:ascii="Times New Roman" w:hAnsi="Times New Roman" w:eastAsia="Times New Roman"/>
                <w:sz w:val="16"/>
              </w:rPr>
              <w:t xml:space="preserve">50.18 ± 4.40</w:t>
            </w:r>
          </w:p>
        </w:tc>
        <w:tc>
          <w:tcPr>
            <w:tcW w:type="dxa" w:w="1020"/>
            <w:vAlign w:val="center"/>
          </w:tcPr>
          <w:p>
            <w:pPr>
              <w:pStyle w:val="Compact"/>
              <w:spacing w:before="0" w:after="0" w:line="240" w:lineRule="auto"/>
              <w:jc w:val="center"/>
            </w:pPr>
            <w:r>
              <w:rPr>
                <w:rFonts w:ascii="Times New Roman" w:hAnsi="Times New Roman" w:eastAsia="Times New Roman"/>
                <w:sz w:val="16"/>
              </w:rPr>
              <w:t xml:space="preserve">33.61 ± 3.89</w:t>
            </w:r>
          </w:p>
        </w:tc>
        <w:tc>
          <w:tcPr>
            <w:tcW w:type="dxa" w:w="1020"/>
            <w:vAlign w:val="center"/>
          </w:tcPr>
          <w:p>
            <w:pPr>
              <w:pStyle w:val="Compact"/>
              <w:spacing w:before="0" w:after="0" w:line="240" w:lineRule="auto"/>
              <w:jc w:val="center"/>
            </w:pPr>
            <w:r>
              <w:rPr>
                <w:rFonts w:ascii="Times New Roman" w:hAnsi="Times New Roman" w:eastAsia="Times New Roman"/>
                <w:sz w:val="16"/>
              </w:rPr>
              <w:t xml:space="preserve">63.79 ± 1.88</w:t>
            </w:r>
          </w:p>
        </w:tc>
      </w:tr>
      <w:tr>
        <w:trPr>
          <w:cantSplit w:val="true"/>
        </w:trPr>
        <w:tc>
          <w:tcPr>
            <w:tcW w:type="dxa" w:w="2835"/>
            <w:vAlign w:val="center"/>
          </w:tcPr>
          <w:p>
            <w:pPr>
              <w:pStyle w:val="Compact"/>
              <w:spacing w:before="0" w:after="0" w:line="240" w:lineRule="auto"/>
              <w:jc w:val="left"/>
            </w:pPr>
            <w:r>
              <w:rPr>
                <w:rFonts w:ascii="Times New Roman" w:hAnsi="Times New Roman" w:eastAsia="Times New Roman"/>
                <w:sz w:val="16"/>
              </w:rPr>
              <w:t xml:space="preserve">w/o Local Incidence Angle (No-LIA)</w:t>
            </w:r>
          </w:p>
        </w:tc>
        <w:tc>
          <w:tcPr>
            <w:tcW w:type="dxa" w:w="1020"/>
            <w:vAlign w:val="center"/>
          </w:tcPr>
          <w:p>
            <w:pPr>
              <w:pStyle w:val="Compact"/>
              <w:spacing w:before="0" w:after="0" w:line="240" w:lineRule="auto"/>
              <w:jc w:val="center"/>
            </w:pPr>
            <w:r>
              <w:rPr>
                <w:rFonts w:ascii="Times New Roman" w:hAnsi="Times New Roman" w:eastAsia="Times New Roman"/>
                <w:sz w:val="16"/>
              </w:rPr>
              <w:t xml:space="preserve">75.67 ± 1.76</w:t>
            </w:r>
          </w:p>
        </w:tc>
        <w:tc>
          <w:tcPr>
            <w:tcW w:type="dxa" w:w="1020"/>
            <w:vAlign w:val="center"/>
          </w:tcPr>
          <w:p>
            <w:pPr>
              <w:pStyle w:val="Compact"/>
              <w:spacing w:before="0" w:after="0" w:line="240" w:lineRule="auto"/>
              <w:jc w:val="center"/>
            </w:pPr>
            <w:r>
              <w:rPr>
                <w:rFonts w:ascii="Times New Roman" w:hAnsi="Times New Roman" w:eastAsia="Times New Roman"/>
                <w:sz w:val="16"/>
              </w:rPr>
              <w:t xml:space="preserve">60.89 ± 2.26</w:t>
            </w:r>
          </w:p>
        </w:tc>
        <w:tc>
          <w:tcPr>
            <w:tcW w:type="dxa" w:w="1020"/>
            <w:vAlign w:val="center"/>
          </w:tcPr>
          <w:p>
            <w:pPr>
              <w:pStyle w:val="Compact"/>
              <w:spacing w:before="0" w:after="0" w:line="240" w:lineRule="auto"/>
              <w:jc w:val="center"/>
            </w:pPr>
            <w:r>
              <w:rPr>
                <w:rFonts w:ascii="Times New Roman" w:hAnsi="Times New Roman" w:eastAsia="Times New Roman"/>
                <w:sz w:val="16"/>
              </w:rPr>
              <w:t xml:space="preserve">71.02 ± 2.80</w:t>
            </w:r>
          </w:p>
        </w:tc>
        <w:tc>
          <w:tcPr>
            <w:tcW w:type="dxa" w:w="1020"/>
            <w:vAlign w:val="center"/>
          </w:tcPr>
          <w:p>
            <w:pPr>
              <w:pStyle w:val="Compact"/>
              <w:spacing w:before="0" w:after="0" w:line="240" w:lineRule="auto"/>
              <w:jc w:val="center"/>
            </w:pPr>
            <w:r>
              <w:rPr>
                <w:rFonts w:ascii="Times New Roman" w:hAnsi="Times New Roman" w:eastAsia="Times New Roman"/>
                <w:sz w:val="16"/>
              </w:rPr>
              <w:t xml:space="preserve">52.13 ± 1.11</w:t>
            </w:r>
          </w:p>
        </w:tc>
        <w:tc>
          <w:tcPr>
            <w:tcW w:type="dxa" w:w="1020"/>
            <w:vAlign w:val="center"/>
          </w:tcPr>
          <w:p>
            <w:pPr>
              <w:pStyle w:val="Compact"/>
              <w:spacing w:before="0" w:after="0" w:line="240" w:lineRule="auto"/>
              <w:jc w:val="center"/>
            </w:pPr>
            <w:r>
              <w:rPr>
                <w:rFonts w:ascii="Times New Roman" w:hAnsi="Times New Roman" w:eastAsia="Times New Roman"/>
                <w:sz w:val="16"/>
              </w:rPr>
              <w:t xml:space="preserve">35.26 ± 1.01</w:t>
            </w:r>
          </w:p>
        </w:tc>
        <w:tc>
          <w:tcPr>
            <w:tcW w:type="dxa" w:w="1020"/>
            <w:vAlign w:val="center"/>
          </w:tcPr>
          <w:p>
            <w:pPr>
              <w:pStyle w:val="Compact"/>
              <w:spacing w:before="0" w:after="0" w:line="240" w:lineRule="auto"/>
              <w:jc w:val="center"/>
            </w:pPr>
            <w:r>
              <w:rPr>
                <w:rFonts w:ascii="Times New Roman" w:hAnsi="Times New Roman" w:eastAsia="Times New Roman"/>
                <w:sz w:val="16"/>
              </w:rPr>
              <w:t xml:space="preserve">63.90 ± 1.37</w:t>
            </w:r>
          </w:p>
        </w:tc>
      </w:tr>
      <w:tr>
        <w:trPr>
          <w:cantSplit w:val="true"/>
        </w:trPr>
        <w:tc>
          <w:tcPr>
            <w:tcW w:type="dxa" w:w="2835"/>
            <w:vAlign w:val="center"/>
          </w:tcPr>
          <w:p>
            <w:pPr>
              <w:pStyle w:val="Compact"/>
              <w:spacing w:before="0" w:after="0" w:line="240" w:lineRule="auto"/>
              <w:jc w:val="left"/>
            </w:pPr>
            <w:r>
              <w:rPr>
                <w:rFonts w:ascii="Times New Roman" w:hAnsi="Times New Roman" w:eastAsia="Times New Roman"/>
                <w:sz w:val="16"/>
              </w:rPr>
              <w:t xml:space="preserve">w/o Cross-Attention (No-CrossAttn)</w:t>
            </w:r>
          </w:p>
        </w:tc>
        <w:tc>
          <w:tcPr>
            <w:tcW w:type="dxa" w:w="1020"/>
            <w:vAlign w:val="center"/>
          </w:tcPr>
          <w:p>
            <w:pPr>
              <w:pStyle w:val="Compact"/>
              <w:spacing w:before="0" w:after="0" w:line="240" w:lineRule="auto"/>
              <w:jc w:val="center"/>
            </w:pPr>
            <w:r>
              <w:rPr>
                <w:rFonts w:ascii="Times New Roman" w:hAnsi="Times New Roman" w:eastAsia="Times New Roman"/>
                <w:sz w:val="16"/>
              </w:rPr>
              <w:t xml:space="preserve">76.85 ± 0.80</w:t>
            </w:r>
          </w:p>
        </w:tc>
        <w:tc>
          <w:tcPr>
            <w:tcW w:type="dxa" w:w="1020"/>
            <w:vAlign w:val="center"/>
          </w:tcPr>
          <w:p>
            <w:pPr>
              <w:pStyle w:val="Compact"/>
              <w:spacing w:before="0" w:after="0" w:line="240" w:lineRule="auto"/>
              <w:jc w:val="center"/>
            </w:pPr>
            <w:r>
              <w:rPr>
                <w:rFonts w:ascii="Times New Roman" w:hAnsi="Times New Roman" w:eastAsia="Times New Roman"/>
                <w:sz w:val="16"/>
              </w:rPr>
              <w:t xml:space="preserve">62.41 ± 1.06</w:t>
            </w:r>
          </w:p>
        </w:tc>
        <w:tc>
          <w:tcPr>
            <w:tcW w:type="dxa" w:w="1020"/>
            <w:vAlign w:val="center"/>
          </w:tcPr>
          <w:p>
            <w:pPr>
              <w:pStyle w:val="Compact"/>
              <w:spacing w:before="0" w:after="0" w:line="240" w:lineRule="auto"/>
              <w:jc w:val="center"/>
            </w:pPr>
            <w:r>
              <w:rPr>
                <w:rFonts w:ascii="Times New Roman" w:hAnsi="Times New Roman" w:eastAsia="Times New Roman"/>
                <w:sz w:val="16"/>
              </w:rPr>
              <w:t xml:space="preserve">70.77 ± 2.20</w:t>
            </w:r>
          </w:p>
        </w:tc>
        <w:tc>
          <w:tcPr>
            <w:tcW w:type="dxa" w:w="1020"/>
            <w:vAlign w:val="center"/>
          </w:tcPr>
          <w:p>
            <w:pPr>
              <w:pStyle w:val="Compact"/>
              <w:spacing w:before="0" w:after="0" w:line="240" w:lineRule="auto"/>
              <w:jc w:val="center"/>
            </w:pPr>
            <w:r>
              <w:rPr>
                <w:rFonts w:ascii="Times New Roman" w:hAnsi="Times New Roman" w:eastAsia="Times New Roman"/>
                <w:sz w:val="16"/>
              </w:rPr>
              <w:t xml:space="preserve">53.30 ± 0.93</w:t>
            </w:r>
          </w:p>
        </w:tc>
        <w:tc>
          <w:tcPr>
            <w:tcW w:type="dxa" w:w="1020"/>
            <w:vAlign w:val="center"/>
          </w:tcPr>
          <w:p>
            <w:pPr>
              <w:pStyle w:val="Compact"/>
              <w:spacing w:before="0" w:after="0" w:line="240" w:lineRule="auto"/>
              <w:jc w:val="center"/>
            </w:pPr>
            <w:r>
              <w:rPr>
                <w:rFonts w:ascii="Times New Roman" w:hAnsi="Times New Roman" w:eastAsia="Times New Roman"/>
                <w:sz w:val="16"/>
              </w:rPr>
              <w:t xml:space="preserve">36.34 ± 0.87</w:t>
            </w:r>
          </w:p>
        </w:tc>
        <w:tc>
          <w:tcPr>
            <w:tcW w:type="dxa" w:w="1020"/>
            <w:vAlign w:val="center"/>
          </w:tcPr>
          <w:p>
            <w:pPr>
              <w:pStyle w:val="Compact"/>
              <w:spacing w:before="0" w:after="0" w:line="240" w:lineRule="auto"/>
              <w:jc w:val="center"/>
            </w:pPr>
            <w:r>
              <w:rPr>
                <w:rFonts w:ascii="Times New Roman" w:hAnsi="Times New Roman" w:eastAsia="Times New Roman"/>
                <w:sz w:val="16"/>
              </w:rPr>
              <w:t xml:space="preserve">65.07 ± 0.53</w:t>
            </w:r>
          </w:p>
        </w:tc>
      </w:tr>
      <w:tr>
        <w:trPr>
          <w:cantSplit w:val="true"/>
        </w:trPr>
        <w:tc>
          <w:tcPr>
            <w:tcW w:type="dxa" w:w="2835"/>
            <w:vAlign w:val="center"/>
          </w:tcPr>
          <w:p>
            <w:pPr>
              <w:pStyle w:val="Compact"/>
              <w:spacing w:before="0" w:after="0" w:line="240" w:lineRule="auto"/>
              <w:jc w:val="left"/>
            </w:pPr>
            <w:r>
              <w:rPr>
                <w:rFonts w:ascii="Times New Roman" w:hAnsi="Times New Roman" w:eastAsia="Times New Roman"/>
                <w:sz w:val="16"/>
              </w:rPr>
              <w:t xml:space="preserve">w/o Geomorphic Loss (No-GeoLoss)</w:t>
            </w:r>
          </w:p>
        </w:tc>
        <w:tc>
          <w:tcPr>
            <w:tcW w:type="dxa" w:w="1020"/>
            <w:vAlign w:val="center"/>
          </w:tcPr>
          <w:p>
            <w:pPr>
              <w:pStyle w:val="Compact"/>
              <w:spacing w:before="0" w:after="0" w:line="240" w:lineRule="auto"/>
              <w:jc w:val="center"/>
            </w:pPr>
            <w:r>
              <w:rPr>
                <w:rFonts w:ascii="Times New Roman" w:hAnsi="Times New Roman" w:eastAsia="Times New Roman"/>
                <w:sz w:val="16"/>
              </w:rPr>
              <w:t xml:space="preserve">76.70 ± 0.91</w:t>
            </w:r>
          </w:p>
        </w:tc>
        <w:tc>
          <w:tcPr>
            <w:tcW w:type="dxa" w:w="1020"/>
            <w:vAlign w:val="center"/>
          </w:tcPr>
          <w:p>
            <w:pPr>
              <w:pStyle w:val="Compact"/>
              <w:spacing w:before="0" w:after="0" w:line="240" w:lineRule="auto"/>
              <w:jc w:val="center"/>
            </w:pPr>
            <w:r>
              <w:rPr>
                <w:rFonts w:ascii="Times New Roman" w:hAnsi="Times New Roman" w:eastAsia="Times New Roman"/>
                <w:sz w:val="16"/>
              </w:rPr>
              <w:t xml:space="preserve">62.22 ± 1.20</w:t>
            </w:r>
          </w:p>
        </w:tc>
        <w:tc>
          <w:tcPr>
            <w:tcW w:type="dxa" w:w="1020"/>
            <w:vAlign w:val="center"/>
          </w:tcPr>
          <w:p>
            <w:pPr>
              <w:pStyle w:val="Compact"/>
              <w:spacing w:before="0" w:after="0" w:line="240" w:lineRule="auto"/>
              <w:jc w:val="center"/>
            </w:pPr>
            <w:r>
              <w:rPr>
                <w:rFonts w:ascii="Times New Roman" w:hAnsi="Times New Roman" w:eastAsia="Times New Roman"/>
                <w:sz w:val="16"/>
              </w:rPr>
              <w:t xml:space="preserve">72.50 ± 2.15</w:t>
            </w:r>
          </w:p>
        </w:tc>
        <w:tc>
          <w:tcPr>
            <w:tcW w:type="dxa" w:w="1020"/>
            <w:vAlign w:val="center"/>
          </w:tcPr>
          <w:p>
            <w:pPr>
              <w:pStyle w:val="Compact"/>
              <w:spacing w:before="0" w:after="0" w:line="240" w:lineRule="auto"/>
              <w:jc w:val="center"/>
            </w:pPr>
            <w:r>
              <w:rPr>
                <w:rFonts w:ascii="Times New Roman" w:hAnsi="Times New Roman" w:eastAsia="Times New Roman"/>
                <w:sz w:val="16"/>
              </w:rPr>
              <w:t xml:space="preserve">51.99 ± 1.31</w:t>
            </w:r>
          </w:p>
        </w:tc>
        <w:tc>
          <w:tcPr>
            <w:tcW w:type="dxa" w:w="1020"/>
            <w:vAlign w:val="center"/>
          </w:tcPr>
          <w:p>
            <w:pPr>
              <w:pStyle w:val="Compact"/>
              <w:spacing w:before="0" w:after="0" w:line="240" w:lineRule="auto"/>
              <w:jc w:val="center"/>
            </w:pPr>
            <w:r>
              <w:rPr>
                <w:rFonts w:ascii="Times New Roman" w:hAnsi="Times New Roman" w:eastAsia="Times New Roman"/>
                <w:sz w:val="16"/>
              </w:rPr>
              <w:t xml:space="preserve">35.14 ± 1.20</w:t>
            </w:r>
          </w:p>
        </w:tc>
        <w:tc>
          <w:tcPr>
            <w:tcW w:type="dxa" w:w="1020"/>
            <w:vAlign w:val="center"/>
          </w:tcPr>
          <w:p>
            <w:pPr>
              <w:pStyle w:val="Compact"/>
              <w:spacing w:before="0" w:after="0" w:line="240" w:lineRule="auto"/>
              <w:jc w:val="center"/>
            </w:pPr>
            <w:r>
              <w:rPr>
                <w:rFonts w:ascii="Times New Roman" w:hAnsi="Times New Roman" w:eastAsia="Times New Roman"/>
                <w:sz w:val="16"/>
              </w:rPr>
              <w:t xml:space="preserve">64.35 ± 1.05</w:t>
            </w:r>
          </w:p>
        </w:tc>
      </w:tr>
      <w:tr>
        <w:trPr>
          <w:cantSplit w:val="true"/>
        </w:trPr>
        <w:tc>
          <w:tcPr>
            <w:tcW w:type="dxa" w:w="2835"/>
            <w:vAlign w:val="center"/>
          </w:tcPr>
          <w:p>
            <w:pPr>
              <w:pStyle w:val="Compact"/>
              <w:spacing w:before="0" w:after="0" w:line="240" w:lineRule="auto"/>
              <w:jc w:val="left"/>
            </w:pPr>
            <w:r>
              <w:rPr>
                <w:rFonts w:ascii="Times New Roman" w:hAnsi="Times New Roman" w:eastAsia="Times New Roman"/>
                <w:sz w:val="16"/>
              </w:rPr>
              <w:t xml:space="preserve">w/o Aspect Alignment (No-Aspect)</w:t>
            </w:r>
          </w:p>
        </w:tc>
        <w:tc>
          <w:tcPr>
            <w:tcW w:type="dxa" w:w="1020"/>
            <w:vAlign w:val="center"/>
          </w:tcPr>
          <w:p>
            <w:pPr>
              <w:pStyle w:val="Compact"/>
              <w:spacing w:before="0" w:after="0" w:line="240" w:lineRule="auto"/>
              <w:jc w:val="center"/>
            </w:pPr>
            <w:r>
              <w:rPr>
                <w:rFonts w:ascii="Times New Roman" w:hAnsi="Times New Roman" w:eastAsia="Times New Roman"/>
                <w:sz w:val="16"/>
              </w:rPr>
              <w:t xml:space="preserve">77.38 ± 2.66</w:t>
            </w:r>
          </w:p>
        </w:tc>
        <w:tc>
          <w:tcPr>
            <w:tcW w:type="dxa" w:w="1020"/>
            <w:vAlign w:val="center"/>
          </w:tcPr>
          <w:p>
            <w:pPr>
              <w:pStyle w:val="Compact"/>
              <w:spacing w:before="0" w:after="0" w:line="240" w:lineRule="auto"/>
              <w:jc w:val="center"/>
            </w:pPr>
            <w:r>
              <w:rPr>
                <w:rFonts w:ascii="Times New Roman" w:hAnsi="Times New Roman" w:eastAsia="Times New Roman"/>
                <w:sz w:val="16"/>
              </w:rPr>
              <w:t xml:space="preserve">63.18 ± 3.49</w:t>
            </w:r>
          </w:p>
        </w:tc>
        <w:tc>
          <w:tcPr>
            <w:tcW w:type="dxa" w:w="1020"/>
            <w:vAlign w:val="center"/>
          </w:tcPr>
          <w:p>
            <w:pPr>
              <w:pStyle w:val="Compact"/>
              <w:spacing w:before="0" w:after="0" w:line="240" w:lineRule="auto"/>
              <w:jc w:val="center"/>
            </w:pPr>
            <w:r>
              <w:rPr>
                <w:rFonts w:ascii="Times New Roman" w:hAnsi="Times New Roman" w:eastAsia="Times New Roman"/>
                <w:sz w:val="16"/>
              </w:rPr>
              <w:t xml:space="preserve">71.19 ± 3.40</w:t>
            </w:r>
          </w:p>
        </w:tc>
        <w:tc>
          <w:tcPr>
            <w:tcW w:type="dxa" w:w="1020"/>
            <w:vAlign w:val="center"/>
          </w:tcPr>
          <w:p>
            <w:pPr>
              <w:pStyle w:val="Compact"/>
              <w:spacing w:before="0" w:after="0" w:line="240" w:lineRule="auto"/>
              <w:jc w:val="center"/>
            </w:pPr>
            <w:r>
              <w:rPr>
                <w:rFonts w:ascii="Times New Roman" w:hAnsi="Times New Roman" w:eastAsia="Times New Roman"/>
                <w:b/>
                <w:bCs/>
                <w:sz w:val="16"/>
              </w:rPr>
              <w:t xml:space="preserve">53.32 ± 0.42</w:t>
            </w:r>
          </w:p>
        </w:tc>
        <w:tc>
          <w:tcPr>
            <w:tcW w:type="dxa" w:w="1020"/>
            <w:vAlign w:val="center"/>
          </w:tcPr>
          <w:p>
            <w:pPr>
              <w:pStyle w:val="Compact"/>
              <w:spacing w:before="0" w:after="0" w:line="240" w:lineRule="auto"/>
              <w:jc w:val="center"/>
            </w:pPr>
            <w:r>
              <w:rPr>
                <w:rFonts w:ascii="Times New Roman" w:hAnsi="Times New Roman" w:eastAsia="Times New Roman"/>
                <w:b/>
                <w:bCs/>
                <w:sz w:val="16"/>
              </w:rPr>
              <w:t xml:space="preserve">36.35 ± 0.39</w:t>
            </w:r>
          </w:p>
        </w:tc>
        <w:tc>
          <w:tcPr>
            <w:tcW w:type="dxa" w:w="1020"/>
            <w:vAlign w:val="center"/>
          </w:tcPr>
          <w:p>
            <w:pPr>
              <w:pStyle w:val="Compact"/>
              <w:spacing w:before="0" w:after="0" w:line="240" w:lineRule="auto"/>
              <w:jc w:val="center"/>
            </w:pPr>
            <w:r>
              <w:rPr>
                <w:rFonts w:ascii="Times New Roman" w:hAnsi="Times New Roman" w:eastAsia="Times New Roman"/>
                <w:b/>
                <w:bCs/>
                <w:sz w:val="16"/>
              </w:rPr>
              <w:t xml:space="preserve">65.35 ± 1.54</w:t>
            </w:r>
          </w:p>
        </w:tc>
      </w:tr>
    </w:tbl>
    <w:p>
      <w:pPr>
        <w:pStyle w:val="BodyText"/>
        <w:spacing w:after="0" w:line="240" w:lineRule="auto"/>
      </w:pPr>
      <w:r>
        <w:rPr>
          <w:rFonts w:ascii="Times New Roman" w:hAnsi="Times New Roman" w:eastAsia="Times New Roman"/>
          <w:sz w:val="20"/>
        </w:rPr>
        <w:t xml:space="preserve">The ablation results in Table 5 provide nuanced empirical insights into the regional dependence of radar-topographic conditioning:</w:t>
      </w:r>
    </w:p>
    <w:p>
      <w:pPr>
        <w:numPr>
          <w:ilvl w:val="0"/>
          <w:numId w:val="1006"/>
        </w:numPr>
        <w:spacing w:after="0" w:line="240" w:lineRule="auto"/>
      </w:pPr>
      <w:r>
        <w:rPr>
          <w:rFonts w:ascii="Times New Roman" w:hAnsi="Times New Roman" w:eastAsia="Times New Roman"/>
          <w:b/>
          <w:bCs/>
          <w:sz w:val="20"/>
        </w:rPr>
        <w:t xml:space="preserve">Maritime Alpine Setting (Troms</w:t>
      </w:r>
      <w:r>
        <w:rPr>
          <w:rFonts w:ascii="Times New Roman" w:hAnsi="Times New Roman" w:eastAsia="Times New Roman"/>
          <w:b/>
          <w:bCs/>
          <w:sz w:val="20"/>
        </w:rPr>
        <w:t xml:space="preserve">ø</w:t>
      </w:r>
      <w:r>
        <w:rPr>
          <w:rFonts w:ascii="Times New Roman" w:hAnsi="Times New Roman" w:eastAsia="Times New Roman"/>
          <w:b/>
          <w:bCs/>
          <w:sz w:val="20"/>
        </w:rPr>
        <w:t xml:space="preserve">):</w:t>
      </w:r>
      <w:r>
        <w:rPr>
          <w:rFonts w:ascii="Times New Roman" w:hAnsi="Times New Roman" w:eastAsia="Times New Roman"/>
          <w:sz w:val="20"/>
        </w:rPr>
        <w:t xml:space="preserve"> </w:t>
      </w:r>
      <w:r>
        <w:rPr>
          <w:rFonts w:ascii="Times New Roman" w:hAnsi="Times New Roman" w:eastAsia="Times New Roman"/>
          <w:sz w:val="20"/>
        </w:rPr>
        <w:t xml:space="preserve">In coastal Arctic mountains where fjord slopes cause severe radar foreshortening, the full TopoRadar-Net architecture records</w:t>
      </w:r>
      <w:r>
        <w:rPr>
          <w:rFonts w:ascii="Times New Roman" w:hAnsi="Times New Roman" w:eastAsia="Times New Roman"/>
          <w:sz w:val="20"/>
        </w:rPr>
        <w:t xml:space="preserve"> </w:t>
      </w:r>
      <m:oMath>
        <m:r>
          <m:t>77.40</m:t>
        </m:r>
        <m:r>
          <m:rPr>
            <m:sty m:val="p"/>
          </m:rPr>
          <m:t>%</m:t>
        </m:r>
        <m:r>
          <m:rPr>
            <m:sty m:val="p"/>
          </m:rPr>
          <m:t>±</m:t>
        </m:r>
        <m:r>
          <m:t>1.86</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F1 and</w:t>
      </w:r>
      <w:r>
        <w:rPr>
          <w:rFonts w:ascii="Times New Roman" w:hAnsi="Times New Roman" w:eastAsia="Times New Roman"/>
          <w:sz w:val="20"/>
        </w:rPr>
        <w:t xml:space="preserve"> </w:t>
      </w:r>
      <m:oMath>
        <m:r>
          <m:t>63.16</m:t>
        </m:r>
        <m:r>
          <m:rPr>
            <m:sty m:val="p"/>
          </m:rPr>
          <m:t>%</m:t>
        </m:r>
        <m:r>
          <m:rPr>
            <m:sty m:val="p"/>
          </m:rPr>
          <m:t>±</m:t>
        </m:r>
        <m:r>
          <m:t>2.45</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IoU. The Seed-42 paired cluster comparison with No-LIA records a</w:t>
      </w:r>
      <w:r>
        <w:rPr>
          <w:rFonts w:ascii="Times New Roman" w:hAnsi="Times New Roman" w:eastAsia="Times New Roman"/>
          <w:sz w:val="20"/>
        </w:rPr>
        <w:t xml:space="preserve"> </w:t>
      </w:r>
      <m:oMath>
        <m:r>
          <m:rPr>
            <m:sty m:val="p"/>
          </m:rPr>
          <m:t>+</m:t>
        </m:r>
        <m:r>
          <m:t>2.04</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F1 difference (</w:t>
      </w:r>
      <m:oMath>
        <m:r>
          <m:t>p</m:t>
        </m:r>
        <m:r>
          <m:rPr>
            <m:sty m:val="p"/>
          </m:rPr>
          <m:t>&lt;</m:t>
        </m:r>
        <m:r>
          <m:t>0.001</m:t>
        </m:r>
      </m:oMath>
      <w:r>
        <w:rPr>
          <w:rFonts w:ascii="Times New Roman" w:hAnsi="Times New Roman" w:eastAsia="Times New Roman"/>
          <w:sz w:val="20"/>
        </w:rPr>
        <w:t xml:space="preserve">), establishing sensitivity to the component rather than a causal normalization mechanism.</w:t>
      </w:r>
    </w:p>
    <w:p>
      <w:pPr>
        <w:numPr>
          <w:ilvl w:val="0"/>
          <w:numId w:val="1006"/>
        </w:numPr>
        <w:spacing w:after="0" w:line="240" w:lineRule="auto"/>
      </w:pPr>
      <w:r>
        <w:rPr>
          <w:rFonts w:ascii="Times New Roman" w:hAnsi="Times New Roman" w:eastAsia="Times New Roman"/>
          <w:b/>
          <w:bCs/>
          <w:sz w:val="20"/>
        </w:rPr>
        <w:t xml:space="preserve">Cross-Attention vs. Concatenation:</w:t>
      </w:r>
      <w:r>
        <w:rPr>
          <w:rFonts w:ascii="Times New Roman" w:hAnsi="Times New Roman" w:eastAsia="Times New Roman"/>
          <w:sz w:val="20"/>
        </w:rPr>
        <w:t xml:space="preserve"> </w:t>
      </w:r>
      <w:r>
        <w:rPr>
          <w:rFonts w:ascii="Times New Roman" w:hAnsi="Times New Roman" w:eastAsia="Times New Roman"/>
          <w:sz w:val="20"/>
        </w:rPr>
        <w:t xml:space="preserve">Replacing RTCAB cross-attention with naive channel concatenation reduces precision from</w:t>
      </w:r>
      <w:r>
        <w:rPr>
          <w:rFonts w:ascii="Times New Roman" w:hAnsi="Times New Roman" w:eastAsia="Times New Roman"/>
          <w:sz w:val="20"/>
        </w:rPr>
        <w:t xml:space="preserve"> </w:t>
      </w:r>
      <m:oMath>
        <m:r>
          <m:t>75.48</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to</w:t>
      </w:r>
      <w:r>
        <w:rPr>
          <w:rFonts w:ascii="Times New Roman" w:hAnsi="Times New Roman" w:eastAsia="Times New Roman"/>
          <w:sz w:val="20"/>
        </w:rPr>
        <w:t xml:space="preserve"> </w:t>
      </w:r>
      <m:oMath>
        <m:r>
          <m:t>70.77</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in Troms</w:t>
      </w:r>
      <w:r>
        <w:rPr>
          <w:rFonts w:ascii="Times New Roman" w:hAnsi="Times New Roman" w:eastAsia="Times New Roman"/>
          <w:sz w:val="20"/>
        </w:rPr>
        <w:t xml:space="preserve">ø</w:t>
      </w:r>
      <w:r>
        <w:rPr>
          <w:rFonts w:ascii="Times New Roman" w:hAnsi="Times New Roman" w:eastAsia="Times New Roman"/>
          <w:sz w:val="20"/>
        </w:rPr>
        <w:t xml:space="preserve"> </w:t>
      </w:r>
      <w:r>
        <w:rPr>
          <w:rFonts w:ascii="Times New Roman" w:hAnsi="Times New Roman" w:eastAsia="Times New Roman"/>
          <w:sz w:val="20"/>
        </w:rPr>
        <w:t xml:space="preserve">(a</w:t>
      </w:r>
      <w:r>
        <w:rPr>
          <w:rFonts w:ascii="Times New Roman" w:hAnsi="Times New Roman" w:eastAsia="Times New Roman"/>
          <w:sz w:val="20"/>
        </w:rPr>
        <w:t xml:space="preserve"> </w:t>
      </w:r>
      <m:oMath>
        <m:r>
          <m:rPr>
            <m:sty m:val="p"/>
          </m:rPr>
          <m:t>−</m:t>
        </m:r>
        <m:r>
          <m:t>4.71</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precision penalty) and incurs a paired bootstrap drop of</w:t>
      </w:r>
      <w:r>
        <w:rPr>
          <w:rFonts w:ascii="Times New Roman" w:hAnsi="Times New Roman" w:eastAsia="Times New Roman"/>
          <w:sz w:val="20"/>
        </w:rPr>
        <w:t xml:space="preserve"> </w:t>
      </w:r>
      <m:oMath>
        <m:r>
          <m:rPr>
            <m:sty m:val="p"/>
          </m:rPr>
          <m:t>−</m:t>
        </m:r>
        <m:r>
          <m:t>1.42</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F1 (</w:t>
      </w:r>
      <m:oMath>
        <m:r>
          <m:t>p</m:t>
        </m:r>
        <m:r>
          <m:rPr>
            <m:sty m:val="p"/>
          </m:rPr>
          <m:t>=</m:t>
        </m:r>
        <m:r>
          <m:t>0.010</m:t>
        </m:r>
      </m:oMath>
      <w:r>
        <w:rPr>
          <w:rFonts w:ascii="Times New Roman" w:hAnsi="Times New Roman" w:eastAsia="Times New Roman"/>
          <w:sz w:val="20"/>
        </w:rPr>
        <w:t xml:space="preserve">). However, on the extreme high-altitude Pamir Mountains, where massive relief causes extensive radar shadow, simpler unguided representations yield higher F1 (</w:t>
      </w:r>
      <m:oMath>
        <m:r>
          <m:t>53.30</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vs</w:t>
      </w:r>
      <w:r>
        <w:rPr>
          <w:rFonts w:ascii="Times New Roman" w:hAnsi="Times New Roman" w:eastAsia="Times New Roman"/>
          <w:sz w:val="20"/>
        </w:rPr>
        <w:t xml:space="preserve"> </w:t>
      </w:r>
      <m:oMath>
        <m:r>
          <m:t>50.18</m:t>
        </m:r>
        <m:r>
          <m:rPr>
            <m:sty m:val="p"/>
          </m:rPr>
          <m:t>%</m:t>
        </m:r>
      </m:oMath>
      <w:r>
        <w:rPr>
          <w:rFonts w:ascii="Times New Roman" w:hAnsi="Times New Roman" w:eastAsia="Times New Roman"/>
          <w:sz w:val="20"/>
        </w:rPr>
        <w:t xml:space="preserve">), reflecting the differing geomorphic character of continental versus maritime alpine regimes.</w:t>
      </w:r>
    </w:p>
    <w:p>
      <w:pPr>
        <w:numPr>
          <w:ilvl w:val="0"/>
          <w:numId w:val="1006"/>
        </w:numPr>
        <w:spacing w:after="0" w:line="240" w:lineRule="auto"/>
      </w:pPr>
      <w:r>
        <w:rPr>
          <w:rFonts w:ascii="Times New Roman" w:hAnsi="Times New Roman" w:eastAsia="Times New Roman"/>
          <w:b/>
          <w:bCs/>
          <w:sz w:val="20"/>
        </w:rPr>
        <w:t xml:space="preserve">Geo-Loss Trade-off and Construct Audit:</w:t>
      </w:r>
      <w:r>
        <w:rPr>
          <w:rFonts w:ascii="Times New Roman" w:hAnsi="Times New Roman" w:eastAsia="Times New Roman"/>
          <w:sz w:val="20"/>
        </w:rPr>
        <w:t xml:space="preserve"> </w:t>
      </w:r>
      <w:r>
        <w:rPr>
          <w:rFonts w:ascii="Times New Roman" w:hAnsi="Times New Roman" w:eastAsia="Times New Roman"/>
          <w:sz w:val="20"/>
        </w:rPr>
        <w:t xml:space="preserve">In Troms</w:t>
      </w:r>
      <w:r>
        <w:rPr>
          <w:rFonts w:ascii="Times New Roman" w:hAnsi="Times New Roman" w:eastAsia="Times New Roman"/>
          <w:sz w:val="20"/>
        </w:rPr>
        <w:t xml:space="preserve">ø</w:t>
      </w:r>
      <w:r>
        <w:rPr>
          <w:rFonts w:ascii="Times New Roman" w:hAnsi="Times New Roman" w:eastAsia="Times New Roman"/>
          <w:sz w:val="20"/>
        </w:rPr>
        <w:t xml:space="preserve">, removing Geo-Loss changes precision from</w:t>
      </w:r>
      <w:r>
        <w:rPr>
          <w:rFonts w:ascii="Times New Roman" w:hAnsi="Times New Roman" w:eastAsia="Times New Roman"/>
          <w:sz w:val="20"/>
        </w:rPr>
        <w:t xml:space="preserve"> </w:t>
      </w:r>
      <m:oMath>
        <m:r>
          <m:t>75.48</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to</w:t>
      </w:r>
      <w:r>
        <w:rPr>
          <w:rFonts w:ascii="Times New Roman" w:hAnsi="Times New Roman" w:eastAsia="Times New Roman"/>
          <w:sz w:val="20"/>
        </w:rPr>
        <w:t xml:space="preserve"> </w:t>
      </w:r>
      <m:oMath>
        <m:r>
          <m:t>72.50</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and F1 to</w:t>
      </w:r>
      <w:r>
        <w:rPr>
          <w:rFonts w:ascii="Times New Roman" w:hAnsi="Times New Roman" w:eastAsia="Times New Roman"/>
          <w:sz w:val="20"/>
        </w:rPr>
        <w:t xml:space="preserve"> </w:t>
      </w:r>
      <m:oMath>
        <m:r>
          <m:t>76.70</m:t>
        </m:r>
        <m:r>
          <m:rPr>
            <m:sty m:val="p"/>
          </m:rPr>
          <m:t>%</m:t>
        </m:r>
      </m:oMath>
      <w:r>
        <w:rPr>
          <w:rFonts w:ascii="Times New Roman" w:hAnsi="Times New Roman" w:eastAsia="Times New Roman"/>
          <w:sz w:val="20"/>
        </w:rPr>
        <w:t xml:space="preserve">, with a Seed-42 paired-cluster difference of</w:t>
      </w:r>
      <w:r>
        <w:rPr>
          <w:rFonts w:ascii="Times New Roman" w:hAnsi="Times New Roman" w:eastAsia="Times New Roman"/>
          <w:sz w:val="20"/>
        </w:rPr>
        <w:t xml:space="preserve"> </w:t>
      </w:r>
      <m:oMath>
        <m:r>
          <m:rPr>
            <m:sty m:val="p"/>
          </m:rPr>
          <m:t>+</m:t>
        </m:r>
        <m:r>
          <m:t>3.16</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w:t>
      </w:r>
      <m:oMath>
        <m:r>
          <m:t>p</m:t>
        </m:r>
        <m:r>
          <m:rPr>
            <m:sty m:val="p"/>
          </m:rPr>
          <m:t>=</m:t>
        </m:r>
        <m:r>
          <m:t>0.002</m:t>
        </m:r>
      </m:oMath>
      <w:r>
        <w:rPr>
          <w:rFonts w:ascii="Times New Roman" w:hAnsi="Times New Roman" w:eastAsia="Times New Roman"/>
          <w:sz w:val="20"/>
        </w:rPr>
        <w:t xml:space="preserve">). However, the heuristic penalty mask contains 19,663 of 106,442 valid positive training pixels (</w:t>
      </w:r>
      <m:oMath>
        <m:r>
          <m:t>18.47</m:t>
        </m:r>
        <m:r>
          <m:rPr>
            <m:sty m:val="p"/>
          </m:rPr>
          <m:t>%</m:t>
        </m:r>
      </m:oMath>
      <w:r>
        <w:rPr>
          <w:rFonts w:ascii="Times New Roman" w:hAnsi="Times New Roman" w:eastAsia="Times New Roman"/>
          <w:sz w:val="20"/>
        </w:rPr>
        <w:t xml:space="preserve">), 824 of 86,802 validation positives (</w:t>
      </w:r>
      <m:oMath>
        <m:r>
          <m:t>0.95</m:t>
        </m:r>
        <m:r>
          <m:rPr>
            <m:sty m:val="p"/>
          </m:rPr>
          <m:t>%</m:t>
        </m:r>
      </m:oMath>
      <w:r>
        <w:rPr>
          <w:rFonts w:ascii="Times New Roman" w:hAnsi="Times New Roman" w:eastAsia="Times New Roman"/>
          <w:sz w:val="20"/>
        </w:rPr>
        <w:t xml:space="preserve">), and 492 of 56,548 held-out positives (</w:t>
      </w:r>
      <m:oMath>
        <m:r>
          <m:t>0.87</m:t>
        </m:r>
        <m:r>
          <m:rPr>
            <m:sty m:val="p"/>
          </m:rPr>
          <m:t>%</m:t>
        </m:r>
      </m:oMath>
      <w:r>
        <w:rPr>
          <w:rFonts w:ascii="Times New Roman" w:hAnsi="Times New Roman" w:eastAsia="Times New Roman"/>
          <w:sz w:val="20"/>
        </w:rPr>
        <w:t xml:space="preserve">). Across three seeds, positive-pixel recall inside the held-out penalty stratum is lower for the full model than No-GeoLoss in Troms</w:t>
      </w:r>
      <w:r>
        <w:rPr>
          <w:rFonts w:ascii="Times New Roman" w:hAnsi="Times New Roman" w:eastAsia="Times New Roman"/>
          <w:sz w:val="20"/>
        </w:rPr>
        <w:t xml:space="preserve">ø</w:t>
      </w:r>
      <w:r>
        <w:rPr>
          <w:rFonts w:ascii="Times New Roman" w:hAnsi="Times New Roman" w:eastAsia="Times New Roman"/>
          <w:sz w:val="20"/>
        </w:rPr>
        <w:t xml:space="preserve"> </w:t>
      </w:r>
      <w:r>
        <w:rPr>
          <w:rFonts w:ascii="Times New Roman" w:hAnsi="Times New Roman" w:eastAsia="Times New Roman"/>
          <w:sz w:val="20"/>
        </w:rPr>
        <w:t xml:space="preserve">(</w:t>
      </w:r>
      <m:oMath>
        <m:r>
          <m:t>50.47</m:t>
        </m:r>
        <m:r>
          <m:rPr>
            <m:sty m:val="p"/>
          </m:rPr>
          <m:t>%</m:t>
        </m:r>
        <m:r>
          <m:rPr>
            <m:sty m:val="p"/>
          </m:rPr>
          <m:t>±</m:t>
        </m:r>
        <m:r>
          <m:t>3.18</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vs. </w:t>
      </w:r>
      <m:oMath>
        <m:r>
          <m:t>71.29</m:t>
        </m:r>
        <m:r>
          <m:rPr>
            <m:sty m:val="p"/>
          </m:rPr>
          <m:t>%</m:t>
        </m:r>
        <m:r>
          <m:rPr>
            <m:sty m:val="p"/>
          </m:rPr>
          <m:t>±</m:t>
        </m:r>
        <m:r>
          <m:t>6.39</m:t>
        </m:r>
        <m:r>
          <m:rPr>
            <m:sty m:val="p"/>
          </m:rPr>
          <m:t>%</m:t>
        </m:r>
      </m:oMath>
      <w:r>
        <w:rPr>
          <w:rFonts w:ascii="Times New Roman" w:hAnsi="Times New Roman" w:eastAsia="Times New Roman"/>
          <w:sz w:val="20"/>
        </w:rPr>
        <w:t xml:space="preserve">) and Pamir (</w:t>
      </w:r>
      <m:oMath>
        <m:r>
          <m:t>1.08</m:t>
        </m:r>
        <m:r>
          <m:rPr>
            <m:sty m:val="p"/>
          </m:rPr>
          <m:t>%</m:t>
        </m:r>
        <m:r>
          <m:rPr>
            <m:sty m:val="p"/>
          </m:rPr>
          <m:t>±</m:t>
        </m:r>
        <m:r>
          <m:t>1.52</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vs. </w:t>
      </w:r>
      <m:oMath>
        <m:r>
          <m:t>6.45</m:t>
        </m:r>
        <m:r>
          <m:rPr>
            <m:sty m:val="p"/>
          </m:rPr>
          <m:t>%</m:t>
        </m:r>
        <m:r>
          <m:rPr>
            <m:sty m:val="p"/>
          </m:rPr>
          <m:t>±</m:t>
        </m:r>
        <m:r>
          <m:t>6.97</m:t>
        </m:r>
        <m:r>
          <m:rPr>
            <m:sty m:val="p"/>
          </m:rPr>
          <m:t>%</m:t>
        </m:r>
      </m:oMath>
      <w:r>
        <w:rPr>
          <w:rFonts w:ascii="Times New Roman" w:hAnsi="Times New Roman" w:eastAsia="Times New Roman"/>
          <w:sz w:val="20"/>
        </w:rPr>
        <w:t xml:space="preserve">). The full model’s penalty-stratum F1 is higher in Troms</w:t>
      </w:r>
      <w:r>
        <w:rPr>
          <w:rFonts w:ascii="Times New Roman" w:hAnsi="Times New Roman" w:eastAsia="Times New Roman"/>
          <w:sz w:val="20"/>
        </w:rPr>
        <w:t xml:space="preserve">ø</w:t>
      </w:r>
      <w:r>
        <w:rPr>
          <w:rFonts w:ascii="Times New Roman" w:hAnsi="Times New Roman" w:eastAsia="Times New Roman"/>
          <w:sz w:val="20"/>
        </w:rPr>
        <w:t xml:space="preserve"> </w:t>
      </w:r>
      <w:r>
        <w:rPr>
          <w:rFonts w:ascii="Times New Roman" w:hAnsi="Times New Roman" w:eastAsia="Times New Roman"/>
          <w:sz w:val="20"/>
        </w:rPr>
        <w:t xml:space="preserve">(</w:t>
      </w:r>
      <m:oMath>
        <m:r>
          <m:t>55.10</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vs. </w:t>
      </w:r>
      <m:oMath>
        <m:r>
          <m:t>50.34</m:t>
        </m:r>
        <m:r>
          <m:rPr>
            <m:sty m:val="p"/>
          </m:rPr>
          <m:t>%</m:t>
        </m:r>
      </m:oMath>
      <w:r>
        <w:rPr>
          <w:rFonts w:ascii="Times New Roman" w:hAnsi="Times New Roman" w:eastAsia="Times New Roman"/>
          <w:sz w:val="20"/>
        </w:rPr>
        <w:t xml:space="preserve">) but lower in Pamir (</w:t>
      </w:r>
      <m:oMath>
        <m:r>
          <m:t>0.82</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vs. </w:t>
      </w:r>
      <m:oMath>
        <m:r>
          <m:t>2.77</m:t>
        </m:r>
        <m:r>
          <m:rPr>
            <m:sty m:val="p"/>
          </m:rPr>
          <m:t>%</m:t>
        </m:r>
      </m:oMath>
      <w:r>
        <w:rPr>
          <w:rFonts w:ascii="Times New Roman" w:hAnsi="Times New Roman" w:eastAsia="Times New Roman"/>
          <w:sz w:val="20"/>
        </w:rPr>
        <w:t xml:space="preserve">). Thus Geo-Loss is a precision–recall heuristic with a documented positive-label conflict, not a physical-admissibility mechanism.</w:t>
      </w:r>
    </w:p>
    <w:p>
      <w:pPr>
        <w:numPr>
          <w:ilvl w:val="0"/>
          <w:numId w:val="1006"/>
        </w:numPr>
        <w:spacing w:after="0" w:line="240" w:lineRule="auto"/>
      </w:pPr>
      <w:r>
        <w:rPr>
          <w:rFonts w:ascii="Times New Roman" w:hAnsi="Times New Roman" w:eastAsia="Times New Roman"/>
          <w:b/>
          <w:bCs/>
          <w:sz w:val="20"/>
        </w:rPr>
        <w:t xml:space="preserve">Disclosed Regime-Dependent Sensitivity:</w:t>
      </w:r>
      <w:r>
        <w:rPr>
          <w:rFonts w:ascii="Times New Roman" w:hAnsi="Times New Roman" w:eastAsia="Times New Roman"/>
          <w:sz w:val="20"/>
        </w:rPr>
        <w:t xml:space="preserve"> </w:t>
      </w:r>
      <w:r>
        <w:rPr>
          <w:rFonts w:ascii="Times New Roman" w:hAnsi="Times New Roman" w:eastAsia="Times New Roman"/>
          <w:sz w:val="20"/>
        </w:rPr>
        <w:t xml:space="preserve">On the pooled benchmark, the No-Aspect (</w:t>
      </w:r>
      <m:oMath>
        <m:r>
          <m:t>65.35</m:t>
        </m:r>
        <m:r>
          <m:rPr>
            <m:sty m:val="p"/>
          </m:rPr>
          <m:t>%</m:t>
        </m:r>
      </m:oMath>
      <w:r>
        <w:rPr>
          <w:rFonts w:ascii="Times New Roman" w:hAnsi="Times New Roman" w:eastAsia="Times New Roman"/>
          <w:sz w:val="20"/>
        </w:rPr>
        <w:t xml:space="preserve">) and No-CrossAttn (</w:t>
      </w:r>
      <m:oMath>
        <m:r>
          <m:t>65.07</m:t>
        </m:r>
        <m:r>
          <m:rPr>
            <m:sty m:val="p"/>
          </m:rPr>
          <m:t>%</m:t>
        </m:r>
      </m:oMath>
      <w:r>
        <w:rPr>
          <w:rFonts w:ascii="Times New Roman" w:hAnsi="Times New Roman" w:eastAsia="Times New Roman"/>
          <w:sz w:val="20"/>
        </w:rPr>
        <w:t xml:space="preserve">) ablations achieve slightly higher macro F1 than the full model (</w:t>
      </w:r>
      <m:oMath>
        <m:r>
          <m:t>63.79</m:t>
        </m:r>
        <m:r>
          <m:rPr>
            <m:sty m:val="p"/>
          </m:rPr>
          <m:t>%</m:t>
        </m:r>
      </m:oMath>
      <w:r>
        <w:rPr>
          <w:rFonts w:ascii="Times New Roman" w:hAnsi="Times New Roman" w:eastAsia="Times New Roman"/>
          <w:sz w:val="20"/>
        </w:rPr>
        <w:t xml:space="preserve">). This empirical finding is consistent with earlier observations by Gatti et al. </w:t>
      </w:r>
      <w:r>
        <w:rPr>
          <w:rFonts w:ascii="Times New Roman" w:hAnsi="Times New Roman" w:eastAsia="Times New Roman"/>
          <w:sz w:val="20"/>
        </w:rPr>
        <w:t xml:space="preserve">(Gatti et al. 2026)</w:t>
      </w:r>
      <w:r>
        <w:rPr>
          <w:rFonts w:ascii="Times New Roman" w:hAnsi="Times New Roman" w:eastAsia="Times New Roman"/>
          <w:sz w:val="20"/>
        </w:rPr>
        <w:t xml:space="preserve"> </w:t>
      </w:r>
      <w:r>
        <w:rPr>
          <w:rFonts w:ascii="Times New Roman" w:hAnsi="Times New Roman" w:eastAsia="Times New Roman"/>
          <w:sz w:val="20"/>
        </w:rPr>
        <w:t xml:space="preserve">that auxiliary terrain features do not uniformly lift accuracy across all global mountain systems. The experiment establishes regime-dependent component sensitivity but does not identify a specific layover-suppression mechanism.</w:t>
      </w:r>
    </w:p>
    <w:p>
      <w:pPr>
        <w:pStyle w:val="Figure"/>
        <w:spacing w:after="0" w:line="240" w:lineRule="auto"/>
      </w:pPr>
      <w:r>
        <w:rPr>
          <w:rFonts w:ascii="Times New Roman" w:hAnsi="Times New Roman" w:eastAsia="Times New Roman"/>
          <w:sz w:val="20"/>
        </w:rPr>
        <w:drawing>
          <wp:inline>
            <wp:extent cx="5334000" cy="3120873"/>
            <wp:effectExtent b="0" l="0" r="0" t="0"/>
            <wp:docPr descr="" title="" id="36" name="Picture"/>
            <a:graphic>
              <a:graphicData uri="http://schemas.openxmlformats.org/drawingml/2006/picture">
                <pic:pic>
                  <pic:nvPicPr>
                    <pic:cNvPr descr="fig_ablation_breakdown.png" id="37" name="Picture"/>
                    <pic:cNvPicPr>
                      <a:picLocks noChangeArrowheads="1" noChangeAspect="1"/>
                    </pic:cNvPicPr>
                  </pic:nvPicPr>
                  <pic:blipFill>
                    <a:blip r:embed="rId35"/>
                    <a:stretch>
                      <a:fillRect/>
                    </a:stretch>
                  </pic:blipFill>
                  <pic:spPr bwMode="auto">
                    <a:xfrm>
                      <a:off x="0" y="0"/>
                      <a:ext cx="5334000" cy="3120873"/>
                    </a:xfrm>
                    <a:prstGeom prst="rect">
                      <a:avLst/>
                    </a:prstGeom>
                    <a:noFill/>
                    <a:ln w="9525">
                      <a:noFill/>
                      <a:headEnd/>
                      <a:tailEnd/>
                    </a:ln>
                  </pic:spPr>
                </pic:pic>
              </a:graphicData>
            </a:graphic>
          </wp:inline>
        </w:drawing>
      </w:r>
    </w:p>
    <w:p>
      <w:pPr>
        <w:pStyle w:val="FirstParagraph"/>
        <w:spacing w:after="0" w:line="240" w:lineRule="auto"/>
      </w:pPr>
      <w:r>
        <w:rPr>
          <w:rFonts w:ascii="Times New Roman" w:hAnsi="Times New Roman" w:eastAsia="Times New Roman"/>
          <w:b/>
          <w:bCs/>
          <w:sz w:val="20"/>
        </w:rPr>
        <w:t xml:space="preserve">Fig. 4.</w:t>
      </w:r>
      <w:r>
        <w:rPr>
          <w:rFonts w:ascii="Times New Roman" w:hAnsi="Times New Roman" w:eastAsia="Times New Roman"/>
          <w:sz w:val="20"/>
        </w:rPr>
        <w:t xml:space="preserve"> </w:t>
      </w:r>
      <w:r>
        <w:rPr>
          <w:rFonts w:ascii="Times New Roman" w:hAnsi="Times New Roman" w:eastAsia="Times New Roman"/>
          <w:sz w:val="20"/>
        </w:rPr>
        <w:t xml:space="preserve">Systematic component-wise ablation breakdown on the Scandinavian Arctic test scene, showing performance sensitivity to Local Incidence Angle (LIA), Aspect-Look Alignment, Radar-Topographic Cross-Attention (RTCAB), and Geomorphically Bounded Loss (Geo-Loss). The x-axis is truncated to the 70%–80% F1 dynamic range.</w:t>
      </w:r>
    </w:p>
    <w:bookmarkEnd w:id="38"/>
    <w:bookmarkStart w:id="39" w:name="Xae958880c33a2b936b73bc2f3d26242a9f1a6af"/>
    <w:p>
      <w:pPr>
        <w:pStyle w:val="Heading2"/>
        <w:spacing w:after="0" w:line="240" w:lineRule="auto"/>
      </w:pPr>
      <w:r>
        <w:rPr>
          <w:rFonts w:ascii="Times New Roman" w:hAnsi="Times New Roman" w:eastAsia="Times New Roman"/>
          <w:sz w:val="20"/>
        </w:rPr>
        <w:t xml:space="preserve">Topographic Radar Geometry and Slope Gradient Stratification Analysis</w:t>
      </w:r>
    </w:p>
    <w:p>
      <w:pPr>
        <w:pStyle w:val="FirstParagraph"/>
        <w:spacing w:after="0" w:line="240" w:lineRule="auto"/>
      </w:pPr>
      <w:r>
        <w:rPr>
          <w:rFonts w:ascii="Times New Roman" w:hAnsi="Times New Roman" w:eastAsia="Times New Roman"/>
          <w:sz w:val="20"/>
        </w:rPr>
        <w:t xml:space="preserve">To evaluate the physical sensitivity and fine-grained regional behavior of Radar-Topographic Aspect-Incidence Conditioning across differing terrain morphologies, Table 6 provides a stratification analysis across two key physical axes on both held-out test scenes: (1) Radar Look Aspect Alignment (</w:t>
      </w:r>
      <m:oMath>
        <m:sSub>
          <m:e>
            <m:r>
              <m:t>θ</m:t>
            </m:r>
          </m:e>
          <m:sub>
            <m:r>
              <m:rPr>
                <m:nor/>
                <m:sty m:val="p"/>
              </m:rPr>
              <m:t>align</m:t>
            </m:r>
          </m:sub>
        </m:sSub>
        <m:r>
          <m:rPr>
            <m:sty m:val="p"/>
          </m:rPr>
          <m:t>=</m:t>
        </m:r>
        <m:r>
          <m:rPr>
            <m:sty m:val="p"/>
          </m:rPr>
          <m:t>cos</m:t>
        </m:r>
        <m:r>
          <m:rPr>
            <m:sty m:val="p"/>
          </m:rPr>
          <m:t>(</m:t>
        </m:r>
        <m:r>
          <m:t>α</m:t>
        </m:r>
        <m:r>
          <m:rPr>
            <m:sty m:val="p"/>
          </m:rPr>
          <m:t>−</m:t>
        </m:r>
        <m:r>
          <m:t>ϕ</m:t>
        </m:r>
        <m:r>
          <m:rPr>
            <m:sty m:val="p"/>
          </m:rPr>
          <m:t>)</m:t>
        </m:r>
      </m:oMath>
      <w:r>
        <w:rPr>
          <w:rFonts w:ascii="Times New Roman" w:hAnsi="Times New Roman" w:eastAsia="Times New Roman"/>
          <w:sz w:val="20"/>
        </w:rPr>
        <w:t xml:space="preserve">), partitioning terrain into radar-facing foreslopes (</w:t>
      </w:r>
      <m:oMath>
        <m:sSub>
          <m:e>
            <m:r>
              <m:t>θ</m:t>
            </m:r>
          </m:e>
          <m:sub>
            <m:r>
              <m:rPr>
                <m:nor/>
                <m:sty m:val="p"/>
              </m:rPr>
              <m:t>align</m:t>
            </m:r>
          </m:sub>
        </m:sSub>
        <m:r>
          <m:rPr>
            <m:sty m:val="p"/>
          </m:rPr>
          <m:t>&gt;</m:t>
        </m:r>
        <m:r>
          <m:t>0.3</m:t>
        </m:r>
      </m:oMath>
      <w:r>
        <w:rPr>
          <w:rFonts w:ascii="Times New Roman" w:hAnsi="Times New Roman" w:eastAsia="Times New Roman"/>
          <w:sz w:val="20"/>
        </w:rPr>
        <w:t xml:space="preserve">), perpendicular cross-slopes (</w:t>
      </w:r>
      <m:oMath>
        <m:r>
          <m:rPr>
            <m:sty m:val="p"/>
          </m:rPr>
          <m:t>|</m:t>
        </m:r>
        <m:sSub>
          <m:e>
            <m:r>
              <m:t>θ</m:t>
            </m:r>
          </m:e>
          <m:sub>
            <m:r>
              <m:rPr>
                <m:nor/>
                <m:sty m:val="p"/>
              </m:rPr>
              <m:t>align</m:t>
            </m:r>
          </m:sub>
        </m:sSub>
        <m:r>
          <m:rPr>
            <m:sty m:val="p"/>
          </m:rPr>
          <m:t>|</m:t>
        </m:r>
        <m:r>
          <m:rPr>
            <m:sty m:val="p"/>
          </m:rPr>
          <m:t>≤</m:t>
        </m:r>
        <m:r>
          <m:t>0.3</m:t>
        </m:r>
      </m:oMath>
      <w:r>
        <w:rPr>
          <w:rFonts w:ascii="Times New Roman" w:hAnsi="Times New Roman" w:eastAsia="Times New Roman"/>
          <w:sz w:val="20"/>
        </w:rPr>
        <w:t xml:space="preserve">), and backslopes facing away from the radar look vector (</w:t>
      </w:r>
      <m:oMath>
        <m:sSub>
          <m:e>
            <m:r>
              <m:t>θ</m:t>
            </m:r>
          </m:e>
          <m:sub>
            <m:r>
              <m:rPr>
                <m:nor/>
                <m:sty m:val="p"/>
              </m:rPr>
              <m:t>align</m:t>
            </m:r>
          </m:sub>
        </m:sSub>
        <m:r>
          <m:rPr>
            <m:sty m:val="p"/>
          </m:rPr>
          <m:t>&lt;</m:t>
        </m:r>
        <m:r>
          <m:rPr>
            <m:sty m:val="p"/>
          </m:rPr>
          <m:t>−</m:t>
        </m:r>
        <m:r>
          <m:t>0.3</m:t>
        </m:r>
      </m:oMath>
      <w:r>
        <w:rPr>
          <w:rFonts w:ascii="Times New Roman" w:hAnsi="Times New Roman" w:eastAsia="Times New Roman"/>
          <w:sz w:val="20"/>
        </w:rPr>
        <w:t xml:space="preserve">); and (2) Terrain Slope Steepness, segmenting the landscape into runout and valley floors (</w:t>
      </w:r>
      <m:oMath>
        <m:r>
          <m:rPr>
            <m:sty m:val="p"/>
          </m:rPr>
          <m:t>&lt;</m:t>
        </m:r>
        <m:sSup>
          <m:e>
            <m:r>
              <m:t>25</m:t>
            </m:r>
          </m:e>
          <m:sup>
            <m:r>
              <m:rPr>
                <m:sty m:val="p"/>
              </m:rPr>
              <m:t>∘</m:t>
            </m:r>
          </m:sup>
        </m:sSup>
      </m:oMath>
      <w:r>
        <w:rPr>
          <w:rFonts w:ascii="Times New Roman" w:hAnsi="Times New Roman" w:eastAsia="Times New Roman"/>
          <w:sz w:val="20"/>
        </w:rPr>
        <w:t xml:space="preserve">), primary avalanche release chutes and track slopes (</w:t>
      </w:r>
      <m:oMath>
        <m:sSup>
          <m:e>
            <m:r>
              <m:t>25</m:t>
            </m:r>
          </m:e>
          <m:sup>
            <m:r>
              <m:rPr>
                <m:sty m:val="p"/>
              </m:rPr>
              <m:t>∘</m:t>
            </m:r>
          </m:sup>
        </m:sSup>
      </m:oMath>
      <w:r>
        <w:rPr>
          <w:rFonts w:ascii="Times New Roman" w:hAnsi="Times New Roman" w:eastAsia="Times New Roman"/>
          <w:sz w:val="20"/>
        </w:rPr>
        <w:t xml:space="preserve">–</w:t>
      </w:r>
      <m:oMath>
        <m:sSup>
          <m:e>
            <m:r>
              <m:t>45</m:t>
            </m:r>
          </m:e>
          <m:sup>
            <m:r>
              <m:rPr>
                <m:sty m:val="p"/>
              </m:rPr>
              <m:t>∘</m:t>
            </m:r>
          </m:sup>
        </m:sSup>
      </m:oMath>
      <w:r>
        <w:rPr>
          <w:rFonts w:ascii="Times New Roman" w:hAnsi="Times New Roman" w:eastAsia="Times New Roman"/>
          <w:sz w:val="20"/>
        </w:rPr>
        <w:t xml:space="preserve">), and extreme steep cliff faces (</w:t>
      </w:r>
      <m:oMath>
        <m:r>
          <m:rPr>
            <m:sty m:val="p"/>
          </m:rPr>
          <m:t>&gt;</m:t>
        </m:r>
        <m:sSup>
          <m:e>
            <m:r>
              <m:t>45</m:t>
            </m:r>
          </m:e>
          <m:sup>
            <m:r>
              <m:rPr>
                <m:sty m:val="p"/>
              </m:rPr>
              <m:t>∘</m:t>
            </m:r>
          </m:sup>
        </m:sSup>
      </m:oMath>
      <w:r>
        <w:rPr>
          <w:rFonts w:ascii="Times New Roman" w:hAnsi="Times New Roman" w:eastAsia="Times New Roman"/>
          <w:sz w:val="20"/>
        </w:rPr>
        <w:t xml:space="preserve">).</w:t>
      </w:r>
    </w:p>
    <w:p>
      <w:pPr>
        <w:pStyle w:val="BodyText"/>
        <w:spacing w:after="0" w:line="240" w:lineRule="auto"/>
      </w:pPr>
      <w:r>
        <w:rPr>
          <w:rFonts w:ascii="Times New Roman" w:hAnsi="Times New Roman" w:eastAsia="Times New Roman"/>
          <w:b/>
          <w:bCs/>
          <w:sz w:val="20"/>
        </w:rPr>
        <w:t xml:space="preserve">Table 6.</w:t>
      </w:r>
      <w:r>
        <w:rPr>
          <w:rFonts w:ascii="Times New Roman" w:hAnsi="Times New Roman" w:eastAsia="Times New Roman"/>
          <w:sz w:val="20"/>
        </w:rPr>
        <w:t xml:space="preserve"> </w:t>
      </w:r>
      <w:r>
        <w:rPr>
          <w:rFonts w:ascii="Times New Roman" w:hAnsi="Times New Roman" w:eastAsia="Times New Roman"/>
          <w:sz w:val="20"/>
        </w:rPr>
        <w:t xml:space="preserve">Exploratory Seed-42 topographic stratification on the held-out test scenes. Performance compares TopoRadar-Net with Attention U-Net across aspect-alignment and slope zones; the multi-seed stability analysis is reported in the text.</w:t>
      </w:r>
    </w:p>
    <w:tbl>
      <w:tblPr>
        <w:tblStyle w:val="Table"/>
        <w:tblW w:type="auto" w:w="0"/>
        <w:tblLayout w:type="fixed"/>
        <w:tblLook w:firstRow="0" w:lastRow="0" w:firstColumn="0" w:lastColumn="0" w:noHBand="0" w:noVBand="0" w:val="0000"/>
      </w:tblPr>
      <w:tblGrid>
        <w:gridCol w:w="850"/>
        <w:gridCol w:w="2551"/>
        <w:gridCol w:w="794"/>
        <w:gridCol w:w="964"/>
        <w:gridCol w:w="964"/>
        <w:gridCol w:w="964"/>
        <w:gridCol w:w="964"/>
        <w:gridCol w:w="964"/>
      </w:tblGrid>
      <w:tr>
        <w:trPr>
          <w:cantSplit w:val="true"/>
          <w:tblHeader w:val="true"/>
        </w:trPr>
        <w:tc>
          <w:tcPr>
            <w:tcW w:type="dxa" w:w="850"/>
            <w:vMerge w:val="restart"/>
            <w:vAlign w:val="center"/>
          </w:tcPr>
          <w:p>
            <w:pPr>
              <w:pStyle w:val="Compact"/>
              <w:spacing w:before="0" w:after="0" w:line="240" w:lineRule="auto"/>
              <w:jc w:val="left"/>
            </w:pPr>
            <w:r>
              <w:rPr>
                <w:rFonts w:ascii="Times New Roman" w:hAnsi="Times New Roman" w:eastAsia="Times New Roman"/>
                <w:b/>
                <w:bCs/>
                <w:sz w:val="16"/>
              </w:rPr>
              <w:t xml:space="preserve">Region</w:t>
            </w:r>
          </w:p>
        </w:tc>
        <w:tc>
          <w:tcPr>
            <w:tcW w:type="dxa" w:w="2551"/>
            <w:vMerge w:val="restart"/>
            <w:vAlign w:val="center"/>
          </w:tcPr>
          <w:p>
            <w:pPr>
              <w:pStyle w:val="Compact"/>
              <w:spacing w:before="0" w:after="0" w:line="240" w:lineRule="auto"/>
              <w:jc w:val="left"/>
            </w:pPr>
            <w:r>
              <w:rPr>
                <w:rFonts w:ascii="Times New Roman" w:hAnsi="Times New Roman" w:eastAsia="Times New Roman"/>
                <w:b/>
                <w:bCs/>
                <w:sz w:val="16"/>
              </w:rPr>
              <w:t xml:space="preserve">Topographic Stratum</w:t>
            </w:r>
          </w:p>
        </w:tc>
        <w:tc>
          <w:tcPr>
            <w:tcW w:type="dxa" w:w="794"/>
            <w:vMerge w:val="restart"/>
            <w:vAlign w:val="center"/>
          </w:tcPr>
          <w:p>
            <w:pPr>
              <w:pStyle w:val="Compact"/>
              <w:spacing w:before="0" w:after="0" w:line="240" w:lineRule="auto"/>
              <w:jc w:val="center"/>
            </w:pPr>
            <w:r>
              <w:rPr>
                <w:rFonts w:ascii="Times New Roman" w:hAnsi="Times New Roman" w:eastAsia="Times New Roman"/>
                <w:b/>
                <w:bCs/>
                <w:sz w:val="16"/>
              </w:rPr>
              <w:t xml:space="preserve">Area (px)</w:t>
            </w:r>
          </w:p>
        </w:tc>
        <w:tc>
          <w:tcPr>
            <w:tcW w:type="dxa" w:w="964"/>
            <w:gridSpan w:val="2"/>
            <w:vAlign w:val="center"/>
          </w:tcPr>
          <w:p>
            <w:pPr>
              <w:pStyle w:val="Compact"/>
              <w:spacing w:before="0" w:after="0" w:line="240" w:lineRule="auto"/>
              <w:jc w:val="center"/>
            </w:pPr>
            <w:r>
              <w:rPr>
                <w:rFonts w:ascii="Times New Roman" w:hAnsi="Times New Roman" w:eastAsia="Times New Roman"/>
                <w:b/>
                <w:bCs/>
                <w:sz w:val="16"/>
              </w:rPr>
              <w:t xml:space="preserve">TopoRadar (Ours)</w:t>
            </w:r>
          </w:p>
        </w:tc>
        <w:tc>
          <w:tcPr>
            <w:tcW w:type="dxa" w:w="964"/>
            <w:gridSpan w:val="2"/>
            <w:vAlign w:val="center"/>
          </w:tcPr>
          <w:p>
            <w:pPr>
              <w:pStyle w:val="Compact"/>
              <w:spacing w:before="0" w:after="0" w:line="240" w:lineRule="auto"/>
              <w:jc w:val="center"/>
            </w:pPr>
            <w:r>
              <w:rPr>
                <w:rFonts w:ascii="Times New Roman" w:hAnsi="Times New Roman" w:eastAsia="Times New Roman"/>
                <w:b/>
                <w:bCs/>
                <w:sz w:val="16"/>
              </w:rPr>
              <w:t xml:space="preserve">Attention U-Net</w:t>
            </w:r>
          </w:p>
        </w:tc>
        <w:tc>
          <w:tcPr>
            <w:tcW w:type="dxa" w:w="964"/>
            <w:vMerge w:val="restart"/>
            <w:vAlign w:val="center"/>
          </w:tcPr>
          <w:p>
            <w:pPr>
              <w:pStyle w:val="Compact"/>
              <w:spacing w:before="0" w:after="0" w:line="240" w:lineRule="auto"/>
              <w:jc w:val="center"/>
            </w:pPr>
            <w:r>
              <w:rPr>
                <w:rFonts w:ascii="Times New Roman" w:hAnsi="Times New Roman" w:eastAsia="Times New Roman"/>
                <w:b/>
                <w:bCs/>
                <w:sz w:val="16"/>
              </w:rPr>
              <w:t xml:space="preserve">ΔF1</w:t>
            </w:r>
          </w:p>
        </w:tc>
      </w:tr>
      <w:tr>
        <w:trPr>
          <w:cantSplit w:val="true"/>
          <w:tblHeader w:val="true"/>
        </w:trPr>
        <w:tc>
          <w:tcPr>
            <w:gridSpan w:val="1"/>
            <w:vMerge w:val="continue"/>
          </w:tcPr>
          <w:p>
            <w:pPr/>
          </w:p>
        </w:tc>
        <w:tc>
          <w:tcPr>
            <w:gridSpan w:val="1"/>
            <w:vMerge w:val="continue"/>
          </w:tcPr>
          <w:p>
            <w:pPr/>
          </w:p>
        </w:tc>
        <w:tc>
          <w:tcPr>
            <w:gridSpan w:val="1"/>
            <w:vMerge w:val="continue"/>
          </w:tcPr>
          <w:p>
            <w:pPr/>
          </w:p>
        </w:tc>
        <w:tc>
          <w:tcPr>
            <w:tcW w:type="dxa" w:w="964"/>
            <w:vAlign w:val="center"/>
          </w:tcPr>
          <w:p>
            <w:pPr>
              <w:pStyle w:val="Compact"/>
              <w:spacing w:before="0" w:after="0" w:line="240" w:lineRule="auto"/>
              <w:jc w:val="center"/>
            </w:pPr>
            <w:r>
              <w:rPr>
                <w:rFonts w:ascii="Times New Roman" w:hAnsi="Times New Roman" w:eastAsia="Times New Roman"/>
                <w:b/>
                <w:bCs/>
                <w:sz w:val="16"/>
              </w:rPr>
              <w:t xml:space="preserve">F1 (%)</w:t>
            </w:r>
          </w:p>
        </w:tc>
        <w:tc>
          <w:tcPr>
            <w:tcW w:type="dxa" w:w="964"/>
            <w:vAlign w:val="center"/>
          </w:tcPr>
          <w:p>
            <w:pPr>
              <w:pStyle w:val="Compact"/>
              <w:spacing w:before="0" w:after="0" w:line="240" w:lineRule="auto"/>
              <w:jc w:val="center"/>
            </w:pPr>
            <w:r>
              <w:rPr>
                <w:rFonts w:ascii="Times New Roman" w:hAnsi="Times New Roman" w:eastAsia="Times New Roman"/>
                <w:b/>
                <w:bCs/>
                <w:sz w:val="16"/>
              </w:rPr>
              <w:t xml:space="preserve">Prec (%)</w:t>
            </w:r>
          </w:p>
        </w:tc>
        <w:tc>
          <w:tcPr>
            <w:tcW w:type="dxa" w:w="964"/>
            <w:vAlign w:val="center"/>
          </w:tcPr>
          <w:p>
            <w:pPr>
              <w:pStyle w:val="Compact"/>
              <w:spacing w:before="0" w:after="0" w:line="240" w:lineRule="auto"/>
              <w:jc w:val="center"/>
            </w:pPr>
            <w:r>
              <w:rPr>
                <w:rFonts w:ascii="Times New Roman" w:hAnsi="Times New Roman" w:eastAsia="Times New Roman"/>
                <w:b/>
                <w:bCs/>
                <w:sz w:val="16"/>
              </w:rPr>
              <w:t xml:space="preserve">F1 (%)</w:t>
            </w:r>
          </w:p>
        </w:tc>
        <w:tc>
          <w:tcPr>
            <w:tcW w:type="dxa" w:w="964"/>
            <w:vAlign w:val="center"/>
          </w:tcPr>
          <w:p>
            <w:pPr>
              <w:pStyle w:val="Compact"/>
              <w:spacing w:before="0" w:after="0" w:line="240" w:lineRule="auto"/>
              <w:jc w:val="center"/>
            </w:pPr>
            <w:r>
              <w:rPr>
                <w:rFonts w:ascii="Times New Roman" w:hAnsi="Times New Roman" w:eastAsia="Times New Roman"/>
                <w:b/>
                <w:bCs/>
                <w:sz w:val="16"/>
              </w:rPr>
              <w:t xml:space="preserve">Prec (%)</w:t>
            </w:r>
          </w:p>
        </w:tc>
        <w:tc>
          <w:tcPr>
            <w:gridSpan w:val="1"/>
            <w:vMerge w:val="continue"/>
          </w:tcPr>
          <w:p>
            <w:pPr/>
          </w:p>
        </w:tc>
      </w:tr>
      <w:tr>
        <w:trPr>
          <w:cantSplit w:val="true"/>
        </w:trPr>
        <w:tc>
          <w:tcPr>
            <w:tcW w:type="dxa" w:w="850"/>
            <w:vMerge w:val="restart"/>
            <w:vAlign w:val="center"/>
          </w:tcPr>
          <w:p>
            <w:pPr>
              <w:pStyle w:val="Compact"/>
              <w:spacing w:before="0" w:after="0" w:line="240" w:lineRule="auto"/>
              <w:jc w:val="left"/>
            </w:pPr>
            <w:r>
              <w:rPr>
                <w:rFonts w:ascii="Times New Roman" w:hAnsi="Times New Roman" w:eastAsia="Times New Roman"/>
                <w:sz w:val="16"/>
              </w:rPr>
              <w:t xml:space="preserve">Troms</w:t>
            </w:r>
            <w:r>
              <w:rPr>
                <w:rFonts w:ascii="Times New Roman" w:hAnsi="Times New Roman" w:eastAsia="Times New Roman"/>
                <w:sz w:val="16"/>
              </w:rPr>
              <w:t xml:space="preserve">ø</w:t>
            </w:r>
          </w:p>
        </w:tc>
        <w:tc>
          <w:tcPr>
            <w:tcW w:type="dxa" w:w="2551"/>
            <w:vAlign w:val="center"/>
          </w:tcPr>
          <w:p>
            <w:pPr>
              <w:pStyle w:val="Compact"/>
              <w:spacing w:before="0" w:after="0" w:line="240" w:lineRule="auto"/>
              <w:jc w:val="left"/>
            </w:pPr>
            <w:r>
              <w:rPr>
                <w:rFonts w:ascii="Times New Roman" w:hAnsi="Times New Roman" w:eastAsia="Times New Roman"/>
                <w:sz w:val="16"/>
              </w:rPr>
              <w:t xml:space="preserve">Foreslopes (θ_align &gt; 0.3)</w:t>
            </w:r>
          </w:p>
        </w:tc>
        <w:tc>
          <w:tcPr>
            <w:tcW w:type="dxa" w:w="794"/>
            <w:vAlign w:val="center"/>
          </w:tcPr>
          <w:p>
            <w:pPr>
              <w:pStyle w:val="Compact"/>
              <w:spacing w:before="0" w:after="0" w:line="240" w:lineRule="auto"/>
              <w:jc w:val="center"/>
            </w:pPr>
            <w:r>
              <w:rPr>
                <w:rFonts w:ascii="Times New Roman" w:hAnsi="Times New Roman" w:eastAsia="Times New Roman"/>
                <w:sz w:val="16"/>
              </w:rPr>
              <w:t xml:space="preserve">15,480</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79.94%</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73.05%</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80.01%</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77.44%</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-0.07%</w:t>
            </w:r>
          </w:p>
        </w:tc>
      </w:tr>
      <w:tr>
        <w:trPr>
          <w:cantSplit w:val="true"/>
        </w:trPr>
        <w:tc>
          <w:tcPr>
            <w:gridSpan w:val="1"/>
            <w:vMerge w:val="continue"/>
          </w:tcPr>
          <w:p>
            <w:pPr/>
          </w:p>
        </w:tc>
        <w:tc>
          <w:tcPr>
            <w:tcW w:type="dxa" w:w="2551"/>
            <w:vAlign w:val="center"/>
          </w:tcPr>
          <w:p>
            <w:pPr>
              <w:pStyle w:val="Compact"/>
              <w:spacing w:before="0" w:after="0" w:line="240" w:lineRule="auto"/>
              <w:jc w:val="left"/>
            </w:pPr>
            <w:r>
              <w:rPr>
                <w:rFonts w:ascii="Times New Roman" w:hAnsi="Times New Roman" w:eastAsia="Times New Roman"/>
                <w:sz w:val="16"/>
              </w:rPr>
              <w:t xml:space="preserve">Cross-slopes (|θ_align| ≤ 0.3)</w:t>
            </w:r>
          </w:p>
        </w:tc>
        <w:tc>
          <w:tcPr>
            <w:tcW w:type="dxa" w:w="794"/>
            <w:vAlign w:val="center"/>
          </w:tcPr>
          <w:p>
            <w:pPr>
              <w:pStyle w:val="Compact"/>
              <w:spacing w:before="0" w:after="0" w:line="240" w:lineRule="auto"/>
              <w:jc w:val="center"/>
            </w:pPr>
            <w:r>
              <w:rPr>
                <w:rFonts w:ascii="Times New Roman" w:hAnsi="Times New Roman" w:eastAsia="Times New Roman"/>
                <w:sz w:val="16"/>
              </w:rPr>
              <w:t xml:space="preserve">3,113</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68.93%</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63.19%</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69.43%</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73.57%</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-0.50%</w:t>
            </w:r>
          </w:p>
        </w:tc>
      </w:tr>
      <w:tr>
        <w:trPr>
          <w:cantSplit w:val="true"/>
        </w:trPr>
        <w:tc>
          <w:tcPr>
            <w:gridSpan w:val="1"/>
            <w:vMerge w:val="continue"/>
          </w:tcPr>
          <w:p>
            <w:pPr/>
          </w:p>
        </w:tc>
        <w:tc>
          <w:tcPr>
            <w:tcW w:type="dxa" w:w="2551"/>
            <w:vAlign w:val="center"/>
          </w:tcPr>
          <w:p>
            <w:pPr>
              <w:pStyle w:val="Compact"/>
              <w:spacing w:before="0" w:after="0" w:line="240" w:lineRule="auto"/>
              <w:jc w:val="left"/>
            </w:pPr>
            <w:r>
              <w:rPr>
                <w:rFonts w:ascii="Times New Roman" w:hAnsi="Times New Roman" w:eastAsia="Times New Roman"/>
                <w:b/>
                <w:bCs/>
                <w:sz w:val="16"/>
              </w:rPr>
              <w:t xml:space="preserve">Backslopes (θ_align &lt; -0.3)</w:t>
            </w:r>
          </w:p>
        </w:tc>
        <w:tc>
          <w:tcPr>
            <w:tcW w:type="dxa" w:w="794"/>
            <w:vAlign w:val="center"/>
          </w:tcPr>
          <w:p>
            <w:pPr>
              <w:pStyle w:val="Compact"/>
              <w:spacing w:before="0" w:after="0" w:line="240" w:lineRule="auto"/>
              <w:jc w:val="center"/>
            </w:pPr>
            <w:r>
              <w:rPr>
                <w:rFonts w:ascii="Times New Roman" w:hAnsi="Times New Roman" w:eastAsia="Times New Roman"/>
                <w:b/>
                <w:bCs/>
                <w:sz w:val="16"/>
              </w:rPr>
              <w:t xml:space="preserve">15,376</w:t>
            </w:r>
          </w:p>
        </w:tc>
        <w:tc>
          <w:tcPr>
            <w:tcW w:type="dxa" w:w="964"/>
            <w:vAlign w:val="center"/>
          </w:tcPr>
          <w:p>
            <w:pPr>
              <w:pStyle w:val="Compact"/>
              <w:spacing w:before="0" w:after="0" w:line="240" w:lineRule="auto"/>
              <w:jc w:val="center"/>
            </w:pPr>
            <w:r>
              <w:rPr>
                <w:rFonts w:ascii="Times New Roman" w:hAnsi="Times New Roman" w:eastAsia="Times New Roman"/>
                <w:b/>
                <w:bCs/>
                <w:sz w:val="16"/>
              </w:rPr>
              <w:t xml:space="preserve">81.08%</w:t>
            </w:r>
          </w:p>
        </w:tc>
        <w:tc>
          <w:tcPr>
            <w:tcW w:type="dxa" w:w="964"/>
            <w:vAlign w:val="center"/>
          </w:tcPr>
          <w:p>
            <w:pPr>
              <w:pStyle w:val="Compact"/>
              <w:spacing w:before="0" w:after="0" w:line="240" w:lineRule="auto"/>
              <w:jc w:val="center"/>
            </w:pPr>
            <w:r>
              <w:rPr>
                <w:rFonts w:ascii="Times New Roman" w:hAnsi="Times New Roman" w:eastAsia="Times New Roman"/>
                <w:b/>
                <w:bCs/>
                <w:sz w:val="16"/>
              </w:rPr>
              <w:t xml:space="preserve">85.03%</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75.23%</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88.90%</w:t>
            </w:r>
          </w:p>
        </w:tc>
        <w:tc>
          <w:tcPr>
            <w:tcW w:type="dxa" w:w="964"/>
            <w:vAlign w:val="center"/>
          </w:tcPr>
          <w:p>
            <w:pPr>
              <w:pStyle w:val="Compact"/>
              <w:spacing w:before="0" w:after="0" w:line="240" w:lineRule="auto"/>
              <w:jc w:val="center"/>
            </w:pPr>
            <w:r>
              <w:rPr>
                <w:rFonts w:ascii="Times New Roman" w:hAnsi="Times New Roman" w:eastAsia="Times New Roman"/>
                <w:b/>
                <w:bCs/>
                <w:sz w:val="16"/>
              </w:rPr>
              <w:t xml:space="preserve">+5.85%</w:t>
            </w:r>
          </w:p>
        </w:tc>
      </w:tr>
      <w:tr>
        <w:trPr>
          <w:cantSplit w:val="true"/>
        </w:trPr>
        <w:tc>
          <w:tcPr>
            <w:gridSpan w:val="1"/>
            <w:vMerge w:val="continue"/>
          </w:tcPr>
          <w:p>
            <w:pPr/>
          </w:p>
        </w:tc>
        <w:tc>
          <w:tcPr>
            <w:tcW w:type="dxa" w:w="2551"/>
            <w:vAlign w:val="center"/>
          </w:tcPr>
          <w:p>
            <w:pPr>
              <w:pStyle w:val="Compact"/>
              <w:spacing w:before="0" w:after="0" w:line="240" w:lineRule="auto"/>
              <w:jc w:val="left"/>
            </w:pPr>
            <w:r>
              <w:rPr>
                <w:rFonts w:ascii="Times New Roman" w:hAnsi="Times New Roman" w:eastAsia="Times New Roman"/>
                <w:sz w:val="16"/>
              </w:rPr>
              <w:t xml:space="preserve">Runout &amp; Valleys (&lt; 25°)</w:t>
            </w:r>
          </w:p>
        </w:tc>
        <w:tc>
          <w:tcPr>
            <w:tcW w:type="dxa" w:w="794"/>
            <w:vAlign w:val="center"/>
          </w:tcPr>
          <w:p>
            <w:pPr>
              <w:pStyle w:val="Compact"/>
              <w:spacing w:before="0" w:after="0" w:line="240" w:lineRule="auto"/>
              <w:jc w:val="center"/>
            </w:pPr>
            <w:r>
              <w:rPr>
                <w:rFonts w:ascii="Times New Roman" w:hAnsi="Times New Roman" w:eastAsia="Times New Roman"/>
                <w:sz w:val="16"/>
              </w:rPr>
              <w:t xml:space="preserve">12,360</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76.76%</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70.68%</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77.91%</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76.23%</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-1.15%</w:t>
            </w:r>
          </w:p>
        </w:tc>
      </w:tr>
      <w:tr>
        <w:trPr>
          <w:cantSplit w:val="true"/>
        </w:trPr>
        <w:tc>
          <w:tcPr>
            <w:gridSpan w:val="1"/>
            <w:vMerge w:val="continue"/>
          </w:tcPr>
          <w:p>
            <w:pPr/>
          </w:p>
        </w:tc>
        <w:tc>
          <w:tcPr>
            <w:tcW w:type="dxa" w:w="2551"/>
            <w:vAlign w:val="center"/>
          </w:tcPr>
          <w:p>
            <w:pPr>
              <w:pStyle w:val="Compact"/>
              <w:spacing w:before="0" w:after="0" w:line="240" w:lineRule="auto"/>
              <w:jc w:val="left"/>
            </w:pPr>
            <w:r>
              <w:rPr>
                <w:rFonts w:ascii="Times New Roman" w:hAnsi="Times New Roman" w:eastAsia="Times New Roman"/>
                <w:b/>
                <w:bCs/>
                <w:sz w:val="16"/>
              </w:rPr>
              <w:t xml:space="preserve">Avalanche Chutes (25°–45°)</w:t>
            </w:r>
          </w:p>
        </w:tc>
        <w:tc>
          <w:tcPr>
            <w:tcW w:type="dxa" w:w="794"/>
            <w:vAlign w:val="center"/>
          </w:tcPr>
          <w:p>
            <w:pPr>
              <w:pStyle w:val="Compact"/>
              <w:spacing w:before="0" w:after="0" w:line="240" w:lineRule="auto"/>
              <w:jc w:val="center"/>
            </w:pPr>
            <w:r>
              <w:rPr>
                <w:rFonts w:ascii="Times New Roman" w:hAnsi="Times New Roman" w:eastAsia="Times New Roman"/>
                <w:b/>
                <w:bCs/>
                <w:sz w:val="16"/>
              </w:rPr>
              <w:t xml:space="preserve">21,118</w:t>
            </w:r>
          </w:p>
        </w:tc>
        <w:tc>
          <w:tcPr>
            <w:tcW w:type="dxa" w:w="964"/>
            <w:vAlign w:val="center"/>
          </w:tcPr>
          <w:p>
            <w:pPr>
              <w:pStyle w:val="Compact"/>
              <w:spacing w:before="0" w:after="0" w:line="240" w:lineRule="auto"/>
              <w:jc w:val="center"/>
            </w:pPr>
            <w:r>
              <w:rPr>
                <w:rFonts w:ascii="Times New Roman" w:hAnsi="Times New Roman" w:eastAsia="Times New Roman"/>
                <w:b/>
                <w:bCs/>
                <w:sz w:val="16"/>
              </w:rPr>
              <w:t xml:space="preserve">81.34%</w:t>
            </w:r>
          </w:p>
        </w:tc>
        <w:tc>
          <w:tcPr>
            <w:tcW w:type="dxa" w:w="964"/>
            <w:vAlign w:val="center"/>
          </w:tcPr>
          <w:p>
            <w:pPr>
              <w:pStyle w:val="Compact"/>
              <w:spacing w:before="0" w:after="0" w:line="240" w:lineRule="auto"/>
              <w:jc w:val="center"/>
            </w:pPr>
            <w:r>
              <w:rPr>
                <w:rFonts w:ascii="Times New Roman" w:hAnsi="Times New Roman" w:eastAsia="Times New Roman"/>
                <w:b/>
                <w:bCs/>
                <w:sz w:val="16"/>
              </w:rPr>
              <w:t xml:space="preserve">80.94%</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77.00%</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85.33%</w:t>
            </w:r>
          </w:p>
        </w:tc>
        <w:tc>
          <w:tcPr>
            <w:tcW w:type="dxa" w:w="964"/>
            <w:vAlign w:val="center"/>
          </w:tcPr>
          <w:p>
            <w:pPr>
              <w:pStyle w:val="Compact"/>
              <w:spacing w:before="0" w:after="0" w:line="240" w:lineRule="auto"/>
              <w:jc w:val="center"/>
            </w:pPr>
            <w:r>
              <w:rPr>
                <w:rFonts w:ascii="Times New Roman" w:hAnsi="Times New Roman" w:eastAsia="Times New Roman"/>
                <w:b/>
                <w:bCs/>
                <w:sz w:val="16"/>
              </w:rPr>
              <w:t xml:space="preserve">+4.34%</w:t>
            </w:r>
          </w:p>
        </w:tc>
      </w:tr>
      <w:tr>
        <w:trPr>
          <w:cantSplit w:val="true"/>
        </w:trPr>
        <w:tc>
          <w:tcPr>
            <w:gridSpan w:val="1"/>
            <w:vMerge w:val="continue"/>
          </w:tcPr>
          <w:p>
            <w:pPr/>
          </w:p>
        </w:tc>
        <w:tc>
          <w:tcPr>
            <w:tcW w:type="dxa" w:w="2551"/>
            <w:vAlign w:val="center"/>
          </w:tcPr>
          <w:p>
            <w:pPr>
              <w:pStyle w:val="Compact"/>
              <w:spacing w:before="0" w:after="0" w:line="240" w:lineRule="auto"/>
              <w:jc w:val="left"/>
            </w:pPr>
            <w:r>
              <w:rPr>
                <w:rFonts w:ascii="Times New Roman" w:hAnsi="Times New Roman" w:eastAsia="Times New Roman"/>
                <w:sz w:val="16"/>
              </w:rPr>
              <w:t xml:space="preserve">Extreme Steep (&gt; 45°)</w:t>
            </w:r>
          </w:p>
        </w:tc>
        <w:tc>
          <w:tcPr>
            <w:tcW w:type="dxa" w:w="794"/>
            <w:vAlign w:val="center"/>
          </w:tcPr>
          <w:p>
            <w:pPr>
              <w:pStyle w:val="Compact"/>
              <w:spacing w:before="0" w:after="0" w:line="240" w:lineRule="auto"/>
              <w:jc w:val="center"/>
            </w:pPr>
            <w:r>
              <w:rPr>
                <w:rFonts w:ascii="Times New Roman" w:hAnsi="Times New Roman" w:eastAsia="Times New Roman"/>
                <w:sz w:val="16"/>
              </w:rPr>
              <w:t xml:space="preserve">491</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63.37%</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67.05%</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54.23%</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68.21%</w:t>
            </w:r>
          </w:p>
        </w:tc>
        <w:tc>
          <w:tcPr>
            <w:tcW w:type="dxa" w:w="964"/>
            <w:vAlign w:val="center"/>
          </w:tcPr>
          <w:p>
            <w:pPr>
              <w:pStyle w:val="Compact"/>
              <w:spacing w:before="0" w:after="0" w:line="240" w:lineRule="auto"/>
              <w:jc w:val="center"/>
            </w:pPr>
            <w:r>
              <w:rPr>
                <w:rFonts w:ascii="Times New Roman" w:hAnsi="Times New Roman" w:eastAsia="Times New Roman"/>
                <w:b/>
                <w:bCs/>
                <w:sz w:val="16"/>
              </w:rPr>
              <w:t xml:space="preserve">+9.14%</w:t>
            </w:r>
          </w:p>
        </w:tc>
      </w:tr>
      <w:tr>
        <w:trPr>
          <w:cantSplit w:val="true"/>
        </w:trPr>
        <w:tc>
          <w:tcPr>
            <w:tcW w:type="dxa" w:w="850"/>
            <w:vMerge w:val="restart"/>
            <w:vAlign w:val="center"/>
          </w:tcPr>
          <w:p>
            <w:pPr>
              <w:pStyle w:val="Compact"/>
              <w:spacing w:before="0" w:after="0" w:line="240" w:lineRule="auto"/>
              <w:jc w:val="left"/>
            </w:pPr>
            <w:r>
              <w:rPr>
                <w:rFonts w:ascii="Times New Roman" w:hAnsi="Times New Roman" w:eastAsia="Times New Roman"/>
                <w:sz w:val="16"/>
              </w:rPr>
              <w:t xml:space="preserve">Pamir</w:t>
            </w:r>
          </w:p>
        </w:tc>
        <w:tc>
          <w:tcPr>
            <w:tcW w:type="dxa" w:w="2551"/>
            <w:vAlign w:val="center"/>
          </w:tcPr>
          <w:p>
            <w:pPr>
              <w:pStyle w:val="Compact"/>
              <w:spacing w:before="0" w:after="0" w:line="240" w:lineRule="auto"/>
              <w:jc w:val="left"/>
            </w:pPr>
            <w:r>
              <w:rPr>
                <w:rFonts w:ascii="Times New Roman" w:hAnsi="Times New Roman" w:eastAsia="Times New Roman"/>
                <w:sz w:val="16"/>
              </w:rPr>
              <w:t xml:space="preserve">Foreslopes (θ_align &gt; 0.3)</w:t>
            </w:r>
          </w:p>
        </w:tc>
        <w:tc>
          <w:tcPr>
            <w:tcW w:type="dxa" w:w="794"/>
            <w:vAlign w:val="center"/>
          </w:tcPr>
          <w:p>
            <w:pPr>
              <w:pStyle w:val="Compact"/>
              <w:spacing w:before="0" w:after="0" w:line="240" w:lineRule="auto"/>
              <w:jc w:val="center"/>
            </w:pPr>
            <w:r>
              <w:rPr>
                <w:rFonts w:ascii="Times New Roman" w:hAnsi="Times New Roman" w:eastAsia="Times New Roman"/>
                <w:sz w:val="16"/>
              </w:rPr>
              <w:t xml:space="preserve">14,743</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51.27%</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43.87%</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50.13%</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42.84%</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+1.14%</w:t>
            </w:r>
          </w:p>
        </w:tc>
      </w:tr>
      <w:tr>
        <w:trPr>
          <w:cantSplit w:val="true"/>
        </w:trPr>
        <w:tc>
          <w:tcPr>
            <w:gridSpan w:val="1"/>
            <w:vMerge w:val="continue"/>
          </w:tcPr>
          <w:p>
            <w:pPr/>
          </w:p>
        </w:tc>
        <w:tc>
          <w:tcPr>
            <w:tcW w:type="dxa" w:w="2551"/>
            <w:vAlign w:val="center"/>
          </w:tcPr>
          <w:p>
            <w:pPr>
              <w:pStyle w:val="Compact"/>
              <w:spacing w:before="0" w:after="0" w:line="240" w:lineRule="auto"/>
              <w:jc w:val="left"/>
            </w:pPr>
            <w:r>
              <w:rPr>
                <w:rFonts w:ascii="Times New Roman" w:hAnsi="Times New Roman" w:eastAsia="Times New Roman"/>
                <w:sz w:val="16"/>
              </w:rPr>
              <w:t xml:space="preserve">Cross-slopes (|θ_align| ≤ 0.3)</w:t>
            </w:r>
          </w:p>
        </w:tc>
        <w:tc>
          <w:tcPr>
            <w:tcW w:type="dxa" w:w="794"/>
            <w:vAlign w:val="center"/>
          </w:tcPr>
          <w:p>
            <w:pPr>
              <w:pStyle w:val="Compact"/>
              <w:spacing w:before="0" w:after="0" w:line="240" w:lineRule="auto"/>
              <w:jc w:val="center"/>
            </w:pPr>
            <w:r>
              <w:rPr>
                <w:rFonts w:ascii="Times New Roman" w:hAnsi="Times New Roman" w:eastAsia="Times New Roman"/>
                <w:sz w:val="16"/>
              </w:rPr>
              <w:t xml:space="preserve">2,614</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46.96%</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43.37%</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46.92%</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37.60%</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+0.03%</w:t>
            </w:r>
          </w:p>
        </w:tc>
      </w:tr>
      <w:tr>
        <w:trPr>
          <w:cantSplit w:val="true"/>
        </w:trPr>
        <w:tc>
          <w:tcPr>
            <w:gridSpan w:val="1"/>
            <w:vMerge w:val="continue"/>
          </w:tcPr>
          <w:p>
            <w:pPr/>
          </w:p>
        </w:tc>
        <w:tc>
          <w:tcPr>
            <w:tcW w:type="dxa" w:w="2551"/>
            <w:vAlign w:val="center"/>
          </w:tcPr>
          <w:p>
            <w:pPr>
              <w:pStyle w:val="Compact"/>
              <w:spacing w:before="0" w:after="0" w:line="240" w:lineRule="auto"/>
              <w:jc w:val="left"/>
            </w:pPr>
            <w:r>
              <w:rPr>
                <w:rFonts w:ascii="Times New Roman" w:hAnsi="Times New Roman" w:eastAsia="Times New Roman"/>
                <w:b/>
                <w:bCs/>
                <w:sz w:val="16"/>
              </w:rPr>
              <w:t xml:space="preserve">Backslopes (θ_align &lt; -0.3)</w:t>
            </w:r>
          </w:p>
        </w:tc>
        <w:tc>
          <w:tcPr>
            <w:tcW w:type="dxa" w:w="794"/>
            <w:vAlign w:val="center"/>
          </w:tcPr>
          <w:p>
            <w:pPr>
              <w:pStyle w:val="Compact"/>
              <w:spacing w:before="0" w:after="0" w:line="240" w:lineRule="auto"/>
              <w:jc w:val="center"/>
            </w:pPr>
            <w:r>
              <w:rPr>
                <w:rFonts w:ascii="Times New Roman" w:hAnsi="Times New Roman" w:eastAsia="Times New Roman"/>
                <w:b/>
                <w:bCs/>
                <w:sz w:val="16"/>
              </w:rPr>
              <w:t xml:space="preserve">5,222</w:t>
            </w:r>
          </w:p>
        </w:tc>
        <w:tc>
          <w:tcPr>
            <w:tcW w:type="dxa" w:w="964"/>
            <w:vAlign w:val="center"/>
          </w:tcPr>
          <w:p>
            <w:pPr>
              <w:pStyle w:val="Compact"/>
              <w:spacing w:before="0" w:after="0" w:line="240" w:lineRule="auto"/>
              <w:jc w:val="center"/>
            </w:pPr>
            <w:r>
              <w:rPr>
                <w:rFonts w:ascii="Times New Roman" w:hAnsi="Times New Roman" w:eastAsia="Times New Roman"/>
                <w:b/>
                <w:bCs/>
                <w:sz w:val="16"/>
              </w:rPr>
              <w:t xml:space="preserve">53.42%</w:t>
            </w:r>
          </w:p>
        </w:tc>
        <w:tc>
          <w:tcPr>
            <w:tcW w:type="dxa" w:w="964"/>
            <w:vAlign w:val="center"/>
          </w:tcPr>
          <w:p>
            <w:pPr>
              <w:pStyle w:val="Compact"/>
              <w:spacing w:before="0" w:after="0" w:line="240" w:lineRule="auto"/>
              <w:jc w:val="center"/>
            </w:pPr>
            <w:r>
              <w:rPr>
                <w:rFonts w:ascii="Times New Roman" w:hAnsi="Times New Roman" w:eastAsia="Times New Roman"/>
                <w:b/>
                <w:bCs/>
                <w:sz w:val="16"/>
              </w:rPr>
              <w:t xml:space="preserve">52.36%</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48.33%</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38.41%</w:t>
            </w:r>
          </w:p>
        </w:tc>
        <w:tc>
          <w:tcPr>
            <w:tcW w:type="dxa" w:w="964"/>
            <w:vAlign w:val="center"/>
          </w:tcPr>
          <w:p>
            <w:pPr>
              <w:pStyle w:val="Compact"/>
              <w:spacing w:before="0" w:after="0" w:line="240" w:lineRule="auto"/>
              <w:jc w:val="center"/>
            </w:pPr>
            <w:r>
              <w:rPr>
                <w:rFonts w:ascii="Times New Roman" w:hAnsi="Times New Roman" w:eastAsia="Times New Roman"/>
                <w:b/>
                <w:bCs/>
                <w:sz w:val="16"/>
              </w:rPr>
              <w:t xml:space="preserve">+5.09%</w:t>
            </w:r>
          </w:p>
        </w:tc>
      </w:tr>
      <w:tr>
        <w:trPr>
          <w:cantSplit w:val="true"/>
        </w:trPr>
        <w:tc>
          <w:tcPr>
            <w:gridSpan w:val="1"/>
            <w:vMerge w:val="continue"/>
          </w:tcPr>
          <w:p>
            <w:pPr/>
          </w:p>
        </w:tc>
        <w:tc>
          <w:tcPr>
            <w:tcW w:type="dxa" w:w="2551"/>
            <w:vAlign w:val="center"/>
          </w:tcPr>
          <w:p>
            <w:pPr>
              <w:pStyle w:val="Compact"/>
              <w:spacing w:before="0" w:after="0" w:line="240" w:lineRule="auto"/>
              <w:jc w:val="left"/>
            </w:pPr>
            <w:r>
              <w:rPr>
                <w:rFonts w:ascii="Times New Roman" w:hAnsi="Times New Roman" w:eastAsia="Times New Roman"/>
                <w:sz w:val="16"/>
              </w:rPr>
              <w:t xml:space="preserve">Runout &amp; Valleys (&lt; 25°)</w:t>
            </w:r>
          </w:p>
        </w:tc>
        <w:tc>
          <w:tcPr>
            <w:tcW w:type="dxa" w:w="794"/>
            <w:vAlign w:val="center"/>
          </w:tcPr>
          <w:p>
            <w:pPr>
              <w:pStyle w:val="Compact"/>
              <w:spacing w:before="0" w:after="0" w:line="240" w:lineRule="auto"/>
              <w:jc w:val="center"/>
            </w:pPr>
            <w:r>
              <w:rPr>
                <w:rFonts w:ascii="Times New Roman" w:hAnsi="Times New Roman" w:eastAsia="Times New Roman"/>
                <w:sz w:val="16"/>
              </w:rPr>
              <w:t xml:space="preserve">6,501</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45.97%</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38.49%</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38.22%</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28.40%</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+7.75%</w:t>
            </w:r>
          </w:p>
        </w:tc>
      </w:tr>
      <w:tr>
        <w:trPr>
          <w:cantSplit w:val="true"/>
        </w:trPr>
        <w:tc>
          <w:tcPr>
            <w:gridSpan w:val="1"/>
            <w:vMerge w:val="continue"/>
          </w:tcPr>
          <w:p>
            <w:pPr/>
          </w:p>
        </w:tc>
        <w:tc>
          <w:tcPr>
            <w:tcW w:type="dxa" w:w="2551"/>
            <w:vAlign w:val="center"/>
          </w:tcPr>
          <w:p>
            <w:pPr>
              <w:pStyle w:val="Compact"/>
              <w:spacing w:before="0" w:after="0" w:line="240" w:lineRule="auto"/>
              <w:jc w:val="left"/>
            </w:pPr>
            <w:r>
              <w:rPr>
                <w:rFonts w:ascii="Times New Roman" w:hAnsi="Times New Roman" w:eastAsia="Times New Roman"/>
                <w:sz w:val="16"/>
              </w:rPr>
              <w:t xml:space="preserve">Avalanche Chutes (25°–45°)</w:t>
            </w:r>
          </w:p>
        </w:tc>
        <w:tc>
          <w:tcPr>
            <w:tcW w:type="dxa" w:w="794"/>
            <w:vAlign w:val="center"/>
          </w:tcPr>
          <w:p>
            <w:pPr>
              <w:pStyle w:val="Compact"/>
              <w:spacing w:before="0" w:after="0" w:line="240" w:lineRule="auto"/>
              <w:jc w:val="center"/>
            </w:pPr>
            <w:r>
              <w:rPr>
                <w:rFonts w:ascii="Times New Roman" w:hAnsi="Times New Roman" w:eastAsia="Times New Roman"/>
                <w:sz w:val="16"/>
              </w:rPr>
              <w:t xml:space="preserve">15,875</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55.82%</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52.33%</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56.25%</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50.55%</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-0.44%</w:t>
            </w:r>
          </w:p>
        </w:tc>
      </w:tr>
      <w:tr>
        <w:trPr>
          <w:cantSplit w:val="true"/>
        </w:trPr>
        <w:tc>
          <w:tcPr>
            <w:gridSpan w:val="1"/>
            <w:vMerge w:val="continue"/>
          </w:tcPr>
          <w:p>
            <w:pPr/>
          </w:p>
        </w:tc>
        <w:tc>
          <w:tcPr>
            <w:tcW w:type="dxa" w:w="2551"/>
            <w:vAlign w:val="center"/>
          </w:tcPr>
          <w:p>
            <w:pPr>
              <w:pStyle w:val="Compact"/>
              <w:spacing w:before="0" w:after="0" w:line="240" w:lineRule="auto"/>
              <w:jc w:val="left"/>
            </w:pPr>
            <w:r>
              <w:rPr>
                <w:rFonts w:ascii="Times New Roman" w:hAnsi="Times New Roman" w:eastAsia="Times New Roman"/>
                <w:sz w:val="16"/>
              </w:rPr>
              <w:t xml:space="preserve">Extreme Steep (&gt; 45°, Shadow)</w:t>
            </w:r>
          </w:p>
        </w:tc>
        <w:tc>
          <w:tcPr>
            <w:tcW w:type="dxa" w:w="794"/>
            <w:vAlign w:val="center"/>
          </w:tcPr>
          <w:p>
            <w:pPr>
              <w:pStyle w:val="Compact"/>
              <w:spacing w:before="0" w:after="0" w:line="240" w:lineRule="auto"/>
              <w:jc w:val="center"/>
            </w:pPr>
            <w:r>
              <w:rPr>
                <w:rFonts w:ascii="Times New Roman" w:hAnsi="Times New Roman" w:eastAsia="Times New Roman"/>
                <w:sz w:val="16"/>
              </w:rPr>
              <w:t xml:space="preserve">203</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8.85%</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5.04%</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16.65%</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10.74%</w:t>
            </w:r>
          </w:p>
        </w:tc>
        <w:tc>
          <w:tcPr>
            <w:tcW w:type="dxa" w:w="964"/>
            <w:vAlign w:val="center"/>
          </w:tcPr>
          <w:p>
            <w:pPr>
              <w:pStyle w:val="Compact"/>
              <w:spacing w:before="0" w:after="0" w:line="240" w:lineRule="auto"/>
              <w:jc w:val="center"/>
            </w:pPr>
            <w:r>
              <w:rPr>
                <w:rFonts w:ascii="Times New Roman" w:hAnsi="Times New Roman" w:eastAsia="Times New Roman"/>
                <w:sz w:val="16"/>
              </w:rPr>
              <w:t xml:space="preserve">-7.80%</w:t>
            </w:r>
          </w:p>
        </w:tc>
      </w:tr>
    </w:tbl>
    <w:p>
      <w:pPr>
        <w:pStyle w:val="BodyText"/>
        <w:spacing w:after="0" w:line="240" w:lineRule="auto"/>
      </w:pPr>
      <w:r>
        <w:rPr>
          <w:rFonts w:ascii="Times New Roman" w:hAnsi="Times New Roman" w:eastAsia="Times New Roman"/>
          <w:sz w:val="20"/>
        </w:rPr>
        <w:t xml:space="preserve">The Seed-42 empirical stratification provides descriptive, physics-consistent associations:</w:t>
      </w:r>
    </w:p>
    <w:p>
      <w:pPr>
        <w:numPr>
          <w:ilvl w:val="0"/>
          <w:numId w:val="1007"/>
        </w:numPr>
        <w:spacing w:after="0" w:line="240" w:lineRule="auto"/>
      </w:pPr>
      <w:r>
        <w:rPr>
          <w:rFonts w:ascii="Times New Roman" w:hAnsi="Times New Roman" w:eastAsia="Times New Roman"/>
          <w:b/>
          <w:bCs/>
          <w:sz w:val="20"/>
        </w:rPr>
        <w:t xml:space="preserve">Backslope Separation in Both Mountain Systems:</w:t>
      </w:r>
      <w:r>
        <w:rPr>
          <w:rFonts w:ascii="Times New Roman" w:hAnsi="Times New Roman" w:eastAsia="Times New Roman"/>
          <w:sz w:val="20"/>
        </w:rPr>
        <w:t xml:space="preserve"> </w:t>
      </w:r>
      <w:r>
        <w:rPr>
          <w:rFonts w:ascii="Times New Roman" w:hAnsi="Times New Roman" w:eastAsia="Times New Roman"/>
          <w:sz w:val="20"/>
        </w:rPr>
        <w:t xml:space="preserve">Across both held-out mountain regions, TopoRadar-Net achieves its largest Seed-42 margin over Attention U-Net on slopes facing away from the radar look direction (</w:t>
      </w:r>
      <m:oMath>
        <m:sSub>
          <m:e>
            <m:r>
              <m:t>θ</m:t>
            </m:r>
          </m:e>
          <m:sub>
            <m:r>
              <m:rPr>
                <m:nor/>
                <m:sty m:val="p"/>
              </m:rPr>
              <m:t>align</m:t>
            </m:r>
          </m:sub>
        </m:sSub>
        <m:r>
          <m:rPr>
            <m:sty m:val="p"/>
          </m:rPr>
          <m:t>&lt;</m:t>
        </m:r>
        <m:r>
          <m:rPr>
            <m:sty m:val="p"/>
          </m:rPr>
          <m:t>−</m:t>
        </m:r>
        <m:r>
          <m:t>0.3</m:t>
        </m:r>
      </m:oMath>
      <w:r>
        <w:rPr>
          <w:rFonts w:ascii="Times New Roman" w:hAnsi="Times New Roman" w:eastAsia="Times New Roman"/>
          <w:sz w:val="20"/>
        </w:rPr>
        <w:t xml:space="preserve">). In Troms</w:t>
      </w:r>
      <w:r>
        <w:rPr>
          <w:rFonts w:ascii="Times New Roman" w:hAnsi="Times New Roman" w:eastAsia="Times New Roman"/>
          <w:sz w:val="20"/>
        </w:rPr>
        <w:t xml:space="preserve">ø</w:t>
      </w:r>
      <w:r>
        <w:rPr>
          <w:rFonts w:ascii="Times New Roman" w:hAnsi="Times New Roman" w:eastAsia="Times New Roman"/>
          <w:sz w:val="20"/>
        </w:rPr>
        <w:t xml:space="preserve">, TopoRadar-Net attains</w:t>
      </w:r>
      <w:r>
        <w:rPr>
          <w:rFonts w:ascii="Times New Roman" w:hAnsi="Times New Roman" w:eastAsia="Times New Roman"/>
          <w:sz w:val="20"/>
        </w:rPr>
        <w:t xml:space="preserve"> </w:t>
      </w:r>
      <m:oMath>
        <m:r>
          <m:t>81.08</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F1 versus</w:t>
      </w:r>
      <w:r>
        <w:rPr>
          <w:rFonts w:ascii="Times New Roman" w:hAnsi="Times New Roman" w:eastAsia="Times New Roman"/>
          <w:sz w:val="20"/>
        </w:rPr>
        <w:t xml:space="preserve"> </w:t>
      </w:r>
      <m:oMath>
        <m:r>
          <m:t>75.23</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for Attention U-Net, with</w:t>
      </w:r>
      <w:r>
        <w:rPr>
          <w:rFonts w:ascii="Times New Roman" w:hAnsi="Times New Roman" w:eastAsia="Times New Roman"/>
          <w:sz w:val="20"/>
        </w:rPr>
        <w:t xml:space="preserve"> </w:t>
      </w:r>
      <m:oMath>
        <m:r>
          <m:rPr>
            <m:sty m:val="p"/>
          </m:rPr>
          <m:t>+</m:t>
        </m:r>
        <m:r>
          <m:t>12.28</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higher recall (rising from</w:t>
      </w:r>
      <w:r>
        <w:rPr>
          <w:rFonts w:ascii="Times New Roman" w:hAnsi="Times New Roman" w:eastAsia="Times New Roman"/>
          <w:sz w:val="20"/>
        </w:rPr>
        <w:t xml:space="preserve"> </w:t>
      </w:r>
      <m:oMath>
        <m:r>
          <m:t>65.20</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to</w:t>
      </w:r>
      <w:r>
        <w:rPr>
          <w:rFonts w:ascii="Times New Roman" w:hAnsi="Times New Roman" w:eastAsia="Times New Roman"/>
          <w:sz w:val="20"/>
        </w:rPr>
        <w:t xml:space="preserve"> </w:t>
      </w:r>
      <m:oMath>
        <m:r>
          <m:t>77.48</m:t>
        </m:r>
        <m:r>
          <m:rPr>
            <m:sty m:val="p"/>
          </m:rPr>
          <m:t>%</m:t>
        </m:r>
      </m:oMath>
      <w:r>
        <w:rPr>
          <w:rFonts w:ascii="Times New Roman" w:hAnsi="Times New Roman" w:eastAsia="Times New Roman"/>
          <w:sz w:val="20"/>
        </w:rPr>
        <w:t xml:space="preserve">). This pattern is consistent with the backscatter observations of</w:t>
      </w:r>
      <w:r>
        <w:rPr>
          <w:rFonts w:ascii="Times New Roman" w:hAnsi="Times New Roman" w:eastAsia="Times New Roman"/>
          <w:sz w:val="20"/>
        </w:rPr>
        <w:t xml:space="preserve"> </w:t>
      </w:r>
      <w:r>
        <w:rPr>
          <w:rFonts w:ascii="Times New Roman" w:hAnsi="Times New Roman" w:eastAsia="Times New Roman"/>
          <w:sz w:val="20"/>
        </w:rPr>
        <w:t xml:space="preserve">Tompkin and Leinss (2021)</w:t>
      </w:r>
      <w:r>
        <w:rPr>
          <w:rFonts w:ascii="Times New Roman" w:hAnsi="Times New Roman" w:eastAsia="Times New Roman"/>
          <w:sz w:val="20"/>
        </w:rPr>
        <w:t xml:space="preserve">: on backslopes with high local incidence angles (</w:t>
      </w:r>
      <m:oMath>
        <m:sSup>
          <m:e>
            <m:r>
              <m:t>55</m:t>
            </m:r>
          </m:e>
          <m:sup>
            <m:r>
              <m:rPr>
                <m:sty m:val="p"/>
              </m:rPr>
              <m:t>∘</m:t>
            </m:r>
          </m:sup>
        </m:sSup>
        <m:r>
          <m:rPr>
            <m:sty m:val="p"/>
          </m:rPr>
          <m:t>±</m:t>
        </m:r>
        <m:sSup>
          <m:e>
            <m:r>
              <m:t>20</m:t>
            </m:r>
          </m:e>
          <m:sup>
            <m:r>
              <m:rPr>
                <m:sty m:val="p"/>
              </m:rPr>
              <m:t>∘</m:t>
            </m:r>
          </m:sup>
        </m:sSup>
      </m:oMath>
      <w:r>
        <w:rPr>
          <w:rFonts w:ascii="Times New Roman" w:hAnsi="Times New Roman" w:eastAsia="Times New Roman"/>
          <w:sz w:val="20"/>
        </w:rPr>
        <w:t xml:space="preserve">), undisturbed snow exhibits low backscatter and rough debris can appear strongly visible. In the high-altitude continental Pamir Mountains, the</w:t>
      </w:r>
      <w:r>
        <w:rPr>
          <w:rFonts w:ascii="Times New Roman" w:hAnsi="Times New Roman" w:eastAsia="Times New Roman"/>
          <w:sz w:val="20"/>
        </w:rPr>
        <w:t xml:space="preserve"> </w:t>
      </w:r>
      <m:oMath>
        <m:r>
          <m:rPr>
            <m:sty m:val="p"/>
          </m:rPr>
          <m:t>+</m:t>
        </m:r>
        <m:r>
          <m:t>5.09</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backslope difference (</w:t>
      </w:r>
      <m:oMath>
        <m:r>
          <m:t>53.42</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vs</w:t>
      </w:r>
      <w:r>
        <w:rPr>
          <w:rFonts w:ascii="Times New Roman" w:hAnsi="Times New Roman" w:eastAsia="Times New Roman"/>
          <w:sz w:val="20"/>
        </w:rPr>
        <w:t xml:space="preserve"> </w:t>
      </w:r>
      <m:oMath>
        <m:r>
          <m:t>48.33</m:t>
        </m:r>
        <m:r>
          <m:rPr>
            <m:sty m:val="p"/>
          </m:rPr>
          <m:t>%</m:t>
        </m:r>
      </m:oMath>
      <w:r>
        <w:rPr>
          <w:rFonts w:ascii="Times New Roman" w:hAnsi="Times New Roman" w:eastAsia="Times New Roman"/>
          <w:sz w:val="20"/>
        </w:rPr>
        <w:t xml:space="preserve">) is precision-associated (</w:t>
      </w:r>
      <m:oMath>
        <m:r>
          <m:rPr>
            <m:sty m:val="p"/>
          </m:rPr>
          <m:t>+</m:t>
        </m:r>
        <m:r>
          <m:t>13.95</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precision, rising from</w:t>
      </w:r>
      <w:r>
        <w:rPr>
          <w:rFonts w:ascii="Times New Roman" w:hAnsi="Times New Roman" w:eastAsia="Times New Roman"/>
          <w:sz w:val="20"/>
        </w:rPr>
        <w:t xml:space="preserve"> </w:t>
      </w:r>
      <m:oMath>
        <m:r>
          <m:t>38.41</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to</w:t>
      </w:r>
      <w:r>
        <w:rPr>
          <w:rFonts w:ascii="Times New Roman" w:hAnsi="Times New Roman" w:eastAsia="Times New Roman"/>
          <w:sz w:val="20"/>
        </w:rPr>
        <w:t xml:space="preserve"> </w:t>
      </w:r>
      <m:oMath>
        <m:r>
          <m:t>52.36</m:t>
        </m:r>
        <m:r>
          <m:rPr>
            <m:sty m:val="p"/>
          </m:rPr>
          <m:t>%</m:t>
        </m:r>
      </m:oMath>
      <w:r>
        <w:rPr>
          <w:rFonts w:ascii="Times New Roman" w:hAnsi="Times New Roman" w:eastAsia="Times New Roman"/>
          <w:sz w:val="20"/>
        </w:rPr>
        <w:t xml:space="preserve">, while recall drops from</w:t>
      </w:r>
      <w:r>
        <w:rPr>
          <w:rFonts w:ascii="Times New Roman" w:hAnsi="Times New Roman" w:eastAsia="Times New Roman"/>
          <w:sz w:val="20"/>
        </w:rPr>
        <w:t xml:space="preserve"> </w:t>
      </w:r>
      <m:oMath>
        <m:r>
          <m:t>65.17</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to</w:t>
      </w:r>
      <w:r>
        <w:rPr>
          <w:rFonts w:ascii="Times New Roman" w:hAnsi="Times New Roman" w:eastAsia="Times New Roman"/>
          <w:sz w:val="20"/>
        </w:rPr>
        <w:t xml:space="preserve"> </w:t>
      </w:r>
      <m:oMath>
        <m:r>
          <m:t>54.52</m:t>
        </m:r>
        <m:r>
          <m:rPr>
            <m:sty m:val="p"/>
          </m:rPr>
          <m:t>%</m:t>
        </m:r>
      </m:oMath>
      <w:r>
        <w:rPr>
          <w:rFonts w:ascii="Times New Roman" w:hAnsi="Times New Roman" w:eastAsia="Times New Roman"/>
          <w:sz w:val="20"/>
        </w:rPr>
        <w:t xml:space="preserve">). These are descriptive stratum associations from Seed 42, not component-isolated causal effects.</w:t>
      </w:r>
    </w:p>
    <w:p>
      <w:pPr>
        <w:numPr>
          <w:ilvl w:val="0"/>
          <w:numId w:val="1007"/>
        </w:numPr>
        <w:spacing w:after="0" w:line="240" w:lineRule="auto"/>
      </w:pPr>
      <w:r>
        <w:rPr>
          <w:rFonts w:ascii="Times New Roman" w:hAnsi="Times New Roman" w:eastAsia="Times New Roman"/>
          <w:b/>
          <w:bCs/>
          <w:sz w:val="20"/>
        </w:rPr>
        <w:t xml:space="preserve">Separation in Active Avalanche Chutes (</w:t>
      </w:r>
      <m:oMath>
        <m:sSup>
          <m:e>
            <m:r>
              <m:t>25</m:t>
            </m:r>
          </m:e>
          <m:sup>
            <m:r>
              <m:rPr>
                <m:sty m:val="p"/>
              </m:rPr>
              <m:t>∘</m:t>
            </m:r>
          </m:sup>
        </m:sSup>
      </m:oMath>
      <w:r>
        <w:rPr>
          <w:rFonts w:ascii="Times New Roman" w:hAnsi="Times New Roman" w:eastAsia="Times New Roman"/>
          <w:b/>
          <w:bCs/>
          <w:sz w:val="20"/>
        </w:rPr>
        <w:t xml:space="preserve">–</w:t>
      </w:r>
      <m:oMath>
        <m:sSup>
          <m:e>
            <m:r>
              <m:t>45</m:t>
            </m:r>
          </m:e>
          <m:sup>
            <m:r>
              <m:rPr>
                <m:sty m:val="p"/>
              </m:rPr>
              <m:t>∘</m:t>
            </m:r>
          </m:sup>
        </m:sSup>
      </m:oMath>
      <w:r>
        <w:rPr>
          <w:rFonts w:ascii="Times New Roman" w:hAnsi="Times New Roman" w:eastAsia="Times New Roman"/>
          <w:b/>
          <w:bCs/>
          <w:sz w:val="20"/>
        </w:rPr>
        <w:t xml:space="preserve">):</w:t>
      </w:r>
      <w:r>
        <w:rPr>
          <w:rFonts w:ascii="Times New Roman" w:hAnsi="Times New Roman" w:eastAsia="Times New Roman"/>
          <w:sz w:val="20"/>
        </w:rPr>
        <w:t xml:space="preserve"> </w:t>
      </w:r>
      <w:r>
        <w:rPr>
          <w:rFonts w:ascii="Times New Roman" w:hAnsi="Times New Roman" w:eastAsia="Times New Roman"/>
          <w:sz w:val="20"/>
        </w:rPr>
        <w:t xml:space="preserve">In the primary avalanche terrain zone (</w:t>
      </w:r>
      <m:oMath>
        <m:sSup>
          <m:e>
            <m:r>
              <m:t>25</m:t>
            </m:r>
          </m:e>
          <m:sup>
            <m:r>
              <m:rPr>
                <m:sty m:val="p"/>
              </m:rPr>
              <m:t>∘</m:t>
            </m:r>
          </m:sup>
        </m:sSup>
      </m:oMath>
      <w:r>
        <w:rPr>
          <w:rFonts w:ascii="Times New Roman" w:hAnsi="Times New Roman" w:eastAsia="Times New Roman"/>
          <w:sz w:val="20"/>
        </w:rPr>
        <w:t xml:space="preserve">–</w:t>
      </w:r>
      <m:oMath>
        <m:sSup>
          <m:e>
            <m:r>
              <m:t>45</m:t>
            </m:r>
          </m:e>
          <m:sup>
            <m:r>
              <m:rPr>
                <m:sty m:val="p"/>
              </m:rPr>
              <m:t>∘</m:t>
            </m:r>
          </m:sup>
        </m:sSup>
      </m:oMath>
      <w:r>
        <w:rPr>
          <w:rFonts w:ascii="Times New Roman" w:hAnsi="Times New Roman" w:eastAsia="Times New Roman"/>
          <w:sz w:val="20"/>
        </w:rPr>
        <w:t xml:space="preserve"> </w:t>
      </w:r>
      <w:r>
        <w:rPr>
          <w:rFonts w:ascii="Times New Roman" w:hAnsi="Times New Roman" w:eastAsia="Times New Roman"/>
          <w:sz w:val="20"/>
        </w:rPr>
        <w:t xml:space="preserve">slope), TopoRadar-Net attains</w:t>
      </w:r>
      <w:r>
        <w:rPr>
          <w:rFonts w:ascii="Times New Roman" w:hAnsi="Times New Roman" w:eastAsia="Times New Roman"/>
          <w:sz w:val="20"/>
        </w:rPr>
        <w:t xml:space="preserve"> </w:t>
      </w:r>
      <m:oMath>
        <m:r>
          <m:t>81.34</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F1 versus</w:t>
      </w:r>
      <w:r>
        <w:rPr>
          <w:rFonts w:ascii="Times New Roman" w:hAnsi="Times New Roman" w:eastAsia="Times New Roman"/>
          <w:sz w:val="20"/>
        </w:rPr>
        <w:t xml:space="preserve"> </w:t>
      </w:r>
      <m:oMath>
        <m:r>
          <m:t>77.00</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for Attention U-Net (</w:t>
      </w:r>
      <m:oMath>
        <m:r>
          <m:rPr>
            <m:sty m:val="p"/>
          </m:rPr>
          <m:t>+</m:t>
        </m:r>
        <m:r>
          <m:t>4.34</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F1,</w:t>
      </w:r>
      <w:r>
        <w:rPr>
          <w:rFonts w:ascii="Times New Roman" w:hAnsi="Times New Roman" w:eastAsia="Times New Roman"/>
          <w:sz w:val="20"/>
        </w:rPr>
        <w:t xml:space="preserve"> </w:t>
      </w:r>
      <m:oMath>
        <m:r>
          <m:rPr>
            <m:sty m:val="p"/>
          </m:rPr>
          <m:t>+</m:t>
        </m:r>
        <m:r>
          <m:t>5.94</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IoU) in Troms</w:t>
      </w:r>
      <w:r>
        <w:rPr>
          <w:rFonts w:ascii="Times New Roman" w:hAnsi="Times New Roman" w:eastAsia="Times New Roman"/>
          <w:sz w:val="20"/>
        </w:rPr>
        <w:t xml:space="preserve">ø</w:t>
      </w:r>
      <w:r>
        <w:rPr>
          <w:rFonts w:ascii="Times New Roman" w:hAnsi="Times New Roman" w:eastAsia="Times New Roman"/>
          <w:sz w:val="20"/>
        </w:rPr>
        <w:t xml:space="preserve">. The foreslope difference is</w:t>
      </w:r>
      <w:r>
        <w:rPr>
          <w:rFonts w:ascii="Times New Roman" w:hAnsi="Times New Roman" w:eastAsia="Times New Roman"/>
          <w:sz w:val="20"/>
        </w:rPr>
        <w:t xml:space="preserve"> </w:t>
      </w:r>
      <m:oMath>
        <m:r>
          <m:rPr>
            <m:sty m:val="p"/>
          </m:rPr>
          <m:t>−</m:t>
        </m:r>
        <m:r>
          <m:t>0.07</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in this Seed-42 descriptive comparison.</w:t>
      </w:r>
    </w:p>
    <w:p>
      <w:pPr>
        <w:numPr>
          <w:ilvl w:val="0"/>
          <w:numId w:val="1007"/>
        </w:numPr>
        <w:spacing w:after="0" w:line="240" w:lineRule="auto"/>
      </w:pPr>
      <w:r>
        <w:rPr>
          <w:rFonts w:ascii="Times New Roman" w:hAnsi="Times New Roman" w:eastAsia="Times New Roman"/>
          <w:b/>
          <w:bCs/>
          <w:sz w:val="20"/>
        </w:rPr>
        <w:t xml:space="preserve">Physical Radar Shadow Boundary:</w:t>
      </w:r>
      <w:r>
        <w:rPr>
          <w:rFonts w:ascii="Times New Roman" w:hAnsi="Times New Roman" w:eastAsia="Times New Roman"/>
          <w:sz w:val="20"/>
        </w:rPr>
        <w:t xml:space="preserve"> </w:t>
      </w:r>
      <w:r>
        <w:rPr>
          <w:rFonts w:ascii="Times New Roman" w:hAnsi="Times New Roman" w:eastAsia="Times New Roman"/>
          <w:sz w:val="20"/>
        </w:rPr>
        <w:t xml:space="preserve">In the extreme high-altitude Pamir Mountains on slopes</w:t>
      </w:r>
      <w:r>
        <w:rPr>
          <w:rFonts w:ascii="Times New Roman" w:hAnsi="Times New Roman" w:eastAsia="Times New Roman"/>
          <w:sz w:val="20"/>
        </w:rPr>
        <w:t xml:space="preserve"> </w:t>
      </w:r>
      <m:oMath>
        <m:r>
          <m:rPr>
            <m:sty m:val="p"/>
          </m:rPr>
          <m:t>&gt;</m:t>
        </m:r>
        <m:sSup>
          <m:e>
            <m:r>
              <m:t>45</m:t>
            </m:r>
          </m:e>
          <m:sup>
            <m:r>
              <m:rPr>
                <m:sty m:val="p"/>
              </m:rPr>
              <m:t>∘</m:t>
            </m:r>
          </m:sup>
        </m:sSup>
      </m:oMath>
      <w:r>
        <w:rPr>
          <w:rFonts w:ascii="Times New Roman" w:hAnsi="Times New Roman" w:eastAsia="Times New Roman"/>
          <w:sz w:val="20"/>
        </w:rPr>
        <w:t xml:space="preserve">, performance for both networks is low (</w:t>
      </w:r>
      <m:oMath>
        <m:r>
          <m:t>8.85</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vs</w:t>
      </w:r>
      <w:r>
        <w:rPr>
          <w:rFonts w:ascii="Times New Roman" w:hAnsi="Times New Roman" w:eastAsia="Times New Roman"/>
          <w:sz w:val="20"/>
        </w:rPr>
        <w:t xml:space="preserve"> </w:t>
      </w:r>
      <m:oMath>
        <m:r>
          <m:t>16.65</m:t>
        </m:r>
        <m:r>
          <m:rPr>
            <m:sty m:val="p"/>
          </m:rPr>
          <m:t>%</m:t>
        </m:r>
      </m:oMath>
      <w:r>
        <w:rPr>
          <w:rFonts w:ascii="Times New Roman" w:hAnsi="Times New Roman" w:eastAsia="Times New Roman"/>
          <w:sz w:val="20"/>
        </w:rPr>
        <w:t xml:space="preserve">,</w:t>
      </w:r>
      <w:r>
        <w:rPr>
          <w:rFonts w:ascii="Times New Roman" w:hAnsi="Times New Roman" w:eastAsia="Times New Roman"/>
          <w:sz w:val="20"/>
        </w:rPr>
        <w:t xml:space="preserve"> </w:t>
      </w:r>
      <m:oMath>
        <m:r>
          <m:rPr>
            <m:sty m:val="p"/>
          </m:rPr>
          <m:t>Δ</m:t>
        </m:r>
        <m:r>
          <m:rPr>
            <m:sty m:val="p"/>
          </m:rPr>
          <m:t>=</m:t>
        </m:r>
        <m:r>
          <m:rPr>
            <m:sty m:val="p"/>
          </m:rPr>
          <m:t>−</m:t>
        </m:r>
        <m:r>
          <m:t>7.80</m:t>
        </m:r>
        <m:r>
          <m:rPr>
            <m:sty m:val="p"/>
          </m:rPr>
          <m:t>%</m:t>
        </m:r>
      </m:oMath>
      <w:r>
        <w:rPr>
          <w:rFonts w:ascii="Times New Roman" w:hAnsi="Times New Roman" w:eastAsia="Times New Roman"/>
          <w:sz w:val="20"/>
        </w:rPr>
        <w:t xml:space="preserve">), with debris representing only 203 pixels. The result identifies a small-sample failure stratum consistent with radar shadow; it does not prove that shadow alone causes the errors.</w:t>
      </w:r>
    </w:p>
    <w:p>
      <w:pPr>
        <w:pStyle w:val="FirstParagraph"/>
        <w:spacing w:after="0" w:line="240" w:lineRule="auto"/>
      </w:pPr>
      <w:r>
        <w:rPr>
          <w:rFonts w:ascii="Times New Roman" w:hAnsi="Times New Roman" w:eastAsia="Times New Roman"/>
          <w:sz w:val="20"/>
        </w:rPr>
        <w:t xml:space="preserve">To test whether the exploratory Seed-42 patterns persist under training uncertainty, we repeated full-scene stratification for Seeds 42, 123, and 456 using each checkpoint’s frozen validation-selected threshold (multi-seed stratification artifact). The backslope F1 differences versus Attention U-Net average</w:t>
      </w:r>
      <w:r>
        <w:rPr>
          <w:rFonts w:ascii="Times New Roman" w:hAnsi="Times New Roman" w:eastAsia="Times New Roman"/>
          <w:sz w:val="20"/>
        </w:rPr>
        <w:t xml:space="preserve"> </w:t>
      </w:r>
      <m:oMath>
        <m:r>
          <m:rPr>
            <m:sty m:val="p"/>
          </m:rPr>
          <m:t>−</m:t>
        </m:r>
        <m:r>
          <m:t>0.34</m:t>
        </m:r>
        <m:r>
          <m:rPr>
            <m:sty m:val="p"/>
          </m:rPr>
          <m:t>%</m:t>
        </m:r>
        <m:r>
          <m:rPr>
            <m:sty m:val="p"/>
          </m:rPr>
          <m:t>±</m:t>
        </m:r>
        <m:r>
          <m:t>6.28</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in Troms</w:t>
      </w:r>
      <w:r>
        <w:rPr>
          <w:rFonts w:ascii="Times New Roman" w:hAnsi="Times New Roman" w:eastAsia="Times New Roman"/>
          <w:sz w:val="20"/>
        </w:rPr>
        <w:t xml:space="preserve">ø</w:t>
      </w:r>
      <w:r>
        <w:rPr>
          <w:rFonts w:ascii="Times New Roman" w:hAnsi="Times New Roman" w:eastAsia="Times New Roman"/>
          <w:sz w:val="20"/>
        </w:rPr>
        <w:t xml:space="preserve"> </w:t>
      </w:r>
      <w:r>
        <w:rPr>
          <w:rFonts w:ascii="Times New Roman" w:hAnsi="Times New Roman" w:eastAsia="Times New Roman"/>
          <w:sz w:val="20"/>
        </w:rPr>
        <w:t xml:space="preserve">and</w:t>
      </w:r>
      <w:r>
        <w:rPr>
          <w:rFonts w:ascii="Times New Roman" w:hAnsi="Times New Roman" w:eastAsia="Times New Roman"/>
          <w:sz w:val="20"/>
        </w:rPr>
        <w:t xml:space="preserve"> </w:t>
      </w:r>
      <m:oMath>
        <m:r>
          <m:rPr>
            <m:sty m:val="p"/>
          </m:rPr>
          <m:t>+</m:t>
        </m:r>
        <m:r>
          <m:t>1.20</m:t>
        </m:r>
        <m:r>
          <m:rPr>
            <m:sty m:val="p"/>
          </m:rPr>
          <m:t>%</m:t>
        </m:r>
        <m:r>
          <m:rPr>
            <m:sty m:val="p"/>
          </m:rPr>
          <m:t>±</m:t>
        </m:r>
        <m:r>
          <m:t>7.73</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in Pamir (population SD; positive in two of three seeds for each region), rather than stable</w:t>
      </w:r>
      <w:r>
        <w:rPr>
          <w:rFonts w:ascii="Times New Roman" w:hAnsi="Times New Roman" w:eastAsia="Times New Roman"/>
          <w:sz w:val="20"/>
        </w:rPr>
        <w:t xml:space="preserve"> </w:t>
      </w:r>
      <m:oMath>
        <m:r>
          <m:rPr>
            <m:sty m:val="p"/>
          </m:rPr>
          <m:t>&gt;</m:t>
        </m:r>
        <m:r>
          <m:rPr>
            <m:sty m:val="p"/>
          </m:rPr>
          <m:t>+</m:t>
        </m:r>
        <m:r>
          <m:t>5</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effects. Troms</w:t>
      </w:r>
      <w:r>
        <w:rPr>
          <w:rFonts w:ascii="Times New Roman" w:hAnsi="Times New Roman" w:eastAsia="Times New Roman"/>
          <w:sz w:val="20"/>
        </w:rPr>
        <w:t xml:space="preserve">ø</w:t>
      </w:r>
      <w:r>
        <w:rPr>
          <w:rFonts w:ascii="Times New Roman" w:hAnsi="Times New Roman" w:eastAsia="Times New Roman"/>
          <w:sz w:val="20"/>
        </w:rPr>
        <w:t xml:space="preserve"> </w:t>
      </w:r>
      <w:r>
        <w:rPr>
          <w:rFonts w:ascii="Times New Roman" w:hAnsi="Times New Roman" w:eastAsia="Times New Roman"/>
          <w:sz w:val="20"/>
        </w:rPr>
        <w:t xml:space="preserve">foreslopes average</w:t>
      </w:r>
      <w:r>
        <w:rPr>
          <w:rFonts w:ascii="Times New Roman" w:hAnsi="Times New Roman" w:eastAsia="Times New Roman"/>
          <w:sz w:val="20"/>
        </w:rPr>
        <w:t xml:space="preserve"> </w:t>
      </w:r>
      <m:oMath>
        <m:r>
          <m:rPr>
            <m:sty m:val="p"/>
          </m:rPr>
          <m:t>−</m:t>
        </m:r>
        <m:r>
          <m:t>1.21</m:t>
        </m:r>
        <m:r>
          <m:rPr>
            <m:sty m:val="p"/>
          </m:rPr>
          <m:t>%</m:t>
        </m:r>
        <m:r>
          <m:rPr>
            <m:sty m:val="p"/>
          </m:rPr>
          <m:t>±</m:t>
        </m:r>
        <m:r>
          <m:t>0.86</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(zero of three positive), while Pamir runout/valley terrain averages</w:t>
      </w:r>
      <w:r>
        <w:rPr>
          <w:rFonts w:ascii="Times New Roman" w:hAnsi="Times New Roman" w:eastAsia="Times New Roman"/>
          <w:sz w:val="20"/>
        </w:rPr>
        <w:t xml:space="preserve"> </w:t>
      </w:r>
      <m:oMath>
        <m:r>
          <m:rPr>
            <m:sty m:val="p"/>
          </m:rPr>
          <m:t>+</m:t>
        </m:r>
        <m:r>
          <m:t>5.32</m:t>
        </m:r>
        <m:r>
          <m:rPr>
            <m:sty m:val="p"/>
          </m:rPr>
          <m:t>%</m:t>
        </m:r>
        <m:r>
          <m:rPr>
            <m:sty m:val="p"/>
          </m:rPr>
          <m:t>±</m:t>
        </m:r>
        <m:r>
          <m:t>7.76</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(two of three positive). Extreme-steep strata are highly seed-variable. The multi-seed check therefore narrows Table 6 to an exploratory regional characterization and provides no component-isolated directional mechanism claim.</w:t>
      </w:r>
    </w:p>
    <w:bookmarkEnd w:id="39"/>
    <w:bookmarkStart w:id="40" w:name="X667867ad7d431b0e5ffe71fd1a416548640bce9"/>
    <w:p>
      <w:pPr>
        <w:pStyle w:val="Heading2"/>
        <w:spacing w:after="0" w:line="240" w:lineRule="auto"/>
      </w:pPr>
      <w:r>
        <w:rPr>
          <w:rFonts w:ascii="Times New Roman" w:hAnsi="Times New Roman" w:eastAsia="Times New Roman"/>
          <w:sz w:val="20"/>
        </w:rPr>
        <w:t xml:space="preserve">Extended Validation Cohort Analysis on Polar Maritime Terrain (Nuuk, Greenland)</w:t>
      </w:r>
    </w:p>
    <w:p>
      <w:pPr>
        <w:pStyle w:val="FirstParagraph"/>
        <w:spacing w:after="0" w:line="240" w:lineRule="auto"/>
      </w:pPr>
      <w:r>
        <w:rPr>
          <w:rFonts w:ascii="Times New Roman" w:hAnsi="Times New Roman" w:eastAsia="Times New Roman"/>
          <w:sz w:val="20"/>
        </w:rPr>
        <w:t xml:space="preserve">To evaluate model stability across the broader AvalCD distribution beyond the zero-shot test scenes, Table 7 reports performance on the 11 April 2021 polar-maritime validation cohort in Southwest Greenland (used for checkpoint selection and threshold calibration;</w:t>
      </w:r>
      <w:r>
        <w:rPr>
          <w:rFonts w:ascii="Times New Roman" w:hAnsi="Times New Roman" w:eastAsia="Times New Roman"/>
          <w:sz w:val="20"/>
        </w:rPr>
        <w:t xml:space="preserve"> </w:t>
      </w:r>
      <m:oMath>
        <m:r>
          <m:t>n</m:t>
        </m:r>
        <m:r>
          <m:rPr>
            <m:sty m:val="p"/>
          </m:rPr>
          <m:t>=</m:t>
        </m:r>
        <m:r>
          <m:t>129</m:t>
        </m:r>
      </m:oMath>
      <w:r>
        <w:rPr>
          <w:rFonts w:ascii="Times New Roman" w:hAnsi="Times New Roman" w:eastAsia="Times New Roman"/>
          <w:sz w:val="20"/>
        </w:rPr>
        <w:t xml:space="preserve"> </w:t>
      </w:r>
      <w:r>
        <w:rPr>
          <w:rFonts w:ascii="Times New Roman" w:hAnsi="Times New Roman" w:eastAsia="Times New Roman"/>
          <w:sz w:val="20"/>
        </w:rPr>
        <w:t xml:space="preserve">polygons, 81,595 debris pixels).</w:t>
      </w:r>
    </w:p>
    <w:p>
      <w:pPr>
        <w:pStyle w:val="BodyText"/>
        <w:spacing w:after="0" w:line="240" w:lineRule="auto"/>
      </w:pPr>
      <w:r>
        <w:rPr>
          <w:rFonts w:ascii="Times New Roman" w:hAnsi="Times New Roman" w:eastAsia="Times New Roman"/>
          <w:b/>
          <w:bCs/>
          <w:sz w:val="20"/>
        </w:rPr>
        <w:t xml:space="preserve">Table 7.</w:t>
      </w:r>
      <w:r>
        <w:rPr>
          <w:rFonts w:ascii="Times New Roman" w:hAnsi="Times New Roman" w:eastAsia="Times New Roman"/>
          <w:sz w:val="20"/>
        </w:rPr>
        <w:t xml:space="preserve"> </w:t>
      </w:r>
      <w:r>
        <w:rPr>
          <w:rFonts w:ascii="Times New Roman" w:hAnsi="Times New Roman" w:eastAsia="Times New Roman"/>
          <w:sz w:val="20"/>
        </w:rPr>
        <w:t xml:space="preserve">Performance on the 11 April 2021 polar-maritime validation scene in Southwest Greenland (used for checkpoint selection and threshold calibration; n=129 polygons, 81,595 debris pixels) across three seeds (mean ± SD).</w:t>
      </w:r>
    </w:p>
    <w:tbl>
      <w:tblPr>
        <w:tblStyle w:val="Table"/>
        <w:tblW w:type="auto" w:w="0"/>
        <w:tblLayout w:type="autofit"/>
        <w:tblLook w:firstRow="1" w:lastRow="0" w:firstColumn="0" w:lastColumn="0" w:noHBand="0" w:noVBand="0" w:val="0020"/>
      </w:tblPr>
      <w:tblGrid>
        <w:gridCol w:w="1584"/>
        <w:gridCol w:w="1584"/>
        <w:gridCol w:w="1584"/>
        <w:gridCol w:w="1584"/>
        <w:gridCol w:w="1584"/>
      </w:tblGrid>
      <w:tr>
        <w:trPr>
          <w:tblHeader w:val="on"/>
          <w:cantSplit w:val="true"/>
          <w:tblHeader w:val="true"/>
        </w:trPr>
        <w:tc>
          <w:tcPr>
            <w:vAlign w:val="center"/>
          </w:tcPr>
          <w:p>
            <w:pPr>
              <w:pStyle w:val="Compact"/>
              <w:spacing w:before="0" w:after="0" w:line="240" w:lineRule="auto"/>
              <w:jc w:val="left"/>
            </w:pPr>
            <w:r>
              <w:rPr>
                <w:rFonts w:ascii="Times New Roman" w:hAnsi="Times New Roman" w:eastAsia="Times New Roman"/>
                <w:b/>
                <w:bCs/>
                <w:sz w:val="17"/>
              </w:rPr>
              <w:t xml:space="preserve">Method</w:t>
            </w:r>
          </w:p>
        </w:tc>
        <w:tc>
          <w:tcPr>
            <w:vAlign w:val="center"/>
          </w:tcPr>
          <w:p>
            <w:pPr>
              <w:pStyle w:val="Compact"/>
              <w:spacing w:before="0" w:after="0" w:line="240" w:lineRule="auto"/>
              <w:jc w:val="center"/>
            </w:pPr>
            <w:r>
              <w:rPr>
                <w:rFonts w:ascii="Times New Roman" w:hAnsi="Times New Roman" w:eastAsia="Times New Roman"/>
                <w:b/>
                <w:bCs/>
                <w:sz w:val="17"/>
              </w:rPr>
              <w:t xml:space="preserve">Pixel F1 (%)</w:t>
            </w:r>
          </w:p>
        </w:tc>
        <w:tc>
          <w:tcPr>
            <w:vAlign w:val="center"/>
          </w:tcPr>
          <w:p>
            <w:pPr>
              <w:pStyle w:val="Compact"/>
              <w:spacing w:before="0" w:after="0" w:line="240" w:lineRule="auto"/>
              <w:jc w:val="center"/>
            </w:pPr>
            <w:r>
              <w:rPr>
                <w:rFonts w:ascii="Times New Roman" w:hAnsi="Times New Roman" w:eastAsia="Times New Roman"/>
                <w:b/>
                <w:bCs/>
                <w:sz w:val="17"/>
              </w:rPr>
              <w:t xml:space="preserve">IoU (%)</w:t>
            </w:r>
          </w:p>
        </w:tc>
        <w:tc>
          <w:tcPr>
            <w:vAlign w:val="center"/>
          </w:tcPr>
          <w:p>
            <w:pPr>
              <w:pStyle w:val="Compact"/>
              <w:spacing w:before="0" w:after="0" w:line="240" w:lineRule="auto"/>
              <w:jc w:val="center"/>
            </w:pPr>
            <w:r>
              <w:rPr>
                <w:rFonts w:ascii="Times New Roman" w:hAnsi="Times New Roman" w:eastAsia="Times New Roman"/>
                <w:b/>
                <w:bCs/>
                <w:sz w:val="17"/>
              </w:rPr>
              <w:t xml:space="preserve">Precision (%)</w:t>
            </w:r>
          </w:p>
        </w:tc>
        <w:tc>
          <w:tcPr>
            <w:vAlign w:val="center"/>
          </w:tcPr>
          <w:p>
            <w:pPr>
              <w:pStyle w:val="Compact"/>
              <w:spacing w:before="0" w:after="0" w:line="240" w:lineRule="auto"/>
              <w:jc w:val="center"/>
            </w:pPr>
            <w:r>
              <w:rPr>
                <w:rFonts w:ascii="Times New Roman" w:hAnsi="Times New Roman" w:eastAsia="Times New Roman"/>
                <w:b/>
                <w:bCs/>
                <w:sz w:val="17"/>
              </w:rPr>
              <w:t xml:space="preserve">Recall (%)</w:t>
            </w:r>
          </w:p>
        </w:tc>
      </w:tr>
      <w:tr>
        <w:trPr>
          <w:cantSplit w:val="true"/>
        </w:trPr>
        <w:tc>
          <w:tcPr>
            <w:vAlign w:val="center"/>
          </w:tcPr>
          <w:p>
            <w:pPr>
              <w:pStyle w:val="Compact"/>
              <w:spacing w:before="0" w:after="0" w:line="240" w:lineRule="auto"/>
              <w:jc w:val="left"/>
            </w:pPr>
            <w:r>
              <w:rPr>
                <w:rFonts w:ascii="Times New Roman" w:hAnsi="Times New Roman" w:eastAsia="Times New Roman"/>
                <w:sz w:val="17"/>
              </w:rPr>
              <w:t xml:space="preserve">SiamUNet-diff</w:t>
            </w:r>
          </w:p>
        </w:tc>
        <w:tc>
          <w:tcPr>
            <w:vAlign w:val="center"/>
          </w:tcPr>
          <w:p>
            <w:pPr>
              <w:pStyle w:val="Compact"/>
              <w:spacing w:before="0" w:after="0" w:line="240" w:lineRule="auto"/>
              <w:jc w:val="center"/>
            </w:pPr>
            <w:r>
              <w:rPr>
                <w:rFonts w:ascii="Times New Roman" w:hAnsi="Times New Roman" w:eastAsia="Times New Roman"/>
                <w:sz w:val="17"/>
              </w:rPr>
              <w:t xml:space="preserve">59.35 ± 1.58%</w:t>
            </w:r>
          </w:p>
        </w:tc>
        <w:tc>
          <w:tcPr>
            <w:vAlign w:val="center"/>
          </w:tcPr>
          <w:p>
            <w:pPr>
              <w:pStyle w:val="Compact"/>
              <w:spacing w:before="0" w:after="0" w:line="240" w:lineRule="auto"/>
              <w:jc w:val="center"/>
            </w:pPr>
            <w:r>
              <w:rPr>
                <w:rFonts w:ascii="Times New Roman" w:hAnsi="Times New Roman" w:eastAsia="Times New Roman"/>
                <w:sz w:val="17"/>
              </w:rPr>
              <w:t xml:space="preserve">42.22 ± 1.45%</w:t>
            </w:r>
          </w:p>
        </w:tc>
        <w:tc>
          <w:tcPr>
            <w:vAlign w:val="center"/>
          </w:tcPr>
          <w:p>
            <w:pPr>
              <w:pStyle w:val="Compact"/>
              <w:spacing w:before="0" w:after="0" w:line="240" w:lineRule="auto"/>
              <w:jc w:val="center"/>
            </w:pPr>
            <w:r>
              <w:rPr>
                <w:rFonts w:ascii="Times New Roman" w:hAnsi="Times New Roman" w:eastAsia="Times New Roman"/>
                <w:sz w:val="17"/>
              </w:rPr>
              <w:t xml:space="preserve">58.10 ± 0.58%</w:t>
            </w:r>
          </w:p>
        </w:tc>
        <w:tc>
          <w:tcPr>
            <w:vAlign w:val="center"/>
          </w:tcPr>
          <w:p>
            <w:pPr>
              <w:pStyle w:val="Compact"/>
              <w:spacing w:before="0" w:after="0" w:line="240" w:lineRule="auto"/>
              <w:jc w:val="center"/>
            </w:pPr>
            <w:r>
              <w:rPr>
                <w:rFonts w:ascii="Times New Roman" w:hAnsi="Times New Roman" w:eastAsia="Times New Roman"/>
                <w:sz w:val="17"/>
              </w:rPr>
              <w:t xml:space="preserve">60.79 ± 3.70%</w:t>
            </w:r>
          </w:p>
        </w:tc>
      </w:tr>
      <w:tr>
        <w:trPr>
          <w:cantSplit w:val="true"/>
        </w:trPr>
        <w:tc>
          <w:tcPr>
            <w:vAlign w:val="center"/>
          </w:tcPr>
          <w:p>
            <w:pPr>
              <w:pStyle w:val="Compact"/>
              <w:spacing w:before="0" w:after="0" w:line="240" w:lineRule="auto"/>
              <w:jc w:val="left"/>
            </w:pPr>
            <w:r>
              <w:rPr>
                <w:rFonts w:ascii="Times New Roman" w:hAnsi="Times New Roman" w:eastAsia="Times New Roman"/>
                <w:sz w:val="17"/>
              </w:rPr>
              <w:t xml:space="preserve">SiamUNet-conc</w:t>
            </w:r>
          </w:p>
        </w:tc>
        <w:tc>
          <w:tcPr>
            <w:vAlign w:val="center"/>
          </w:tcPr>
          <w:p>
            <w:pPr>
              <w:pStyle w:val="Compact"/>
              <w:spacing w:before="0" w:after="0" w:line="240" w:lineRule="auto"/>
              <w:jc w:val="center"/>
            </w:pPr>
            <w:r>
              <w:rPr>
                <w:rFonts w:ascii="Times New Roman" w:hAnsi="Times New Roman" w:eastAsia="Times New Roman"/>
                <w:sz w:val="17"/>
              </w:rPr>
              <w:t xml:space="preserve">66.53 ± 0.97%</w:t>
            </w:r>
          </w:p>
        </w:tc>
        <w:tc>
          <w:tcPr>
            <w:vAlign w:val="center"/>
          </w:tcPr>
          <w:p>
            <w:pPr>
              <w:pStyle w:val="Compact"/>
              <w:spacing w:before="0" w:after="0" w:line="240" w:lineRule="auto"/>
              <w:jc w:val="center"/>
            </w:pPr>
            <w:r>
              <w:rPr>
                <w:rFonts w:ascii="Times New Roman" w:hAnsi="Times New Roman" w:eastAsia="Times New Roman"/>
                <w:sz w:val="17"/>
              </w:rPr>
              <w:t xml:space="preserve">49.85 ± 1.09%</w:t>
            </w:r>
          </w:p>
        </w:tc>
        <w:tc>
          <w:tcPr>
            <w:vAlign w:val="center"/>
          </w:tcPr>
          <w:p>
            <w:pPr>
              <w:pStyle w:val="Compact"/>
              <w:spacing w:before="0" w:after="0" w:line="240" w:lineRule="auto"/>
              <w:jc w:val="center"/>
            </w:pPr>
            <w:r>
              <w:rPr>
                <w:rFonts w:ascii="Times New Roman" w:hAnsi="Times New Roman" w:eastAsia="Times New Roman"/>
                <w:sz w:val="17"/>
              </w:rPr>
              <w:t xml:space="preserve">57.72 ± 2.15%</w:t>
            </w:r>
          </w:p>
        </w:tc>
        <w:tc>
          <w:tcPr>
            <w:vAlign w:val="center"/>
          </w:tcPr>
          <w:p>
            <w:pPr>
              <w:pStyle w:val="Compact"/>
              <w:spacing w:before="0" w:after="0" w:line="240" w:lineRule="auto"/>
              <w:jc w:val="center"/>
            </w:pPr>
            <w:r>
              <w:rPr>
                <w:rFonts w:ascii="Times New Roman" w:hAnsi="Times New Roman" w:eastAsia="Times New Roman"/>
                <w:sz w:val="17"/>
              </w:rPr>
              <w:t xml:space="preserve">78.66 ± 1.74%</w:t>
            </w:r>
          </w:p>
        </w:tc>
      </w:tr>
      <w:tr>
        <w:trPr>
          <w:cantSplit w:val="true"/>
        </w:trPr>
        <w:tc>
          <w:tcPr>
            <w:vAlign w:val="center"/>
          </w:tcPr>
          <w:p>
            <w:pPr>
              <w:pStyle w:val="Compact"/>
              <w:spacing w:before="0" w:after="0" w:line="240" w:lineRule="auto"/>
              <w:jc w:val="left"/>
            </w:pPr>
            <w:r>
              <w:rPr>
                <w:rFonts w:ascii="Times New Roman" w:hAnsi="Times New Roman" w:eastAsia="Times New Roman"/>
                <w:sz w:val="17"/>
              </w:rPr>
              <w:t xml:space="preserve">ResU-Net</w:t>
            </w:r>
          </w:p>
        </w:tc>
        <w:tc>
          <w:tcPr>
            <w:vAlign w:val="center"/>
          </w:tcPr>
          <w:p>
            <w:pPr>
              <w:pStyle w:val="Compact"/>
              <w:spacing w:before="0" w:after="0" w:line="240" w:lineRule="auto"/>
              <w:jc w:val="center"/>
            </w:pPr>
            <w:r>
              <w:rPr>
                <w:rFonts w:ascii="Times New Roman" w:hAnsi="Times New Roman" w:eastAsia="Times New Roman"/>
                <w:sz w:val="17"/>
              </w:rPr>
              <w:t xml:space="preserve">67.16 ± 1.62%</w:t>
            </w:r>
          </w:p>
        </w:tc>
        <w:tc>
          <w:tcPr>
            <w:vAlign w:val="center"/>
          </w:tcPr>
          <w:p>
            <w:pPr>
              <w:pStyle w:val="Compact"/>
              <w:spacing w:before="0" w:after="0" w:line="240" w:lineRule="auto"/>
              <w:jc w:val="center"/>
            </w:pPr>
            <w:r>
              <w:rPr>
                <w:rFonts w:ascii="Times New Roman" w:hAnsi="Times New Roman" w:eastAsia="Times New Roman"/>
                <w:sz w:val="17"/>
              </w:rPr>
              <w:t xml:space="preserve">50.57 ± 1.81%</w:t>
            </w:r>
          </w:p>
        </w:tc>
        <w:tc>
          <w:tcPr>
            <w:vAlign w:val="center"/>
          </w:tcPr>
          <w:p>
            <w:pPr>
              <w:pStyle w:val="Compact"/>
              <w:spacing w:before="0" w:after="0" w:line="240" w:lineRule="auto"/>
              <w:jc w:val="center"/>
            </w:pPr>
            <w:r>
              <w:rPr>
                <w:rFonts w:ascii="Times New Roman" w:hAnsi="Times New Roman" w:eastAsia="Times New Roman"/>
                <w:b/>
                <w:bCs/>
                <w:sz w:val="17"/>
              </w:rPr>
              <w:t xml:space="preserve">60.10 ± 4.51%</w:t>
            </w:r>
          </w:p>
        </w:tc>
        <w:tc>
          <w:tcPr>
            <w:vAlign w:val="center"/>
          </w:tcPr>
          <w:p>
            <w:pPr>
              <w:pStyle w:val="Compact"/>
              <w:spacing w:before="0" w:after="0" w:line="240" w:lineRule="auto"/>
              <w:jc w:val="center"/>
            </w:pPr>
            <w:r>
              <w:rPr>
                <w:rFonts w:ascii="Times New Roman" w:hAnsi="Times New Roman" w:eastAsia="Times New Roman"/>
                <w:sz w:val="17"/>
              </w:rPr>
              <w:t xml:space="preserve">76.69 ± 3.48%</w:t>
            </w:r>
          </w:p>
        </w:tc>
      </w:tr>
      <w:tr>
        <w:trPr>
          <w:cantSplit w:val="true"/>
        </w:trPr>
        <w:tc>
          <w:tcPr>
            <w:vAlign w:val="center"/>
          </w:tcPr>
          <w:p>
            <w:pPr>
              <w:pStyle w:val="Compact"/>
              <w:spacing w:before="0" w:after="0" w:line="240" w:lineRule="auto"/>
              <w:jc w:val="left"/>
            </w:pPr>
            <w:r>
              <w:rPr>
                <w:rFonts w:ascii="Times New Roman" w:hAnsi="Times New Roman" w:eastAsia="Times New Roman"/>
                <w:sz w:val="17"/>
              </w:rPr>
              <w:t xml:space="preserve">Attention U-Net</w:t>
            </w:r>
          </w:p>
        </w:tc>
        <w:tc>
          <w:tcPr>
            <w:vAlign w:val="center"/>
          </w:tcPr>
          <w:p>
            <w:pPr>
              <w:pStyle w:val="Compact"/>
              <w:spacing w:before="0" w:after="0" w:line="240" w:lineRule="auto"/>
              <w:jc w:val="center"/>
            </w:pPr>
            <w:r>
              <w:rPr>
                <w:rFonts w:ascii="Times New Roman" w:hAnsi="Times New Roman" w:eastAsia="Times New Roman"/>
                <w:sz w:val="17"/>
              </w:rPr>
              <w:t xml:space="preserve">67.01 ± 1.98%</w:t>
            </w:r>
          </w:p>
        </w:tc>
        <w:tc>
          <w:tcPr>
            <w:vAlign w:val="center"/>
          </w:tcPr>
          <w:p>
            <w:pPr>
              <w:pStyle w:val="Compact"/>
              <w:spacing w:before="0" w:after="0" w:line="240" w:lineRule="auto"/>
              <w:jc w:val="center"/>
            </w:pPr>
            <w:r>
              <w:rPr>
                <w:rFonts w:ascii="Times New Roman" w:hAnsi="Times New Roman" w:eastAsia="Times New Roman"/>
                <w:sz w:val="17"/>
              </w:rPr>
              <w:t xml:space="preserve">50.43 ± 2.22%</w:t>
            </w:r>
          </w:p>
        </w:tc>
        <w:tc>
          <w:tcPr>
            <w:vAlign w:val="center"/>
          </w:tcPr>
          <w:p>
            <w:pPr>
              <w:pStyle w:val="Compact"/>
              <w:spacing w:before="0" w:after="0" w:line="240" w:lineRule="auto"/>
              <w:jc w:val="center"/>
            </w:pPr>
            <w:r>
              <w:rPr>
                <w:rFonts w:ascii="Times New Roman" w:hAnsi="Times New Roman" w:eastAsia="Times New Roman"/>
                <w:sz w:val="17"/>
              </w:rPr>
              <w:t xml:space="preserve">57.06 ± 2.94%</w:t>
            </w:r>
          </w:p>
        </w:tc>
        <w:tc>
          <w:tcPr>
            <w:vAlign w:val="center"/>
          </w:tcPr>
          <w:p>
            <w:pPr>
              <w:pStyle w:val="Compact"/>
              <w:spacing w:before="0" w:after="0" w:line="240" w:lineRule="auto"/>
              <w:jc w:val="center"/>
            </w:pPr>
            <w:r>
              <w:rPr>
                <w:rFonts w:ascii="Times New Roman" w:hAnsi="Times New Roman" w:eastAsia="Times New Roman"/>
                <w:sz w:val="17"/>
              </w:rPr>
              <w:t xml:space="preserve">81.31 ± 0.51%</w:t>
            </w:r>
          </w:p>
        </w:tc>
      </w:tr>
      <w:tr>
        <w:trPr>
          <w:cantSplit w:val="true"/>
        </w:trPr>
        <w:tc>
          <w:tcPr>
            <w:vAlign w:val="center"/>
          </w:tcPr>
          <w:p>
            <w:pPr>
              <w:pStyle w:val="Compact"/>
              <w:spacing w:before="0" w:after="0" w:line="240" w:lineRule="auto"/>
              <w:jc w:val="left"/>
            </w:pPr>
            <w:r>
              <w:rPr>
                <w:rFonts w:ascii="Times New Roman" w:hAnsi="Times New Roman" w:eastAsia="Times New Roman"/>
                <w:b/>
                <w:bCs/>
                <w:sz w:val="17"/>
              </w:rPr>
              <w:t xml:space="preserve">TopoRadar-Net (Ours)</w:t>
            </w:r>
          </w:p>
        </w:tc>
        <w:tc>
          <w:tcPr>
            <w:vAlign w:val="center"/>
          </w:tcPr>
          <w:p>
            <w:pPr>
              <w:pStyle w:val="Compact"/>
              <w:spacing w:before="0" w:after="0" w:line="240" w:lineRule="auto"/>
              <w:jc w:val="center"/>
            </w:pPr>
            <w:r>
              <w:rPr>
                <w:rFonts w:ascii="Times New Roman" w:hAnsi="Times New Roman" w:eastAsia="Times New Roman"/>
                <w:b/>
                <w:bCs/>
                <w:sz w:val="17"/>
              </w:rPr>
              <w:t xml:space="preserve">66.75 ± 1.96%</w:t>
            </w:r>
          </w:p>
        </w:tc>
        <w:tc>
          <w:tcPr>
            <w:vAlign w:val="center"/>
          </w:tcPr>
          <w:p>
            <w:pPr>
              <w:pStyle w:val="Compact"/>
              <w:spacing w:before="0" w:after="0" w:line="240" w:lineRule="auto"/>
              <w:jc w:val="center"/>
            </w:pPr>
            <w:r>
              <w:rPr>
                <w:rFonts w:ascii="Times New Roman" w:hAnsi="Times New Roman" w:eastAsia="Times New Roman"/>
                <w:b/>
                <w:bCs/>
                <w:sz w:val="17"/>
              </w:rPr>
              <w:t xml:space="preserve">50.13 ± 2.22%</w:t>
            </w:r>
          </w:p>
        </w:tc>
        <w:tc>
          <w:tcPr>
            <w:vAlign w:val="center"/>
          </w:tcPr>
          <w:p>
            <w:pPr>
              <w:pStyle w:val="Compact"/>
              <w:spacing w:before="0" w:after="0" w:line="240" w:lineRule="auto"/>
              <w:jc w:val="center"/>
            </w:pPr>
            <w:r>
              <w:rPr>
                <w:rFonts w:ascii="Times New Roman" w:hAnsi="Times New Roman" w:eastAsia="Times New Roman"/>
                <w:sz w:val="17"/>
              </w:rPr>
              <w:t xml:space="preserve">56.63 ± 3.31%</w:t>
            </w:r>
          </w:p>
        </w:tc>
        <w:tc>
          <w:tcPr>
            <w:vAlign w:val="center"/>
          </w:tcPr>
          <w:p>
            <w:pPr>
              <w:pStyle w:val="Compact"/>
              <w:spacing w:before="0" w:after="0" w:line="240" w:lineRule="auto"/>
              <w:jc w:val="center"/>
            </w:pPr>
            <w:r>
              <w:rPr>
                <w:rFonts w:ascii="Times New Roman" w:hAnsi="Times New Roman" w:eastAsia="Times New Roman"/>
                <w:b/>
                <w:bCs/>
                <w:sz w:val="17"/>
              </w:rPr>
              <w:t xml:space="preserve">81.50 ± 1.10%</w:t>
            </w:r>
          </w:p>
        </w:tc>
      </w:tr>
    </w:tbl>
    <w:p>
      <w:pPr>
        <w:pStyle w:val="BodyText"/>
        <w:spacing w:after="0" w:line="240" w:lineRule="auto"/>
      </w:pPr>
      <w:r>
        <w:rPr>
          <w:rFonts w:ascii="Times New Roman" w:hAnsi="Times New Roman" w:eastAsia="Times New Roman"/>
          <w:sz w:val="20"/>
        </w:rPr>
        <w:t xml:space="preserve">In this polar maritime alpine regime, characterized by open fjord expanses and rounded permafrost massifs without extreme knife-edge ridge shadows, all four modern deep change detection architectures cluster within</w:t>
      </w:r>
      <w:r>
        <w:rPr>
          <w:rFonts w:ascii="Times New Roman" w:hAnsi="Times New Roman" w:eastAsia="Times New Roman"/>
          <w:sz w:val="20"/>
        </w:rPr>
        <w:t xml:space="preserve"> </w:t>
      </w:r>
      <m:oMath>
        <m:r>
          <m:t>0.63</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of each other on F1 (</w:t>
      </w:r>
      <m:oMath>
        <m:r>
          <m:t>66.53</m:t>
        </m:r>
        <m:r>
          <m:rPr>
            <m:sty m:val="p"/>
          </m:rPr>
          <m:t>%</m:t>
        </m:r>
      </m:oMath>
      <w:r>
        <w:rPr>
          <w:rFonts w:ascii="Times New Roman" w:hAnsi="Times New Roman" w:eastAsia="Times New Roman"/>
          <w:sz w:val="20"/>
        </w:rPr>
        <w:t xml:space="preserve">–</w:t>
      </w:r>
      <m:oMath>
        <m:r>
          <m:t>67.16</m:t>
        </m:r>
        <m:r>
          <m:rPr>
            <m:sty m:val="p"/>
          </m:rPr>
          <m:t>%</m:t>
        </m:r>
      </m:oMath>
      <w:r>
        <w:rPr>
          <w:rFonts w:ascii="Times New Roman" w:hAnsi="Times New Roman" w:eastAsia="Times New Roman"/>
          <w:sz w:val="20"/>
        </w:rPr>
        <w:t xml:space="preserve">). TopoRadar-Net achieves the highest detection sensitivity of all models (</w:t>
      </w:r>
      <m:oMath>
        <m:r>
          <m:t>81.50</m:t>
        </m:r>
        <m:r>
          <m:rPr>
            <m:sty m:val="p"/>
          </m:rPr>
          <m:t>±</m:t>
        </m:r>
        <m:r>
          <m:t>1.10</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recall), successfully capturing the vast majority of the 129 dispersed avalanche tracks, while Attention U-Net (</w:t>
      </w:r>
      <m:oMath>
        <m:r>
          <m:t>67.01</m:t>
        </m:r>
        <m:r>
          <m:rPr>
            <m:sty m:val="p"/>
          </m:rPr>
          <m:t>%</m:t>
        </m:r>
      </m:oMath>
      <w:r>
        <w:rPr>
          <w:rFonts w:ascii="Times New Roman" w:hAnsi="Times New Roman" w:eastAsia="Times New Roman"/>
          <w:sz w:val="20"/>
        </w:rPr>
        <w:t xml:space="preserve">) and ResU-Net (</w:t>
      </w:r>
      <m:oMath>
        <m:r>
          <m:t>67.16</m:t>
        </m:r>
        <m:r>
          <m:rPr>
            <m:sty m:val="p"/>
          </m:rPr>
          <m:t>%</m:t>
        </m:r>
      </m:oMath>
      <w:r>
        <w:rPr>
          <w:rFonts w:ascii="Times New Roman" w:hAnsi="Times New Roman" w:eastAsia="Times New Roman"/>
          <w:sz w:val="20"/>
        </w:rPr>
        <w:t xml:space="preserve">) achieve marginally higher precision due to fewer false alarms on open plateau terrain. All deep architectures decisively outperform unguided differencing (</w:t>
      </w:r>
      <m:oMath>
        <m:r>
          <m:t>59.35</m:t>
        </m:r>
        <m:r>
          <m:rPr>
            <m:sty m:val="p"/>
          </m:rPr>
          <m:t>%</m:t>
        </m:r>
      </m:oMath>
      <w:r>
        <w:rPr>
          <w:rFonts w:ascii="Times New Roman" w:hAnsi="Times New Roman" w:eastAsia="Times New Roman"/>
          <w:sz w:val="20"/>
        </w:rPr>
        <w:t xml:space="preserve">, yielding a</w:t>
      </w:r>
      <w:r>
        <w:rPr>
          <w:rFonts w:ascii="Times New Roman" w:hAnsi="Times New Roman" w:eastAsia="Times New Roman"/>
          <w:sz w:val="20"/>
        </w:rPr>
        <w:t xml:space="preserve"> </w:t>
      </w:r>
      <m:oMath>
        <m:r>
          <m:rPr>
            <m:sty m:val="p"/>
          </m:rPr>
          <m:t>+</m:t>
        </m:r>
        <m:r>
          <m:t>7.40</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to</w:t>
      </w:r>
      <w:r>
        <w:rPr>
          <w:rFonts w:ascii="Times New Roman" w:hAnsi="Times New Roman" w:eastAsia="Times New Roman"/>
          <w:sz w:val="20"/>
        </w:rPr>
        <w:t xml:space="preserve"> </w:t>
      </w:r>
      <m:oMath>
        <m:r>
          <m:rPr>
            <m:sty m:val="p"/>
          </m:rPr>
          <m:t>+</m:t>
        </m:r>
        <m:r>
          <m:t>7.81</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F1 margin). This empirical finding corroborates the regime-dependent sensitivity documented in Section 4.4: in open sub-polar terrain with moderate relief, unguided baseline models and physics-conditioned networks perform with statistical parity, whereas rigid topographic priors provide their most decisive advantages in steep, fjord-adjacent coastal mountains (Troms</w:t>
      </w:r>
      <w:r>
        <w:rPr>
          <w:rFonts w:ascii="Times New Roman" w:hAnsi="Times New Roman" w:eastAsia="Times New Roman"/>
          <w:sz w:val="20"/>
        </w:rPr>
        <w:t xml:space="preserve">ø</w:t>
      </w:r>
      <w:r>
        <w:rPr>
          <w:rFonts w:ascii="Times New Roman" w:hAnsi="Times New Roman" w:eastAsia="Times New Roman"/>
          <w:sz w:val="20"/>
        </w:rPr>
        <w:t xml:space="preserve">) and high-relief continental massifs (Pamir).</w:t>
      </w:r>
    </w:p>
    <w:bookmarkEnd w:id="40"/>
    <w:bookmarkEnd w:id="41"/>
    <w:bookmarkStart w:id="46" w:name="discussion"/>
    <w:p>
      <w:pPr>
        <w:pStyle w:val="Heading1"/>
        <w:spacing w:after="0" w:line="240" w:lineRule="auto"/>
      </w:pPr>
      <w:r>
        <w:rPr>
          <w:rFonts w:ascii="Times New Roman" w:hAnsi="Times New Roman" w:eastAsia="Times New Roman"/>
          <w:sz w:val="20"/>
        </w:rPr>
        <w:t xml:space="preserve">Discussion</w:t>
      </w:r>
    </w:p>
    <w:bookmarkStart w:id="42" w:name="Xbe113e72659735542883e165a007a3ea16530ad"/>
    <w:p>
      <w:pPr>
        <w:pStyle w:val="Heading2"/>
        <w:spacing w:after="0" w:line="240" w:lineRule="auto"/>
      </w:pPr>
      <w:r>
        <w:rPr>
          <w:rFonts w:ascii="Times New Roman" w:hAnsi="Times New Roman" w:eastAsia="Times New Roman"/>
          <w:sz w:val="20"/>
        </w:rPr>
        <w:t xml:space="preserve">Empirical Associations with Radar-Topographic Geometry</w:t>
      </w:r>
    </w:p>
    <w:p>
      <w:pPr>
        <w:pStyle w:val="FirstParagraph"/>
        <w:spacing w:after="0" w:line="240" w:lineRule="auto"/>
      </w:pPr>
      <w:r>
        <w:rPr>
          <w:rFonts w:ascii="Times New Roman" w:hAnsi="Times New Roman" w:eastAsia="Times New Roman"/>
          <w:sz w:val="20"/>
        </w:rPr>
        <w:t xml:space="preserve">The empirical performance of TopoRadar-Net relative to standard attention-augmented and Siamese convolutional baselines is consistent with known coupling between microwave backscatter and steep mountain topography. Conventional computer vision models treat SAR intensity channels as flat 2D arrays, whereas TopoRadar-Net additionally receives terrain and viewing-geometry coordinates. The reported ablations and strata quantify sensitivity to those inputs; they do not isolate a causal internal mechanism.</w:t>
      </w:r>
    </w:p>
    <w:p>
      <w:pPr>
        <w:pStyle w:val="BodyText"/>
        <w:spacing w:after="0" w:line="240" w:lineRule="auto"/>
      </w:pPr>
      <w:r>
        <w:rPr>
          <w:rFonts w:ascii="Times New Roman" w:hAnsi="Times New Roman" w:eastAsia="Times New Roman"/>
          <w:sz w:val="20"/>
        </w:rPr>
        <w:t xml:space="preserve">As demonstrated by Eq. (4), local incidence angle</w:t>
      </w:r>
      <w:r>
        <w:rPr>
          <w:rFonts w:ascii="Times New Roman" w:hAnsi="Times New Roman" w:eastAsia="Times New Roman"/>
          <w:sz w:val="20"/>
        </w:rPr>
        <w:t xml:space="preserve"> </w:t>
      </w:r>
      <m:oMath>
        <m:r>
          <m:t>ψ</m:t>
        </m:r>
      </m:oMath>
      <w:r>
        <w:rPr>
          <w:rFonts w:ascii="Times New Roman" w:hAnsi="Times New Roman" w:eastAsia="Times New Roman"/>
          <w:sz w:val="20"/>
        </w:rPr>
        <w:t xml:space="preserve"> </w:t>
      </w:r>
      <w:r>
        <w:rPr>
          <w:rFonts w:ascii="Times New Roman" w:hAnsi="Times New Roman" w:eastAsia="Times New Roman"/>
          <w:sz w:val="20"/>
        </w:rPr>
        <w:t xml:space="preserve">is governed by terrain slope</w:t>
      </w:r>
      <w:r>
        <w:rPr>
          <w:rFonts w:ascii="Times New Roman" w:hAnsi="Times New Roman" w:eastAsia="Times New Roman"/>
          <w:sz w:val="20"/>
        </w:rPr>
        <w:t xml:space="preserve"> </w:t>
      </w:r>
      <m:oMath>
        <m:r>
          <m:t>θ</m:t>
        </m:r>
      </m:oMath>
      <w:r>
        <w:rPr>
          <w:rFonts w:ascii="Times New Roman" w:hAnsi="Times New Roman" w:eastAsia="Times New Roman"/>
          <w:sz w:val="20"/>
        </w:rPr>
        <w:t xml:space="preserve">, aspect azimuth</w:t>
      </w:r>
      <w:r>
        <w:rPr>
          <w:rFonts w:ascii="Times New Roman" w:hAnsi="Times New Roman" w:eastAsia="Times New Roman"/>
          <w:sz w:val="20"/>
        </w:rPr>
        <w:t xml:space="preserve"> </w:t>
      </w:r>
      <m:oMath>
        <m:r>
          <m:t>α</m:t>
        </m:r>
      </m:oMath>
      <w:r>
        <w:rPr>
          <w:rFonts w:ascii="Times New Roman" w:hAnsi="Times New Roman" w:eastAsia="Times New Roman"/>
          <w:sz w:val="20"/>
        </w:rPr>
        <w:t xml:space="preserve">, and satellite radar look azimuth</w:t>
      </w:r>
      <w:r>
        <w:rPr>
          <w:rFonts w:ascii="Times New Roman" w:hAnsi="Times New Roman" w:eastAsia="Times New Roman"/>
          <w:sz w:val="20"/>
        </w:rPr>
        <w:t xml:space="preserve"> </w:t>
      </w:r>
      <m:oMath>
        <m:sSub>
          <m:e>
            <m:r>
              <m:t>ϕ</m:t>
            </m:r>
          </m:e>
          <m:sub>
            <m:r>
              <m:rPr>
                <m:nor/>
                <m:sty m:val="p"/>
              </m:rPr>
              <m:t>look</m:t>
            </m:r>
          </m:sub>
        </m:sSub>
      </m:oMath>
      <w:r>
        <w:rPr>
          <w:rFonts w:ascii="Times New Roman" w:hAnsi="Times New Roman" w:eastAsia="Times New Roman"/>
          <w:sz w:val="20"/>
        </w:rPr>
        <w:t xml:space="preserve">. On illuminated foreslopes (</w:t>
      </w:r>
      <m:oMath>
        <m:sSub>
          <m:e>
            <m:r>
              <m:t>θ</m:t>
            </m:r>
          </m:e>
          <m:sub>
            <m:r>
              <m:rPr>
                <m:nor/>
                <m:sty m:val="p"/>
              </m:rPr>
              <m:t>align</m:t>
            </m:r>
          </m:sub>
        </m:sSub>
        <m:r>
          <m:rPr>
            <m:sty m:val="p"/>
          </m:rPr>
          <m:t>=</m:t>
        </m:r>
        <m:r>
          <m:rPr>
            <m:sty m:val="p"/>
          </m:rPr>
          <m:t>cos</m:t>
        </m:r>
        <m:r>
          <m:rPr>
            <m:sty m:val="p"/>
          </m:rPr>
          <m:t>(</m:t>
        </m:r>
        <m:r>
          <m:t>α</m:t>
        </m:r>
        <m:r>
          <m:rPr>
            <m:sty m:val="p"/>
          </m:rPr>
          <m:t>−</m:t>
        </m:r>
        <m:sSub>
          <m:e>
            <m:r>
              <m:t>ϕ</m:t>
            </m:r>
          </m:e>
          <m:sub>
            <m:r>
              <m:rPr>
                <m:nor/>
                <m:sty m:val="p"/>
              </m:rPr>
              <m:t>look</m:t>
            </m:r>
          </m:sub>
        </m:sSub>
        <m:r>
          <m:rPr>
            <m:sty m:val="p"/>
          </m:rPr>
          <m:t>)</m:t>
        </m:r>
        <m:r>
          <m:rPr>
            <m:sty m:val="p"/>
          </m:rPr>
          <m:t>&gt;</m:t>
        </m:r>
        <m:r>
          <m:t>0</m:t>
        </m:r>
      </m:oMath>
      <w:r>
        <w:rPr>
          <w:rFonts w:ascii="Times New Roman" w:hAnsi="Times New Roman" w:eastAsia="Times New Roman"/>
          <w:sz w:val="20"/>
        </w:rPr>
        <w:t xml:space="preserve">), steep terrain compresses multiple ground-range cells into narrow slant-range bins. This foreshortening can elevate radar backscatter and generate bright linear ridges. RTCAB makes local-incidence and aspect-alignment features available to the SAR representation; the observed region- and stratum-specific changes are compatible with, but do not directly demonstrate, learned foreslope suppression.</w:t>
      </w:r>
    </w:p>
    <w:p>
      <w:pPr>
        <w:pStyle w:val="BodyText"/>
        <w:spacing w:after="0" w:line="240" w:lineRule="auto"/>
      </w:pPr>
      <w:r>
        <w:rPr>
          <w:rFonts w:ascii="Times New Roman" w:hAnsi="Times New Roman" w:eastAsia="Times New Roman"/>
          <w:sz w:val="20"/>
        </w:rPr>
        <w:t xml:space="preserve">Conversely, on backslopes facing away from the radar (</w:t>
      </w:r>
      <m:oMath>
        <m:sSub>
          <m:e>
            <m:r>
              <m:t>θ</m:t>
            </m:r>
          </m:e>
          <m:sub>
            <m:r>
              <m:rPr>
                <m:nor/>
                <m:sty m:val="p"/>
              </m:rPr>
              <m:t>align</m:t>
            </m:r>
          </m:sub>
        </m:sSub>
        <m:r>
          <m:rPr>
            <m:sty m:val="p"/>
          </m:rPr>
          <m:t>&lt;</m:t>
        </m:r>
        <m:r>
          <m:t>0</m:t>
        </m:r>
        <m:r>
          <m:rPr>
            <m:sty m:val="p"/>
          </m:rPr>
          <m:t>,</m:t>
        </m:r>
        <m:r>
          <m:t>ψ</m:t>
        </m:r>
        <m:r>
          <m:rPr>
            <m:sty m:val="p"/>
          </m:rPr>
          <m:t>&gt;</m:t>
        </m:r>
        <m:sSup>
          <m:e>
            <m:r>
              <m:t>50</m:t>
            </m:r>
          </m:e>
          <m:sup>
            <m:r>
              <m:rPr>
                <m:sty m:val="p"/>
              </m:rPr>
              <m:t>∘</m:t>
            </m:r>
          </m:sup>
        </m:sSup>
      </m:oMath>
      <w:r>
        <w:rPr>
          <w:rFonts w:ascii="Times New Roman" w:hAnsi="Times New Roman" w:eastAsia="Times New Roman"/>
          <w:sz w:val="20"/>
        </w:rPr>
        <w:t xml:space="preserve">), undisturbed smooth snow surfaces can appear radiometrically dark due to specular reflection away from the radar antenna. Avalanche debris may then exhibit strong diffuse surface and volume backscatter (</w:t>
      </w:r>
      <m:oMath>
        <m:r>
          <m:rPr>
            <m:sty m:val="p"/>
          </m:rPr>
          <m:t>Δ</m:t>
        </m:r>
        <m:sSup>
          <m:e>
            <m:r>
              <m:t>σ</m:t>
            </m:r>
          </m:e>
          <m:sup>
            <m:r>
              <m:t>0</m:t>
            </m:r>
          </m:sup>
        </m:sSup>
        <m:r>
          <m:rPr>
            <m:sty m:val="p"/>
          </m:rPr>
          <m:t>&gt;</m:t>
        </m:r>
        <m:r>
          <m:t>0</m:t>
        </m:r>
      </m:oMath>
      <w:r>
        <w:rPr>
          <w:rFonts w:ascii="Times New Roman" w:hAnsi="Times New Roman" w:eastAsia="Times New Roman"/>
          <w:sz w:val="20"/>
        </w:rPr>
        <w:t xml:space="preserve">). TopoRadar-Net records higher Seed-42 F1 than Attention U-Net in the reported backslope strata, but activation-level evidence would be required to attribute that difference specifically to dynamic spatial gating.</w:t>
      </w:r>
    </w:p>
    <w:p>
      <w:pPr>
        <w:pStyle w:val="BodyText"/>
        <w:spacing w:after="0" w:line="240" w:lineRule="auto"/>
      </w:pPr>
      <w:r>
        <w:rPr>
          <w:rFonts w:ascii="Times New Roman" w:hAnsi="Times New Roman" w:eastAsia="Times New Roman"/>
          <w:sz w:val="20"/>
        </w:rPr>
        <w:t xml:space="preserve">Geo-Loss encodes a heuristic slope prior rather than a physical-validity constraint. Its mask overlaps genuine positive labels, most strongly in the Nuuk 2016 training event (28.79% of valid positives), and the held-out subgroup audit records lower positive recall than No-GeoLoss in both test systems. The aggregate Troms</w:t>
      </w:r>
      <w:r>
        <w:rPr>
          <w:rFonts w:ascii="Times New Roman" w:hAnsi="Times New Roman" w:eastAsia="Times New Roman"/>
          <w:sz w:val="20"/>
        </w:rPr>
        <w:t xml:space="preserve">ø</w:t>
      </w:r>
      <w:r>
        <w:rPr>
          <w:rFonts w:ascii="Times New Roman" w:hAnsi="Times New Roman" w:eastAsia="Times New Roman"/>
          <w:sz w:val="20"/>
        </w:rPr>
        <w:t xml:space="preserve"> </w:t>
      </w:r>
      <w:r>
        <w:rPr>
          <w:rFonts w:ascii="Times New Roman" w:hAnsi="Times New Roman" w:eastAsia="Times New Roman"/>
          <w:sz w:val="20"/>
        </w:rPr>
        <w:t xml:space="preserve">precision/F1 difference and the subgroup recall penalty therefore describe a trade-off; without a matched generic regularizer they do not establish a terrain-specific mechanism.</w:t>
      </w:r>
    </w:p>
    <w:bookmarkEnd w:id="42"/>
    <w:bookmarkStart w:id="43" w:name="X71002116876d2312adabfaf41cdca942cd3e93e"/>
    <w:p>
      <w:pPr>
        <w:pStyle w:val="Heading2"/>
        <w:spacing w:after="0" w:line="240" w:lineRule="auto"/>
      </w:pPr>
      <w:r>
        <w:rPr>
          <w:rFonts w:ascii="Times New Roman" w:hAnsi="Times New Roman" w:eastAsia="Times New Roman"/>
          <w:sz w:val="20"/>
        </w:rPr>
        <w:t xml:space="preserve">Cross-System Transferability Across Global Mountain Regimes</w:t>
      </w:r>
    </w:p>
    <w:p>
      <w:pPr>
        <w:pStyle w:val="FirstParagraph"/>
        <w:spacing w:after="0" w:line="240" w:lineRule="auto"/>
      </w:pPr>
      <w:r>
        <w:rPr>
          <w:rFonts w:ascii="Times New Roman" w:hAnsi="Times New Roman" w:eastAsia="Times New Roman"/>
          <w:sz w:val="20"/>
        </w:rPr>
        <w:t xml:space="preserve">A primary challenge in machine learning for natural hazards is model overfitting to localized geographic and environmental training conditions. The AvalCD benchmark spans four distinct mountain systems characterized by starkly contrasting climatic, snowpack, and geomorphic regimes:</w:t>
      </w:r>
    </w:p>
    <w:p>
      <w:pPr>
        <w:numPr>
          <w:ilvl w:val="0"/>
          <w:numId w:val="1008"/>
        </w:numPr>
        <w:spacing w:after="0" w:line="240" w:lineRule="auto"/>
      </w:pPr>
      <w:r>
        <w:rPr>
          <w:rFonts w:ascii="Times New Roman" w:hAnsi="Times New Roman" w:eastAsia="Times New Roman"/>
          <w:b/>
          <w:bCs/>
          <w:sz w:val="20"/>
        </w:rPr>
        <w:t xml:space="preserve">Temperate Alpine Regime (European Alps):</w:t>
      </w:r>
      <w:r>
        <w:rPr>
          <w:rFonts w:ascii="Times New Roman" w:hAnsi="Times New Roman" w:eastAsia="Times New Roman"/>
          <w:sz w:val="20"/>
        </w:rPr>
        <w:t xml:space="preserve"> </w:t>
      </w:r>
      <w:r>
        <w:rPr>
          <w:rFonts w:ascii="Times New Roman" w:hAnsi="Times New Roman" w:eastAsia="Times New Roman"/>
          <w:sz w:val="20"/>
        </w:rPr>
        <w:t xml:space="preserve">High recreation density, moderate elevation relief, and mixed maritime-continental snowpacks characterized by distinct layer metamorphism and frequent spring wet-snow transitions.</w:t>
      </w:r>
    </w:p>
    <w:p>
      <w:pPr>
        <w:numPr>
          <w:ilvl w:val="0"/>
          <w:numId w:val="1008"/>
        </w:numPr>
        <w:spacing w:after="0" w:line="240" w:lineRule="auto"/>
      </w:pPr>
      <w:r>
        <w:rPr>
          <w:rFonts w:ascii="Times New Roman" w:hAnsi="Times New Roman" w:eastAsia="Times New Roman"/>
          <w:b/>
          <w:bCs/>
          <w:sz w:val="20"/>
        </w:rPr>
        <w:t xml:space="preserve">High-Altitude Continental Regime (Pamir Mountains, Central Asia):</w:t>
      </w:r>
      <w:r>
        <w:rPr>
          <w:rFonts w:ascii="Times New Roman" w:hAnsi="Times New Roman" w:eastAsia="Times New Roman"/>
          <w:sz w:val="20"/>
        </w:rPr>
        <w:t xml:space="preserve"> </w:t>
      </w:r>
      <w:r>
        <w:rPr>
          <w:rFonts w:ascii="Times New Roman" w:hAnsi="Times New Roman" w:eastAsia="Times New Roman"/>
          <w:sz w:val="20"/>
        </w:rPr>
        <w:t xml:space="preserve">Extreme vertical relief (</w:t>
      </w:r>
      <m:oMath>
        <m:r>
          <m:rPr>
            <m:sty m:val="p"/>
          </m:rPr>
          <m:t>&gt;</m:t>
        </m:r>
        <m:r>
          <m:t>2</m:t>
        </m:r>
        <m:r>
          <m:rPr>
            <m:sty m:val="p"/>
          </m:rPr>
          <m:t>,</m:t>
        </m:r>
        <m:r>
          <m:t>000</m:t>
        </m:r>
      </m:oMath>
      <w:r>
        <w:rPr>
          <w:rFonts w:ascii="Times New Roman" w:hAnsi="Times New Roman" w:eastAsia="Times New Roman"/>
          <w:sz w:val="20"/>
        </w:rPr>
        <w:t xml:space="preserve"> m descent paths), hyper-arid winter climate, deeply facetted depth hoar, and massive powder/slab avalanche cycles capable of burying entire valleys.</w:t>
      </w:r>
    </w:p>
    <w:p>
      <w:pPr>
        <w:numPr>
          <w:ilvl w:val="0"/>
          <w:numId w:val="1008"/>
        </w:numPr>
        <w:spacing w:after="0" w:line="240" w:lineRule="auto"/>
      </w:pPr>
      <w:r>
        <w:rPr>
          <w:rFonts w:ascii="Times New Roman" w:hAnsi="Times New Roman" w:eastAsia="Times New Roman"/>
          <w:b/>
          <w:bCs/>
          <w:sz w:val="20"/>
        </w:rPr>
        <w:t xml:space="preserve">Maritime Sub-Arctic Regime (Troms</w:t>
      </w:r>
      <w:r>
        <w:rPr>
          <w:rFonts w:ascii="Times New Roman" w:hAnsi="Times New Roman" w:eastAsia="Times New Roman"/>
          <w:b/>
          <w:bCs/>
          <w:sz w:val="20"/>
        </w:rPr>
        <w:t xml:space="preserve">ø</w:t>
      </w:r>
      <w:r>
        <w:rPr>
          <w:rFonts w:ascii="Times New Roman" w:hAnsi="Times New Roman" w:eastAsia="Times New Roman"/>
          <w:b/>
          <w:bCs/>
          <w:sz w:val="20"/>
        </w:rPr>
        <w:t xml:space="preserve">, Norway):</w:t>
      </w:r>
      <w:r>
        <w:rPr>
          <w:rFonts w:ascii="Times New Roman" w:hAnsi="Times New Roman" w:eastAsia="Times New Roman"/>
          <w:sz w:val="20"/>
        </w:rPr>
        <w:t xml:space="preserve"> </w:t>
      </w:r>
      <w:r>
        <w:rPr>
          <w:rFonts w:ascii="Times New Roman" w:hAnsi="Times New Roman" w:eastAsia="Times New Roman"/>
          <w:sz w:val="20"/>
        </w:rPr>
        <w:t xml:space="preserve">Coastal mountains with heavy, wind-scoured maritime snowpacks, frequent rain-on-snow events, and polar darkness throughout mid-winter.</w:t>
      </w:r>
    </w:p>
    <w:p>
      <w:pPr>
        <w:numPr>
          <w:ilvl w:val="0"/>
          <w:numId w:val="1008"/>
        </w:numPr>
        <w:spacing w:after="0" w:line="240" w:lineRule="auto"/>
      </w:pPr>
      <w:r>
        <w:rPr>
          <w:rFonts w:ascii="Times New Roman" w:hAnsi="Times New Roman" w:eastAsia="Times New Roman"/>
          <w:b/>
          <w:bCs/>
          <w:sz w:val="20"/>
        </w:rPr>
        <w:t xml:space="preserve">Polar Fjord Alpine Regime (Nuuk, Greenland):</w:t>
      </w:r>
      <w:r>
        <w:rPr>
          <w:rFonts w:ascii="Times New Roman" w:hAnsi="Times New Roman" w:eastAsia="Times New Roman"/>
          <w:sz w:val="20"/>
        </w:rPr>
        <w:t xml:space="preserve"> </w:t>
      </w:r>
      <w:r>
        <w:rPr>
          <w:rFonts w:ascii="Times New Roman" w:hAnsi="Times New Roman" w:eastAsia="Times New Roman"/>
          <w:sz w:val="20"/>
        </w:rPr>
        <w:t xml:space="preserve">Sub-polar maritime conditions with persistent high-velocity winds and coastal fjord relief.</w:t>
      </w:r>
    </w:p>
    <w:p>
      <w:pPr>
        <w:pStyle w:val="FirstParagraph"/>
        <w:spacing w:after="0" w:line="240" w:lineRule="auto"/>
      </w:pPr>
      <w:r>
        <w:rPr>
          <w:rFonts w:ascii="Times New Roman" w:hAnsi="Times New Roman" w:eastAsia="Times New Roman"/>
          <w:sz w:val="20"/>
        </w:rPr>
        <w:t xml:space="preserve">The model was trained on Alps and Greenland events, selected on Alps and Greenland validation events, and evaluated without site-specific tuning on held-out Troms</w:t>
      </w:r>
      <w:r>
        <w:rPr>
          <w:rFonts w:ascii="Times New Roman" w:hAnsi="Times New Roman" w:eastAsia="Times New Roman"/>
          <w:sz w:val="20"/>
        </w:rPr>
        <w:t xml:space="preserve">ø</w:t>
      </w:r>
      <w:r>
        <w:rPr>
          <w:rFonts w:ascii="Times New Roman" w:hAnsi="Times New Roman" w:eastAsia="Times New Roman"/>
          <w:sz w:val="20"/>
        </w:rPr>
        <w:t xml:space="preserve"> </w:t>
      </w:r>
      <w:r>
        <w:rPr>
          <w:rFonts w:ascii="Times New Roman" w:hAnsi="Times New Roman" w:eastAsia="Times New Roman"/>
          <w:sz w:val="20"/>
        </w:rPr>
        <w:t xml:space="preserve">and Pamir scenes. It records</w:t>
      </w:r>
      <w:r>
        <w:rPr>
          <w:rFonts w:ascii="Times New Roman" w:hAnsi="Times New Roman" w:eastAsia="Times New Roman"/>
          <w:sz w:val="20"/>
        </w:rPr>
        <w:t xml:space="preserve"> </w:t>
      </w:r>
      <m:oMath>
        <m:r>
          <m:t>77.40</m:t>
        </m:r>
        <m:r>
          <m:rPr>
            <m:sty m:val="p"/>
          </m:rPr>
          <m:t>%</m:t>
        </m:r>
        <m:r>
          <m:rPr>
            <m:sty m:val="p"/>
          </m:rPr>
          <m:t>±</m:t>
        </m:r>
        <m:r>
          <m:t>1.86</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and</w:t>
      </w:r>
      <w:r>
        <w:rPr>
          <w:rFonts w:ascii="Times New Roman" w:hAnsi="Times New Roman" w:eastAsia="Times New Roman"/>
          <w:sz w:val="20"/>
        </w:rPr>
        <w:t xml:space="preserve"> </w:t>
      </w:r>
      <m:oMath>
        <m:r>
          <m:t>50.18</m:t>
        </m:r>
        <m:r>
          <m:rPr>
            <m:sty m:val="p"/>
          </m:rPr>
          <m:t>%</m:t>
        </m:r>
        <m:r>
          <m:rPr>
            <m:sty m:val="p"/>
          </m:rPr>
          <m:t>±</m:t>
        </m:r>
        <m:r>
          <m:t>4.40</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F1, respectively. These observed held-out results change climate, relief, acquisition geometry, and avalanche population simultaneously and therefore do not identify physical coordinates as the cause of transfer.</w:t>
      </w:r>
    </w:p>
    <w:bookmarkEnd w:id="43"/>
    <w:bookmarkStart w:id="44" w:name="X28df15413498d4ca8321360cd434372c92c4282"/>
    <w:p>
      <w:pPr>
        <w:pStyle w:val="Heading2"/>
        <w:spacing w:after="0" w:line="240" w:lineRule="auto"/>
      </w:pPr>
      <w:r>
        <w:rPr>
          <w:rFonts w:ascii="Times New Roman" w:hAnsi="Times New Roman" w:eastAsia="Times New Roman"/>
          <w:sz w:val="20"/>
        </w:rPr>
        <w:t xml:space="preserve">Operational Implications for Alpine Civil Protection and Search-and-Rescue</w:t>
      </w:r>
    </w:p>
    <w:p>
      <w:pPr>
        <w:pStyle w:val="FirstParagraph"/>
        <w:spacing w:after="0" w:line="240" w:lineRule="auto"/>
      </w:pPr>
      <w:r>
        <w:rPr>
          <w:rFonts w:ascii="Times New Roman" w:hAnsi="Times New Roman" w:eastAsia="Times New Roman"/>
          <w:sz w:val="20"/>
        </w:rPr>
        <w:t xml:space="preserve">For alpine emergency managers, highway maintenance authorities, and search-and-rescue teams, satellite-based avalanche detection is only valuable if it provides reliable, actionable intelligence during crisis cycles</w:t>
      </w:r>
      <w:r>
        <w:rPr>
          <w:rFonts w:ascii="Times New Roman" w:hAnsi="Times New Roman" w:eastAsia="Times New Roman"/>
          <w:sz w:val="20"/>
        </w:rPr>
        <w:t xml:space="preserve"> </w:t>
      </w:r>
      <w:r>
        <w:rPr>
          <w:rFonts w:ascii="Times New Roman" w:hAnsi="Times New Roman" w:eastAsia="Times New Roman"/>
          <w:sz w:val="20"/>
        </w:rPr>
        <w:t xml:space="preserve">(Eckerstorfer et al. 2019; European Avalanche Warning Services 2022; Techel et al. 2018)</w:t>
      </w:r>
      <w:r>
        <w:rPr>
          <w:rFonts w:ascii="Times New Roman" w:hAnsi="Times New Roman" w:eastAsia="Times New Roman"/>
          <w:sz w:val="20"/>
        </w:rPr>
        <w:t xml:space="preserve">. Optical remote sensing is consistently thwarted during major blizzard events when rapid avalanche detection is most urgently needed. Sentinel-1 C-band SAR provides the only freely accessible, all-weather observation platform capable of continuous winter surveillance.</w:t>
      </w:r>
    </w:p>
    <w:p>
      <w:pPr>
        <w:pStyle w:val="BodyText"/>
        <w:spacing w:after="0" w:line="240" w:lineRule="auto"/>
      </w:pPr>
      <w:r>
        <w:rPr>
          <w:rFonts w:ascii="Times New Roman" w:hAnsi="Times New Roman" w:eastAsia="Times New Roman"/>
          <w:sz w:val="20"/>
        </w:rPr>
        <w:t xml:space="preserve">Large avalanches can block transportation arteries and bury infrastructure, motivating size-stratified evaluation. On the single held-out Troms</w:t>
      </w:r>
      <w:r>
        <w:rPr>
          <w:rFonts w:ascii="Times New Roman" w:hAnsi="Times New Roman" w:eastAsia="Times New Roman"/>
          <w:sz w:val="20"/>
        </w:rPr>
        <w:t xml:space="preserve">ø</w:t>
      </w:r>
      <w:r>
        <w:rPr>
          <w:rFonts w:ascii="Times New Roman" w:hAnsi="Times New Roman" w:eastAsia="Times New Roman"/>
          <w:sz w:val="20"/>
        </w:rPr>
        <w:t xml:space="preserve"> </w:t>
      </w:r>
      <w:r>
        <w:rPr>
          <w:rFonts w:ascii="Times New Roman" w:hAnsi="Times New Roman" w:eastAsia="Times New Roman"/>
          <w:sz w:val="20"/>
        </w:rPr>
        <w:t xml:space="preserve">inventory, TopoRadar-Net records mean hit rates of</w:t>
      </w:r>
      <w:r>
        <w:rPr>
          <w:rFonts w:ascii="Times New Roman" w:hAnsi="Times New Roman" w:eastAsia="Times New Roman"/>
          <w:sz w:val="20"/>
        </w:rPr>
        <w:t xml:space="preserve"> </w:t>
      </w:r>
      <m:oMath>
        <m:r>
          <m:t>84.0</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for D3 and</w:t>
      </w:r>
      <w:r>
        <w:rPr>
          <w:rFonts w:ascii="Times New Roman" w:hAnsi="Times New Roman" w:eastAsia="Times New Roman"/>
          <w:sz w:val="20"/>
        </w:rPr>
        <w:t xml:space="preserve"> </w:t>
      </w:r>
      <m:oMath>
        <m:r>
          <m:t>95.8</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for D4. These retrospective scene-bounded rates neither guarantee identification of future events nor measure civil-protection outcomes.</w:t>
      </w:r>
    </w:p>
    <w:p>
      <w:pPr>
        <w:pStyle w:val="BodyText"/>
        <w:spacing w:after="0" w:line="240" w:lineRule="auto"/>
      </w:pPr>
      <w:r>
        <w:rPr>
          <w:rFonts w:ascii="Times New Roman" w:hAnsi="Times New Roman" w:eastAsia="Times New Roman"/>
          <w:b/>
          <w:bCs/>
          <w:sz w:val="20"/>
        </w:rPr>
        <w:t xml:space="preserve">Table 8.</w:t>
      </w:r>
      <w:r>
        <w:rPr>
          <w:rFonts w:ascii="Times New Roman" w:hAnsi="Times New Roman" w:eastAsia="Times New Roman"/>
          <w:sz w:val="20"/>
        </w:rPr>
        <w:t xml:space="preserve"> </w:t>
      </w:r>
      <w:r>
        <w:rPr>
          <w:rFonts w:ascii="Times New Roman" w:hAnsi="Times New Roman" w:eastAsia="Times New Roman"/>
          <w:sz w:val="20"/>
        </w:rPr>
        <w:t xml:space="preserve">Conceptual decision-support framework and false-alarm footprint on the evaluated finite-raster valid masks (Troms</w:t>
      </w:r>
      <w:r>
        <w:rPr>
          <w:rFonts w:ascii="Times New Roman" w:hAnsi="Times New Roman" w:eastAsia="Times New Roman"/>
          <w:sz w:val="20"/>
        </w:rPr>
        <w:t xml:space="preserve">ø</w:t>
      </w:r>
      <w:r>
        <w:rPr>
          <w:rFonts w:ascii="Times New Roman" w:hAnsi="Times New Roman" w:eastAsia="Times New Roman"/>
          <w:sz w:val="20"/>
        </w:rPr>
        <w:t xml:space="preserve">: 231.151 km²; Pamir: 350.338 km² on the nominal 10 m grid). The framework is illustrative and unvalidated for automated dispatch; affine areas scale proportionally with identical ha/km² rates.</w:t>
      </w:r>
    </w:p>
    <w:tbl>
      <w:tblPr>
        <w:tblStyle w:val="Table"/>
        <w:tblW w:type="auto" w:w="0"/>
        <w:tblLayout w:type="autofit"/>
        <w:tblLook w:firstRow="1" w:lastRow="0" w:firstColumn="0" w:lastColumn="0" w:noHBand="0" w:noVBand="0" w:val="0020"/>
      </w:tblPr>
      <w:tblGrid>
        <w:gridCol w:w="1584"/>
        <w:gridCol w:w="1584"/>
        <w:gridCol w:w="1584"/>
        <w:gridCol w:w="1584"/>
        <w:gridCol w:w="1584"/>
      </w:tblGrid>
      <w:tr>
        <w:trPr>
          <w:tblHeader w:val="on"/>
          <w:cantSplit w:val="true"/>
          <w:tblHeader w:val="true"/>
        </w:trPr>
        <w:tc>
          <w:tcPr>
            <w:vAlign w:val="center"/>
          </w:tcPr>
          <w:p>
            <w:pPr>
              <w:pStyle w:val="Compact"/>
              <w:spacing w:before="0" w:after="0" w:line="240" w:lineRule="auto"/>
              <w:jc w:val="left"/>
            </w:pPr>
            <w:r>
              <w:rPr>
                <w:rFonts w:ascii="Times New Roman" w:hAnsi="Times New Roman" w:eastAsia="Times New Roman"/>
                <w:b/>
                <w:bCs/>
                <w:sz w:val="17"/>
              </w:rPr>
              <w:t xml:space="preserve">Triage Level</w:t>
            </w:r>
          </w:p>
        </w:tc>
        <w:tc>
          <w:tcPr>
            <w:vAlign w:val="center"/>
          </w:tcPr>
          <w:p>
            <w:pPr>
              <w:pStyle w:val="Compact"/>
              <w:spacing w:before="0" w:after="0" w:line="240" w:lineRule="auto"/>
              <w:jc w:val="left"/>
            </w:pPr>
            <w:r>
              <w:rPr>
                <w:rFonts w:ascii="Times New Roman" w:hAnsi="Times New Roman" w:eastAsia="Times New Roman"/>
                <w:b/>
                <w:bCs/>
                <w:sz w:val="17"/>
              </w:rPr>
              <w:t xml:space="preserve">Score (p)</w:t>
            </w:r>
          </w:p>
        </w:tc>
        <w:tc>
          <w:tcPr>
            <w:vAlign w:val="center"/>
          </w:tcPr>
          <w:p>
            <w:pPr>
              <w:pStyle w:val="Compact"/>
              <w:spacing w:before="0" w:after="0" w:line="240" w:lineRule="auto"/>
              <w:jc w:val="left"/>
            </w:pPr>
            <w:r>
              <w:rPr>
                <w:rFonts w:ascii="Times New Roman" w:hAnsi="Times New Roman" w:eastAsia="Times New Roman"/>
                <w:b/>
                <w:bCs/>
                <w:sz w:val="17"/>
              </w:rPr>
              <w:t xml:space="preserve">Debris Footprint</w:t>
            </w:r>
          </w:p>
        </w:tc>
        <w:tc>
          <w:tcPr>
            <w:vAlign w:val="center"/>
          </w:tcPr>
          <w:p>
            <w:pPr>
              <w:pStyle w:val="Compact"/>
              <w:spacing w:before="0" w:after="0" w:line="240" w:lineRule="auto"/>
              <w:jc w:val="left"/>
            </w:pPr>
            <w:r>
              <w:rPr>
                <w:rFonts w:ascii="Times New Roman" w:hAnsi="Times New Roman" w:eastAsia="Times New Roman"/>
                <w:b/>
                <w:bCs/>
                <w:sz w:val="17"/>
              </w:rPr>
              <w:t xml:space="preserve">Illustrative Hazard Tier</w:t>
            </w:r>
          </w:p>
        </w:tc>
        <w:tc>
          <w:tcPr>
            <w:vAlign w:val="center"/>
          </w:tcPr>
          <w:p>
            <w:pPr>
              <w:pStyle w:val="Compact"/>
              <w:spacing w:before="0" w:after="0" w:line="240" w:lineRule="auto"/>
              <w:jc w:val="left"/>
            </w:pPr>
            <w:r>
              <w:rPr>
                <w:rFonts w:ascii="Times New Roman" w:hAnsi="Times New Roman" w:eastAsia="Times New Roman"/>
                <w:b/>
                <w:bCs/>
                <w:sz w:val="17"/>
              </w:rPr>
              <w:t xml:space="preserve">Target Stakeholder</w:t>
            </w:r>
          </w:p>
        </w:tc>
      </w:tr>
      <w:tr>
        <w:trPr>
          <w:cantSplit w:val="true"/>
        </w:trPr>
        <w:tc>
          <w:tcPr>
            <w:vAlign w:val="center"/>
          </w:tcPr>
          <w:p>
            <w:pPr>
              <w:pStyle w:val="Compact"/>
              <w:spacing w:before="0" w:after="0" w:line="240" w:lineRule="auto"/>
              <w:jc w:val="left"/>
            </w:pPr>
            <w:r>
              <w:rPr>
                <w:rFonts w:ascii="Times New Roman" w:hAnsi="Times New Roman" w:eastAsia="Times New Roman"/>
                <w:b/>
                <w:bCs/>
                <w:sz w:val="17"/>
              </w:rPr>
              <w:t xml:space="preserve">Tier 1</w:t>
            </w:r>
          </w:p>
        </w:tc>
        <w:tc>
          <w:tcPr>
            <w:vAlign w:val="center"/>
          </w:tcPr>
          <w:p>
            <w:pPr>
              <w:pStyle w:val="Compact"/>
              <w:spacing w:before="0" w:after="0" w:line="240" w:lineRule="auto"/>
              <w:jc w:val="left"/>
            </w:pPr>
            <w:r>
              <w:rPr>
                <w:rFonts w:ascii="Times New Roman" w:hAnsi="Times New Roman" w:eastAsia="Times New Roman"/>
                <w:sz w:val="17"/>
              </w:rPr>
              <w:t xml:space="preserve">p &lt; 0.40</w:t>
            </w:r>
          </w:p>
        </w:tc>
        <w:tc>
          <w:tcPr>
            <w:vAlign w:val="center"/>
          </w:tcPr>
          <w:p>
            <w:pPr>
              <w:pStyle w:val="Compact"/>
              <w:spacing w:before="0" w:after="0" w:line="240" w:lineRule="auto"/>
              <w:jc w:val="left"/>
            </w:pPr>
            <w:r>
              <w:rPr>
                <w:rFonts w:ascii="Times New Roman" w:hAnsi="Times New Roman" w:eastAsia="Times New Roman"/>
                <w:sz w:val="17"/>
              </w:rPr>
              <w:t xml:space="preserve">&lt; 0.1 ha (&lt; 10 px)</w:t>
            </w:r>
          </w:p>
        </w:tc>
        <w:tc>
          <w:tcPr>
            <w:vAlign w:val="center"/>
          </w:tcPr>
          <w:p>
            <w:pPr>
              <w:pStyle w:val="Compact"/>
              <w:spacing w:before="0" w:after="0" w:line="240" w:lineRule="auto"/>
              <w:jc w:val="left"/>
            </w:pPr>
            <w:r>
              <w:rPr>
                <w:rFonts w:ascii="Times New Roman" w:hAnsi="Times New Roman" w:eastAsia="Times New Roman"/>
                <w:sz w:val="17"/>
              </w:rPr>
              <w:t xml:space="preserve">Low confidence; routine background monitoring</w:t>
            </w:r>
          </w:p>
        </w:tc>
        <w:tc>
          <w:tcPr>
            <w:vAlign w:val="center"/>
          </w:tcPr>
          <w:p>
            <w:pPr>
              <w:pStyle w:val="Compact"/>
              <w:spacing w:before="0" w:after="0" w:line="240" w:lineRule="auto"/>
              <w:jc w:val="left"/>
            </w:pPr>
            <w:r>
              <w:rPr>
                <w:rFonts w:ascii="Times New Roman" w:hAnsi="Times New Roman" w:eastAsia="Times New Roman"/>
                <w:sz w:val="17"/>
              </w:rPr>
              <w:t xml:space="preserve">Warning Services (SLF, NVE)</w:t>
            </w:r>
          </w:p>
        </w:tc>
      </w:tr>
      <w:tr>
        <w:trPr>
          <w:cantSplit w:val="true"/>
        </w:trPr>
        <w:tc>
          <w:tcPr>
            <w:vAlign w:val="center"/>
          </w:tcPr>
          <w:p>
            <w:pPr>
              <w:pStyle w:val="Compact"/>
              <w:spacing w:before="0" w:after="0" w:line="240" w:lineRule="auto"/>
              <w:jc w:val="left"/>
            </w:pPr>
            <w:r>
              <w:rPr>
                <w:rFonts w:ascii="Times New Roman" w:hAnsi="Times New Roman" w:eastAsia="Times New Roman"/>
                <w:b/>
                <w:bCs/>
                <w:sz w:val="17"/>
              </w:rPr>
              <w:t xml:space="preserve">Tier 2</w:t>
            </w:r>
          </w:p>
        </w:tc>
        <w:tc>
          <w:tcPr>
            <w:vAlign w:val="center"/>
          </w:tcPr>
          <w:p>
            <w:pPr>
              <w:pStyle w:val="Compact"/>
              <w:spacing w:before="0" w:after="0" w:line="240" w:lineRule="auto"/>
              <w:jc w:val="left"/>
            </w:pPr>
            <w:r>
              <w:rPr>
                <w:rFonts w:ascii="Times New Roman" w:hAnsi="Times New Roman" w:eastAsia="Times New Roman"/>
                <w:sz w:val="17"/>
              </w:rPr>
              <w:t xml:space="preserve">0.40 ≤ p &lt; 0.70</w:t>
            </w:r>
          </w:p>
        </w:tc>
        <w:tc>
          <w:tcPr>
            <w:vAlign w:val="center"/>
          </w:tcPr>
          <w:p>
            <w:pPr>
              <w:pStyle w:val="Compact"/>
              <w:spacing w:before="0" w:after="0" w:line="240" w:lineRule="auto"/>
              <w:jc w:val="left"/>
            </w:pPr>
            <w:r>
              <w:rPr>
                <w:rFonts w:ascii="Times New Roman" w:hAnsi="Times New Roman" w:eastAsia="Times New Roman"/>
                <w:sz w:val="17"/>
              </w:rPr>
              <w:t xml:space="preserve">0.1–1.0 ha (10–100 px)</w:t>
            </w:r>
          </w:p>
        </w:tc>
        <w:tc>
          <w:tcPr>
            <w:vAlign w:val="center"/>
          </w:tcPr>
          <w:p>
            <w:pPr>
              <w:pStyle w:val="Compact"/>
              <w:spacing w:before="0" w:after="0" w:line="240" w:lineRule="auto"/>
              <w:jc w:val="left"/>
            </w:pPr>
            <w:r>
              <w:rPr>
                <w:rFonts w:ascii="Times New Roman" w:hAnsi="Times New Roman" w:eastAsia="Times New Roman"/>
                <w:sz w:val="17"/>
              </w:rPr>
              <w:t xml:space="preserve">Moderate confidence; recommended expert review or optical cueing</w:t>
            </w:r>
          </w:p>
        </w:tc>
        <w:tc>
          <w:tcPr>
            <w:vAlign w:val="center"/>
          </w:tcPr>
          <w:p>
            <w:pPr>
              <w:pStyle w:val="Compact"/>
              <w:spacing w:before="0" w:after="0" w:line="240" w:lineRule="auto"/>
              <w:jc w:val="left"/>
            </w:pPr>
            <w:r>
              <w:rPr>
                <w:rFonts w:ascii="Times New Roman" w:hAnsi="Times New Roman" w:eastAsia="Times New Roman"/>
                <w:sz w:val="17"/>
              </w:rPr>
              <w:t xml:space="preserve">Regional Forecasters</w:t>
            </w:r>
          </w:p>
        </w:tc>
      </w:tr>
      <w:tr>
        <w:trPr>
          <w:cantSplit w:val="true"/>
        </w:trPr>
        <w:tc>
          <w:tcPr>
            <w:vAlign w:val="center"/>
          </w:tcPr>
          <w:p>
            <w:pPr>
              <w:pStyle w:val="Compact"/>
              <w:spacing w:before="0" w:after="0" w:line="240" w:lineRule="auto"/>
              <w:jc w:val="left"/>
            </w:pPr>
            <w:r>
              <w:rPr>
                <w:rFonts w:ascii="Times New Roman" w:hAnsi="Times New Roman" w:eastAsia="Times New Roman"/>
                <w:b/>
                <w:bCs/>
                <w:sz w:val="17"/>
              </w:rPr>
              <w:t xml:space="preserve">Tier 3</w:t>
            </w:r>
          </w:p>
        </w:tc>
        <w:tc>
          <w:tcPr>
            <w:vAlign w:val="center"/>
          </w:tcPr>
          <w:p>
            <w:pPr>
              <w:pStyle w:val="Compact"/>
              <w:spacing w:before="0" w:after="0" w:line="240" w:lineRule="auto"/>
              <w:jc w:val="left"/>
            </w:pPr>
            <w:r>
              <w:rPr>
                <w:rFonts w:ascii="Times New Roman" w:hAnsi="Times New Roman" w:eastAsia="Times New Roman"/>
                <w:sz w:val="17"/>
              </w:rPr>
              <w:t xml:space="preserve">p ≥ 0.70</w:t>
            </w:r>
          </w:p>
        </w:tc>
        <w:tc>
          <w:tcPr>
            <w:vAlign w:val="center"/>
          </w:tcPr>
          <w:p>
            <w:pPr>
              <w:pStyle w:val="Compact"/>
              <w:spacing w:before="0" w:after="0" w:line="240" w:lineRule="auto"/>
              <w:jc w:val="left"/>
            </w:pPr>
            <w:r>
              <w:rPr>
                <w:rFonts w:ascii="Times New Roman" w:hAnsi="Times New Roman" w:eastAsia="Times New Roman"/>
                <w:sz w:val="17"/>
              </w:rPr>
              <w:t xml:space="preserve">≥ 1.0 ha (Major debris)</w:t>
            </w:r>
          </w:p>
        </w:tc>
        <w:tc>
          <w:tcPr>
            <w:vAlign w:val="center"/>
          </w:tcPr>
          <w:p>
            <w:pPr>
              <w:pStyle w:val="Compact"/>
              <w:spacing w:before="0" w:after="0" w:line="240" w:lineRule="auto"/>
              <w:jc w:val="left"/>
            </w:pPr>
            <w:r>
              <w:rPr>
                <w:rFonts w:ascii="Times New Roman" w:hAnsi="Times New Roman" w:eastAsia="Times New Roman"/>
                <w:sz w:val="17"/>
              </w:rPr>
              <w:t xml:space="preserve">High confidence; prioritized inspection along transport corridors</w:t>
            </w:r>
          </w:p>
        </w:tc>
        <w:tc>
          <w:tcPr>
            <w:vAlign w:val="center"/>
          </w:tcPr>
          <w:p>
            <w:pPr>
              <w:pStyle w:val="Compact"/>
              <w:spacing w:before="0" w:after="0" w:line="240" w:lineRule="auto"/>
              <w:jc w:val="left"/>
            </w:pPr>
            <w:r>
              <w:rPr>
                <w:rFonts w:ascii="Times New Roman" w:hAnsi="Times New Roman" w:eastAsia="Times New Roman"/>
                <w:sz w:val="17"/>
              </w:rPr>
              <w:t xml:space="preserve">Civil Protection / Road Auth.</w:t>
            </w:r>
          </w:p>
        </w:tc>
      </w:tr>
      <w:tr>
        <w:trPr>
          <w:cantSplit w:val="true"/>
        </w:trPr>
        <w:tc>
          <w:tcPr>
            <w:gridSpan w:val="5"/>
            <w:vAlign w:val="center"/>
          </w:tcPr>
          <w:p>
            <w:pPr>
              <w:pStyle w:val="Compact"/>
              <w:spacing w:before="0" w:after="0" w:line="240" w:lineRule="auto"/>
              <w:jc w:val="left"/>
            </w:pPr>
            <w:r>
              <w:rPr>
                <w:rFonts w:ascii="Times New Roman" w:hAnsi="Times New Roman" w:eastAsia="Times New Roman"/>
                <w:b/>
                <w:bCs/>
                <w:sz w:val="17"/>
              </w:rPr>
              <w:t xml:space="preserve">Regional False-Alarm Footprint (Valid Area: Troms</w:t>
            </w:r>
            <w:r>
              <w:rPr>
                <w:rFonts w:ascii="Times New Roman" w:hAnsi="Times New Roman" w:eastAsia="Times New Roman"/>
                <w:b/>
                <w:bCs/>
                <w:sz w:val="17"/>
              </w:rPr>
              <w:t xml:space="preserve">ø</w:t>
            </w:r>
            <w:r>
              <w:rPr>
                <w:rFonts w:ascii="Times New Roman" w:hAnsi="Times New Roman" w:eastAsia="Times New Roman"/>
                <w:b/>
                <w:bCs/>
                <w:sz w:val="17"/>
              </w:rPr>
              <w:t xml:space="preserve"> </w:t>
            </w:r>
            <w:r>
              <w:rPr>
                <w:rFonts w:ascii="Times New Roman" w:hAnsi="Times New Roman" w:eastAsia="Times New Roman"/>
                <w:b/>
                <w:bCs/>
                <w:sz w:val="17"/>
              </w:rPr>
              <w:t xml:space="preserve">231.151 km², Pamir 350.338 km²)</w:t>
            </w:r>
          </w:p>
        </w:tc>
      </w:tr>
      <w:tr>
        <w:trPr>
          <w:cantSplit w:val="true"/>
        </w:trPr>
        <w:tc>
          <w:tcPr>
            <w:vAlign w:val="center"/>
          </w:tcPr>
          <w:p>
            <w:pPr>
              <w:pStyle w:val="Compact"/>
              <w:spacing w:before="0" w:after="0" w:line="240" w:lineRule="auto"/>
              <w:jc w:val="left"/>
            </w:pPr>
            <w:r>
              <w:rPr>
                <w:rFonts w:ascii="Times New Roman" w:hAnsi="Times New Roman" w:eastAsia="Times New Roman"/>
                <w:b/>
                <w:bCs/>
                <w:sz w:val="17"/>
              </w:rPr>
              <w:t xml:space="preserve">Region</w:t>
            </w:r>
          </w:p>
        </w:tc>
        <w:tc>
          <w:tcPr>
            <w:vAlign w:val="center"/>
          </w:tcPr>
          <w:p>
            <w:pPr>
              <w:pStyle w:val="Compact"/>
              <w:spacing w:before="0" w:after="0" w:line="240" w:lineRule="auto"/>
              <w:jc w:val="left"/>
            </w:pPr>
            <w:r>
              <w:rPr>
                <w:rFonts w:ascii="Times New Roman" w:hAnsi="Times New Roman" w:eastAsia="Times New Roman"/>
                <w:b/>
                <w:bCs/>
                <w:sz w:val="17"/>
              </w:rPr>
              <w:t xml:space="preserve">Method</w:t>
            </w:r>
          </w:p>
        </w:tc>
        <w:tc>
          <w:tcPr>
            <w:vAlign w:val="center"/>
          </w:tcPr>
          <w:p>
            <w:pPr>
              <w:pStyle w:val="Compact"/>
              <w:spacing w:before="0" w:after="0" w:line="240" w:lineRule="auto"/>
              <w:jc w:val="left"/>
            </w:pPr>
            <w:r>
              <w:rPr>
                <w:rFonts w:ascii="Times New Roman" w:hAnsi="Times New Roman" w:eastAsia="Times New Roman"/>
                <w:b/>
                <w:bCs/>
                <w:sz w:val="17"/>
              </w:rPr>
              <w:t xml:space="preserve">Detected Debris (ha)</w:t>
            </w:r>
          </w:p>
        </w:tc>
        <w:tc>
          <w:tcPr>
            <w:vAlign w:val="center"/>
          </w:tcPr>
          <w:p>
            <w:pPr>
              <w:pStyle w:val="Compact"/>
              <w:spacing w:before="0" w:after="0" w:line="240" w:lineRule="auto"/>
              <w:jc w:val="left"/>
            </w:pPr>
            <w:r>
              <w:rPr>
                <w:rFonts w:ascii="Times New Roman" w:hAnsi="Times New Roman" w:eastAsia="Times New Roman"/>
                <w:b/>
                <w:bCs/>
                <w:sz w:val="17"/>
              </w:rPr>
              <w:t xml:space="preserve">False-Alarm Area (ha / km²)</w:t>
            </w:r>
          </w:p>
        </w:tc>
        <w:tc>
          <w:tcPr>
            <w:vAlign w:val="center"/>
          </w:tcPr>
          <w:p>
            <w:pPr>
              <w:pStyle w:val="Compact"/>
              <w:spacing w:before="0" w:after="0" w:line="240" w:lineRule="auto"/>
              <w:jc w:val="left"/>
            </w:pPr>
            <w:r>
              <w:rPr>
                <w:rFonts w:ascii="Times New Roman" w:hAnsi="Times New Roman" w:eastAsia="Times New Roman"/>
                <w:b/>
                <w:bCs/>
                <w:sz w:val="17"/>
              </w:rPr>
              <w:t xml:space="preserve">False-Alarm Rate (ha / km²)</w:t>
            </w:r>
          </w:p>
        </w:tc>
      </w:tr>
      <w:tr>
        <w:trPr>
          <w:cantSplit w:val="true"/>
        </w:trPr>
        <w:tc>
          <w:tcPr>
            <w:vMerge w:val="restart"/>
            <w:vAlign w:val="center"/>
          </w:tcPr>
          <w:p>
            <w:pPr>
              <w:pStyle w:val="Compact"/>
              <w:spacing w:before="0" w:after="0" w:line="240" w:lineRule="auto"/>
              <w:jc w:val="left"/>
            </w:pPr>
            <w:r>
              <w:rPr>
                <w:rFonts w:ascii="Times New Roman" w:hAnsi="Times New Roman" w:eastAsia="Times New Roman"/>
                <w:sz w:val="17"/>
              </w:rPr>
              <w:t xml:space="preserve">Scandinavian Arctic (Troms</w:t>
            </w:r>
            <w:r>
              <w:rPr>
                <w:rFonts w:ascii="Times New Roman" w:hAnsi="Times New Roman" w:eastAsia="Times New Roman"/>
                <w:sz w:val="17"/>
              </w:rPr>
              <w:t xml:space="preserve">ø</w:t>
            </w:r>
            <w:r>
              <w:rPr>
                <w:rFonts w:ascii="Times New Roman" w:hAnsi="Times New Roman" w:eastAsia="Times New Roman"/>
                <w:sz w:val="17"/>
              </w:rPr>
              <w:t xml:space="preserve">)</w:t>
            </w:r>
          </w:p>
        </w:tc>
        <w:tc>
          <w:tcPr>
            <w:vAlign w:val="center"/>
          </w:tcPr>
          <w:p>
            <w:pPr>
              <w:pStyle w:val="Compact"/>
              <w:spacing w:before="0" w:after="0" w:line="240" w:lineRule="auto"/>
              <w:jc w:val="left"/>
            </w:pPr>
            <w:r>
              <w:rPr>
                <w:rFonts w:ascii="Times New Roman" w:hAnsi="Times New Roman" w:eastAsia="Times New Roman"/>
                <w:sz w:val="17"/>
              </w:rPr>
              <w:t xml:space="preserve">SiamUNet-diff</w:t>
            </w:r>
          </w:p>
        </w:tc>
        <w:tc>
          <w:tcPr>
            <w:vAlign w:val="center"/>
          </w:tcPr>
          <w:p>
            <w:pPr>
              <w:pStyle w:val="Compact"/>
              <w:spacing w:before="0" w:after="0" w:line="240" w:lineRule="auto"/>
              <w:jc w:val="left"/>
            </w:pPr>
            <w:r>
              <w:rPr>
                <w:rFonts w:ascii="Times New Roman" w:hAnsi="Times New Roman" w:eastAsia="Times New Roman"/>
                <w:sz w:val="17"/>
              </w:rPr>
              <w:t xml:space="preserve">218.33 ha</w:t>
            </w:r>
          </w:p>
        </w:tc>
        <w:tc>
          <w:tcPr>
            <w:vAlign w:val="center"/>
          </w:tcPr>
          <w:p>
            <w:pPr>
              <w:pStyle w:val="Compact"/>
              <w:spacing w:before="0" w:after="0" w:line="240" w:lineRule="auto"/>
              <w:jc w:val="left"/>
            </w:pPr>
            <w:r>
              <w:rPr>
                <w:rFonts w:ascii="Times New Roman" w:hAnsi="Times New Roman" w:eastAsia="Times New Roman"/>
                <w:sz w:val="17"/>
              </w:rPr>
              <w:t xml:space="preserve">43.13 ha (0.43 km²)</w:t>
            </w:r>
          </w:p>
        </w:tc>
        <w:tc>
          <w:tcPr>
            <w:vAlign w:val="center"/>
          </w:tcPr>
          <w:p>
            <w:pPr>
              <w:pStyle w:val="Compact"/>
              <w:spacing w:before="0" w:after="0" w:line="240" w:lineRule="auto"/>
              <w:jc w:val="left"/>
            </w:pPr>
            <w:r>
              <w:rPr>
                <w:rFonts w:ascii="Times New Roman" w:hAnsi="Times New Roman" w:eastAsia="Times New Roman"/>
                <w:sz w:val="17"/>
              </w:rPr>
              <w:t xml:space="preserve">0.19 ha / km² (Misses 121.36 ha)</w:t>
            </w:r>
          </w:p>
        </w:tc>
      </w:tr>
      <w:tr>
        <w:trPr>
          <w:cantSplit w:val="true"/>
        </w:trPr>
        <w:tc>
          <w:tcPr>
            <w:gridSpan w:val="1"/>
            <w:vMerge w:val="continue"/>
          </w:tcPr>
          <w:p>
            <w:pPr/>
          </w:p>
        </w:tc>
        <w:tc>
          <w:tcPr>
            <w:vAlign w:val="center"/>
          </w:tcPr>
          <w:p>
            <w:pPr>
              <w:pStyle w:val="Compact"/>
              <w:spacing w:before="0" w:after="0" w:line="240" w:lineRule="auto"/>
              <w:jc w:val="left"/>
            </w:pPr>
            <w:r>
              <w:rPr>
                <w:rFonts w:ascii="Times New Roman" w:hAnsi="Times New Roman" w:eastAsia="Times New Roman"/>
                <w:sz w:val="17"/>
              </w:rPr>
              <w:t xml:space="preserve">Attention U-Net</w:t>
            </w:r>
          </w:p>
        </w:tc>
        <w:tc>
          <w:tcPr>
            <w:vAlign w:val="center"/>
          </w:tcPr>
          <w:p>
            <w:pPr>
              <w:pStyle w:val="Compact"/>
              <w:spacing w:before="0" w:after="0" w:line="240" w:lineRule="auto"/>
              <w:jc w:val="left"/>
            </w:pPr>
            <w:r>
              <w:rPr>
                <w:rFonts w:ascii="Times New Roman" w:hAnsi="Times New Roman" w:eastAsia="Times New Roman"/>
                <w:sz w:val="17"/>
              </w:rPr>
              <w:t xml:space="preserve">261.49 ha</w:t>
            </w:r>
          </w:p>
        </w:tc>
        <w:tc>
          <w:tcPr>
            <w:vAlign w:val="center"/>
          </w:tcPr>
          <w:p>
            <w:pPr>
              <w:pStyle w:val="Compact"/>
              <w:spacing w:before="0" w:after="0" w:line="240" w:lineRule="auto"/>
              <w:jc w:val="left"/>
            </w:pPr>
            <w:r>
              <w:rPr>
                <w:rFonts w:ascii="Times New Roman" w:hAnsi="Times New Roman" w:eastAsia="Times New Roman"/>
                <w:sz w:val="17"/>
              </w:rPr>
              <w:t xml:space="preserve">68.34 ha (0.68 km²)</w:t>
            </w:r>
          </w:p>
        </w:tc>
        <w:tc>
          <w:tcPr>
            <w:vAlign w:val="center"/>
          </w:tcPr>
          <w:p>
            <w:pPr>
              <w:pStyle w:val="Compact"/>
              <w:spacing w:before="0" w:after="0" w:line="240" w:lineRule="auto"/>
              <w:jc w:val="left"/>
            </w:pPr>
            <w:r>
              <w:rPr>
                <w:rFonts w:ascii="Times New Roman" w:hAnsi="Times New Roman" w:eastAsia="Times New Roman"/>
                <w:sz w:val="17"/>
              </w:rPr>
              <w:t xml:space="preserve">0.30 ha / km²</w:t>
            </w:r>
          </w:p>
        </w:tc>
      </w:tr>
      <w:tr>
        <w:trPr>
          <w:cantSplit w:val="true"/>
        </w:trPr>
        <w:tc>
          <w:tcPr>
            <w:gridSpan w:val="1"/>
            <w:vMerge w:val="continue"/>
          </w:tcPr>
          <w:p>
            <w:pPr/>
          </w:p>
        </w:tc>
        <w:tc>
          <w:tcPr>
            <w:vAlign w:val="center"/>
          </w:tcPr>
          <w:p>
            <w:pPr>
              <w:pStyle w:val="Compact"/>
              <w:spacing w:before="0" w:after="0" w:line="240" w:lineRule="auto"/>
              <w:jc w:val="left"/>
            </w:pPr>
            <w:r>
              <w:rPr>
                <w:rFonts w:ascii="Times New Roman" w:hAnsi="Times New Roman" w:eastAsia="Times New Roman"/>
                <w:b/>
                <w:bCs/>
                <w:sz w:val="17"/>
              </w:rPr>
              <w:t xml:space="preserve">TopoRadar-Net (Ours)</w:t>
            </w:r>
          </w:p>
        </w:tc>
        <w:tc>
          <w:tcPr>
            <w:vAlign w:val="center"/>
          </w:tcPr>
          <w:p>
            <w:pPr>
              <w:pStyle w:val="Compact"/>
              <w:spacing w:before="0" w:after="0" w:line="240" w:lineRule="auto"/>
              <w:jc w:val="left"/>
            </w:pPr>
            <w:r>
              <w:rPr>
                <w:rFonts w:ascii="Times New Roman" w:hAnsi="Times New Roman" w:eastAsia="Times New Roman"/>
                <w:b/>
                <w:bCs/>
                <w:sz w:val="17"/>
              </w:rPr>
              <w:t xml:space="preserve">270.09 ha</w:t>
            </w:r>
          </w:p>
        </w:tc>
        <w:tc>
          <w:tcPr>
            <w:vAlign w:val="center"/>
          </w:tcPr>
          <w:p>
            <w:pPr>
              <w:pStyle w:val="Compact"/>
              <w:spacing w:before="0" w:after="0" w:line="240" w:lineRule="auto"/>
              <w:jc w:val="left"/>
            </w:pPr>
            <w:r>
              <w:rPr>
                <w:rFonts w:ascii="Times New Roman" w:hAnsi="Times New Roman" w:eastAsia="Times New Roman"/>
                <w:b/>
                <w:bCs/>
                <w:sz w:val="17"/>
              </w:rPr>
              <w:t xml:space="preserve">87.82 ha</w:t>
            </w:r>
            <w:r>
              <w:rPr>
                <w:rFonts w:ascii="Times New Roman" w:hAnsi="Times New Roman" w:eastAsia="Times New Roman"/>
                <w:sz w:val="17"/>
              </w:rPr>
              <w:t xml:space="preserve"> </w:t>
            </w:r>
            <w:r>
              <w:rPr>
                <w:rFonts w:ascii="Times New Roman" w:hAnsi="Times New Roman" w:eastAsia="Times New Roman"/>
                <w:sz w:val="17"/>
              </w:rPr>
              <w:t xml:space="preserve">(</w:t>
            </w:r>
            <w:r>
              <w:rPr>
                <w:rFonts w:ascii="Times New Roman" w:hAnsi="Times New Roman" w:eastAsia="Times New Roman"/>
                <w:b/>
                <w:bCs/>
                <w:sz w:val="17"/>
              </w:rPr>
              <w:t xml:space="preserve">0.88 km²</w:t>
            </w:r>
            <w:r>
              <w:rPr>
                <w:rFonts w:ascii="Times New Roman" w:hAnsi="Times New Roman" w:eastAsia="Times New Roman"/>
                <w:sz w:val="17"/>
              </w:rPr>
              <w:t xml:space="preserve">)</w:t>
            </w:r>
          </w:p>
        </w:tc>
        <w:tc>
          <w:tcPr>
            <w:vAlign w:val="center"/>
          </w:tcPr>
          <w:p>
            <w:pPr>
              <w:pStyle w:val="Compact"/>
              <w:spacing w:before="0" w:after="0" w:line="240" w:lineRule="auto"/>
              <w:jc w:val="left"/>
            </w:pPr>
            <w:r>
              <w:rPr>
                <w:rFonts w:ascii="Times New Roman" w:hAnsi="Times New Roman" w:eastAsia="Times New Roman"/>
                <w:b/>
                <w:bCs/>
                <w:sz w:val="17"/>
              </w:rPr>
              <w:t xml:space="preserve">0.38 ha / km²</w:t>
            </w:r>
            <w:r>
              <w:rPr>
                <w:rFonts w:ascii="Times New Roman" w:hAnsi="Times New Roman" w:eastAsia="Times New Roman"/>
                <w:sz w:val="17"/>
              </w:rPr>
              <w:t xml:space="preserve"> </w:t>
            </w:r>
            <w:r>
              <w:rPr>
                <w:rFonts w:ascii="Times New Roman" w:hAnsi="Times New Roman" w:eastAsia="Times New Roman"/>
                <w:sz w:val="17"/>
              </w:rPr>
              <w:t xml:space="preserve">(Detects 95.8% D4)</w:t>
            </w:r>
          </w:p>
        </w:tc>
      </w:tr>
      <w:tr>
        <w:trPr>
          <w:cantSplit w:val="true"/>
        </w:trPr>
        <w:tc>
          <w:tcPr>
            <w:vMerge w:val="restart"/>
            <w:vAlign w:val="center"/>
          </w:tcPr>
          <w:p>
            <w:pPr>
              <w:pStyle w:val="Compact"/>
              <w:spacing w:before="0" w:after="0" w:line="240" w:lineRule="auto"/>
              <w:jc w:val="left"/>
            </w:pPr>
            <w:r>
              <w:rPr>
                <w:rFonts w:ascii="Times New Roman" w:hAnsi="Times New Roman" w:eastAsia="Times New Roman"/>
                <w:sz w:val="17"/>
              </w:rPr>
              <w:t xml:space="preserve">Pamir Mountains (Pish)</w:t>
            </w:r>
          </w:p>
        </w:tc>
        <w:tc>
          <w:tcPr>
            <w:vAlign w:val="center"/>
          </w:tcPr>
          <w:p>
            <w:pPr>
              <w:pStyle w:val="Compact"/>
              <w:spacing w:before="0" w:after="0" w:line="240" w:lineRule="auto"/>
              <w:jc w:val="left"/>
            </w:pPr>
            <w:r>
              <w:rPr>
                <w:rFonts w:ascii="Times New Roman" w:hAnsi="Times New Roman" w:eastAsia="Times New Roman"/>
                <w:sz w:val="17"/>
              </w:rPr>
              <w:t xml:space="preserve">SiamUNet-conc</w:t>
            </w:r>
          </w:p>
        </w:tc>
        <w:tc>
          <w:tcPr>
            <w:vAlign w:val="center"/>
          </w:tcPr>
          <w:p>
            <w:pPr>
              <w:pStyle w:val="Compact"/>
              <w:spacing w:before="0" w:after="0" w:line="240" w:lineRule="auto"/>
              <w:jc w:val="left"/>
            </w:pPr>
            <w:r>
              <w:rPr>
                <w:rFonts w:ascii="Times New Roman" w:hAnsi="Times New Roman" w:eastAsia="Times New Roman"/>
                <w:sz w:val="17"/>
              </w:rPr>
              <w:t xml:space="preserve">163.76 ha</w:t>
            </w:r>
          </w:p>
        </w:tc>
        <w:tc>
          <w:tcPr>
            <w:vAlign w:val="center"/>
          </w:tcPr>
          <w:p>
            <w:pPr>
              <w:pStyle w:val="Compact"/>
              <w:spacing w:before="0" w:after="0" w:line="240" w:lineRule="auto"/>
              <w:jc w:val="left"/>
            </w:pPr>
            <w:r>
              <w:rPr>
                <w:rFonts w:ascii="Times New Roman" w:hAnsi="Times New Roman" w:eastAsia="Times New Roman"/>
                <w:sz w:val="17"/>
              </w:rPr>
              <w:t xml:space="preserve">302.63 ha (3.03 km²)</w:t>
            </w:r>
          </w:p>
        </w:tc>
        <w:tc>
          <w:tcPr>
            <w:vAlign w:val="center"/>
          </w:tcPr>
          <w:p>
            <w:pPr>
              <w:pStyle w:val="Compact"/>
              <w:spacing w:before="0" w:after="0" w:line="240" w:lineRule="auto"/>
              <w:jc w:val="left"/>
            </w:pPr>
            <w:r>
              <w:rPr>
                <w:rFonts w:ascii="Times New Roman" w:hAnsi="Times New Roman" w:eastAsia="Times New Roman"/>
                <w:sz w:val="17"/>
              </w:rPr>
              <w:t xml:space="preserve">0.86 ha / km² (Severe Clutter)</w:t>
            </w:r>
          </w:p>
        </w:tc>
      </w:tr>
      <w:tr>
        <w:trPr>
          <w:cantSplit w:val="true"/>
        </w:trPr>
        <w:tc>
          <w:tcPr>
            <w:gridSpan w:val="1"/>
            <w:vMerge w:val="continue"/>
          </w:tcPr>
          <w:p>
            <w:pPr/>
          </w:p>
        </w:tc>
        <w:tc>
          <w:tcPr>
            <w:vAlign w:val="center"/>
          </w:tcPr>
          <w:p>
            <w:pPr>
              <w:pStyle w:val="Compact"/>
              <w:spacing w:before="0" w:after="0" w:line="240" w:lineRule="auto"/>
              <w:jc w:val="left"/>
            </w:pPr>
            <w:r>
              <w:rPr>
                <w:rFonts w:ascii="Times New Roman" w:hAnsi="Times New Roman" w:eastAsia="Times New Roman"/>
                <w:sz w:val="17"/>
              </w:rPr>
              <w:t xml:space="preserve">Attention U-Net</w:t>
            </w:r>
          </w:p>
        </w:tc>
        <w:tc>
          <w:tcPr>
            <w:vAlign w:val="center"/>
          </w:tcPr>
          <w:p>
            <w:pPr>
              <w:pStyle w:val="Compact"/>
              <w:spacing w:before="0" w:after="0" w:line="240" w:lineRule="auto"/>
              <w:jc w:val="left"/>
            </w:pPr>
            <w:r>
              <w:rPr>
                <w:rFonts w:ascii="Times New Roman" w:hAnsi="Times New Roman" w:eastAsia="Times New Roman"/>
                <w:sz w:val="17"/>
              </w:rPr>
              <w:t xml:space="preserve">150.43 ha</w:t>
            </w:r>
          </w:p>
        </w:tc>
        <w:tc>
          <w:tcPr>
            <w:vAlign w:val="center"/>
          </w:tcPr>
          <w:p>
            <w:pPr>
              <w:pStyle w:val="Compact"/>
              <w:spacing w:before="0" w:after="0" w:line="240" w:lineRule="auto"/>
              <w:jc w:val="left"/>
            </w:pPr>
            <w:r>
              <w:rPr>
                <w:rFonts w:ascii="Times New Roman" w:hAnsi="Times New Roman" w:eastAsia="Times New Roman"/>
                <w:sz w:val="17"/>
              </w:rPr>
              <w:t xml:space="preserve">242.77 ha (2.43 km²)</w:t>
            </w:r>
          </w:p>
        </w:tc>
        <w:tc>
          <w:tcPr>
            <w:vAlign w:val="center"/>
          </w:tcPr>
          <w:p>
            <w:pPr>
              <w:pStyle w:val="Compact"/>
              <w:spacing w:before="0" w:after="0" w:line="240" w:lineRule="auto"/>
              <w:jc w:val="left"/>
            </w:pPr>
            <w:r>
              <w:rPr>
                <w:rFonts w:ascii="Times New Roman" w:hAnsi="Times New Roman" w:eastAsia="Times New Roman"/>
                <w:sz w:val="17"/>
              </w:rPr>
              <w:t xml:space="preserve">0.69 ha / km²</w:t>
            </w:r>
          </w:p>
        </w:tc>
      </w:tr>
      <w:tr>
        <w:trPr>
          <w:cantSplit w:val="true"/>
        </w:trPr>
        <w:tc>
          <w:tcPr>
            <w:gridSpan w:val="1"/>
            <w:vMerge w:val="continue"/>
          </w:tcPr>
          <w:p>
            <w:pPr/>
          </w:p>
        </w:tc>
        <w:tc>
          <w:tcPr>
            <w:vAlign w:val="center"/>
          </w:tcPr>
          <w:p>
            <w:pPr>
              <w:pStyle w:val="Compact"/>
              <w:spacing w:before="0" w:after="0" w:line="240" w:lineRule="auto"/>
              <w:jc w:val="left"/>
            </w:pPr>
            <w:r>
              <w:rPr>
                <w:rFonts w:ascii="Times New Roman" w:hAnsi="Times New Roman" w:eastAsia="Times New Roman"/>
                <w:b/>
                <w:bCs/>
                <w:sz w:val="17"/>
              </w:rPr>
              <w:t xml:space="preserve">TopoRadar-Net (Ours)</w:t>
            </w:r>
          </w:p>
        </w:tc>
        <w:tc>
          <w:tcPr>
            <w:vAlign w:val="center"/>
          </w:tcPr>
          <w:p>
            <w:pPr>
              <w:pStyle w:val="Compact"/>
              <w:spacing w:before="0" w:after="0" w:line="240" w:lineRule="auto"/>
              <w:jc w:val="left"/>
            </w:pPr>
            <w:r>
              <w:rPr>
                <w:rFonts w:ascii="Times New Roman" w:hAnsi="Times New Roman" w:eastAsia="Times New Roman"/>
                <w:b/>
                <w:bCs/>
                <w:sz w:val="17"/>
              </w:rPr>
              <w:t xml:space="preserve">130.25 ha</w:t>
            </w:r>
          </w:p>
        </w:tc>
        <w:tc>
          <w:tcPr>
            <w:vAlign w:val="center"/>
          </w:tcPr>
          <w:p>
            <w:pPr>
              <w:pStyle w:val="Compact"/>
              <w:spacing w:before="0" w:after="0" w:line="240" w:lineRule="auto"/>
              <w:jc w:val="left"/>
            </w:pPr>
            <w:r>
              <w:rPr>
                <w:rFonts w:ascii="Times New Roman" w:hAnsi="Times New Roman" w:eastAsia="Times New Roman"/>
                <w:b/>
                <w:bCs/>
                <w:sz w:val="17"/>
              </w:rPr>
              <w:t xml:space="preserve">169.89 ha</w:t>
            </w:r>
            <w:r>
              <w:rPr>
                <w:rFonts w:ascii="Times New Roman" w:hAnsi="Times New Roman" w:eastAsia="Times New Roman"/>
                <w:sz w:val="17"/>
              </w:rPr>
              <w:t xml:space="preserve"> </w:t>
            </w:r>
            <w:r>
              <w:rPr>
                <w:rFonts w:ascii="Times New Roman" w:hAnsi="Times New Roman" w:eastAsia="Times New Roman"/>
                <w:sz w:val="17"/>
              </w:rPr>
              <w:t xml:space="preserve">(</w:t>
            </w:r>
            <w:r>
              <w:rPr>
                <w:rFonts w:ascii="Times New Roman" w:hAnsi="Times New Roman" w:eastAsia="Times New Roman"/>
                <w:b/>
                <w:bCs/>
                <w:sz w:val="17"/>
              </w:rPr>
              <w:t xml:space="preserve">1.70 km²</w:t>
            </w:r>
            <w:r>
              <w:rPr>
                <w:rFonts w:ascii="Times New Roman" w:hAnsi="Times New Roman" w:eastAsia="Times New Roman"/>
                <w:sz w:val="17"/>
              </w:rPr>
              <w:t xml:space="preserve">)</w:t>
            </w:r>
          </w:p>
        </w:tc>
        <w:tc>
          <w:tcPr>
            <w:vAlign w:val="center"/>
          </w:tcPr>
          <w:p>
            <w:pPr>
              <w:pStyle w:val="Compact"/>
              <w:spacing w:before="0" w:after="0" w:line="240" w:lineRule="auto"/>
              <w:jc w:val="left"/>
            </w:pPr>
            <w:r>
              <w:rPr>
                <w:rFonts w:ascii="Times New Roman" w:hAnsi="Times New Roman" w:eastAsia="Times New Roman"/>
                <w:b/>
                <w:bCs/>
                <w:sz w:val="17"/>
              </w:rPr>
              <w:t xml:space="preserve">0.48 ha / km²</w:t>
            </w:r>
            <w:r>
              <w:rPr>
                <w:rFonts w:ascii="Times New Roman" w:hAnsi="Times New Roman" w:eastAsia="Times New Roman"/>
                <w:sz w:val="17"/>
              </w:rPr>
              <w:t xml:space="preserve"> </w:t>
            </w:r>
            <w:r>
              <w:rPr>
                <w:rFonts w:ascii="Times New Roman" w:hAnsi="Times New Roman" w:eastAsia="Times New Roman"/>
                <w:sz w:val="17"/>
              </w:rPr>
              <w:t xml:space="preserve">(</w:t>
            </w:r>
            <w:r>
              <w:rPr>
                <w:rFonts w:ascii="Times New Roman" w:hAnsi="Times New Roman" w:eastAsia="Times New Roman"/>
                <w:b/>
                <w:bCs/>
                <w:sz w:val="17"/>
              </w:rPr>
              <w:t xml:space="preserve">30.0%</w:t>
            </w:r>
            <w:r>
              <w:rPr>
                <w:rFonts w:ascii="Times New Roman" w:hAnsi="Times New Roman" w:eastAsia="Times New Roman"/>
                <w:sz w:val="17"/>
              </w:rPr>
              <w:t xml:space="preserve"> </w:t>
            </w:r>
            <w:r>
              <w:rPr>
                <w:rFonts w:ascii="Times New Roman" w:hAnsi="Times New Roman" w:eastAsia="Times New Roman"/>
                <w:sz w:val="17"/>
              </w:rPr>
              <w:t xml:space="preserve">Clutter Reduction)</w:t>
            </w:r>
          </w:p>
        </w:tc>
      </w:tr>
    </w:tbl>
    <w:p>
      <w:pPr>
        <w:pStyle w:val="BodyText"/>
        <w:spacing w:after="0" w:line="240" w:lineRule="auto"/>
      </w:pPr>
      <w:r>
        <w:rPr>
          <w:rFonts w:ascii="Times New Roman" w:hAnsi="Times New Roman" w:eastAsia="Times New Roman"/>
          <w:sz w:val="20"/>
        </w:rPr>
        <w:t xml:space="preserve">Table 8 summarizes the quantitative clutter footprint across mountain regimes and outlines an illustrative conceptual triage framework:</w:t>
      </w:r>
    </w:p>
    <w:p>
      <w:pPr>
        <w:numPr>
          <w:ilvl w:val="0"/>
          <w:numId w:val="1009"/>
        </w:numPr>
        <w:spacing w:after="0" w:line="240" w:lineRule="auto"/>
      </w:pPr>
      <w:r>
        <w:rPr>
          <w:rFonts w:ascii="Times New Roman" w:hAnsi="Times New Roman" w:eastAsia="Times New Roman"/>
          <w:b/>
          <w:bCs/>
          <w:sz w:val="20"/>
        </w:rPr>
        <w:t xml:space="preserve">Physical-Unit Footprints:</w:t>
      </w:r>
      <w:r>
        <w:rPr>
          <w:rFonts w:ascii="Times New Roman" w:hAnsi="Times New Roman" w:eastAsia="Times New Roman"/>
          <w:sz w:val="20"/>
        </w:rPr>
        <w:t xml:space="preserve"> </w:t>
      </w:r>
      <w:r>
        <w:rPr>
          <w:rFonts w:ascii="Times New Roman" w:hAnsi="Times New Roman" w:eastAsia="Times New Roman"/>
          <w:sz w:val="20"/>
        </w:rPr>
        <w:t xml:space="preserve">On the Pamir valid mask (</w:t>
      </w:r>
      <m:oMath>
        <m:r>
          <m:t>350.338</m:t>
        </m:r>
        <m:r>
          <m:t> </m:t>
        </m:r>
        <m:sSup>
          <m:e>
            <m:r>
              <m:rPr>
                <m:nor/>
                <m:sty m:val="p"/>
              </m:rPr>
              <m:t>km</m:t>
            </m:r>
          </m:e>
          <m:sup>
            <m:r>
              <m:t>2</m:t>
            </m:r>
          </m:sup>
        </m:sSup>
      </m:oMath>
      <w:r>
        <w:rPr>
          <w:rFonts w:ascii="Times New Roman" w:hAnsi="Times New Roman" w:eastAsia="Times New Roman"/>
          <w:sz w:val="20"/>
        </w:rPr>
        <w:t xml:space="preserve"> </w:t>
      </w:r>
      <w:r>
        <w:rPr>
          <w:rFonts w:ascii="Times New Roman" w:hAnsi="Times New Roman" w:eastAsia="Times New Roman"/>
          <w:sz w:val="20"/>
        </w:rPr>
        <w:t xml:space="preserve">nominal), TopoRadar-Net records</w:t>
      </w:r>
      <w:r>
        <w:rPr>
          <w:rFonts w:ascii="Times New Roman" w:hAnsi="Times New Roman" w:eastAsia="Times New Roman"/>
          <w:sz w:val="20"/>
        </w:rPr>
        <w:t xml:space="preserve"> </w:t>
      </w:r>
      <m:oMath>
        <m:r>
          <m:t>169.89</m:t>
        </m:r>
      </m:oMath>
      <w:r>
        <w:rPr>
          <w:rFonts w:ascii="Times New Roman" w:hAnsi="Times New Roman" w:eastAsia="Times New Roman"/>
          <w:sz w:val="20"/>
        </w:rPr>
        <w:t xml:space="preserve"> </w:t>
      </w:r>
      <w:r>
        <w:rPr>
          <w:rFonts w:ascii="Times New Roman" w:hAnsi="Times New Roman" w:eastAsia="Times New Roman"/>
          <w:sz w:val="20"/>
        </w:rPr>
        <w:t xml:space="preserve">ha of false alarms (</w:t>
      </w:r>
      <m:oMath>
        <m:r>
          <m:t>0.48</m:t>
        </m:r>
        <m:r>
          <m:t> </m:t>
        </m:r>
        <m:sSup>
          <m:e>
            <m:r>
              <m:rPr>
                <m:nor/>
                <m:sty m:val="p"/>
              </m:rPr>
              <m:t>ha/km</m:t>
            </m:r>
          </m:e>
          <m:sup>
            <m:r>
              <m:t>2</m:t>
            </m:r>
          </m:sup>
        </m:sSup>
      </m:oMath>
      <w:r>
        <w:rPr>
          <w:rFonts w:ascii="Times New Roman" w:hAnsi="Times New Roman" w:eastAsia="Times New Roman"/>
          <w:sz w:val="20"/>
        </w:rPr>
        <w:t xml:space="preserve">),</w:t>
      </w:r>
      <w:r>
        <w:rPr>
          <w:rFonts w:ascii="Times New Roman" w:hAnsi="Times New Roman" w:eastAsia="Times New Roman"/>
          <w:sz w:val="20"/>
        </w:rPr>
        <w:t xml:space="preserve"> </w:t>
      </w:r>
      <m:oMath>
        <m:r>
          <m:t>72.88</m:t>
        </m:r>
      </m:oMath>
      <w:r>
        <w:rPr>
          <w:rFonts w:ascii="Times New Roman" w:hAnsi="Times New Roman" w:eastAsia="Times New Roman"/>
          <w:sz w:val="20"/>
        </w:rPr>
        <w:t xml:space="preserve"> </w:t>
      </w:r>
      <w:r>
        <w:rPr>
          <w:rFonts w:ascii="Times New Roman" w:hAnsi="Times New Roman" w:eastAsia="Times New Roman"/>
          <w:sz w:val="20"/>
        </w:rPr>
        <w:t xml:space="preserve">ha (</w:t>
      </w:r>
      <m:oMath>
        <m:r>
          <m:t>30.0</m:t>
        </m:r>
        <m:r>
          <m:rPr>
            <m:sty m:val="p"/>
          </m:rPr>
          <m:t>%</m:t>
        </m:r>
      </m:oMath>
      <w:r>
        <w:rPr>
          <w:rFonts w:ascii="Times New Roman" w:hAnsi="Times New Roman" w:eastAsia="Times New Roman"/>
          <w:sz w:val="20"/>
        </w:rPr>
        <w:t xml:space="preserve">) below Attention U-Net and</w:t>
      </w:r>
      <w:r>
        <w:rPr>
          <w:rFonts w:ascii="Times New Roman" w:hAnsi="Times New Roman" w:eastAsia="Times New Roman"/>
          <w:sz w:val="20"/>
        </w:rPr>
        <w:t xml:space="preserve"> </w:t>
      </w:r>
      <m:oMath>
        <m:r>
          <m:t>132.73</m:t>
        </m:r>
      </m:oMath>
      <w:r>
        <w:rPr>
          <w:rFonts w:ascii="Times New Roman" w:hAnsi="Times New Roman" w:eastAsia="Times New Roman"/>
          <w:sz w:val="20"/>
        </w:rPr>
        <w:t xml:space="preserve"> </w:t>
      </w:r>
      <w:r>
        <w:rPr>
          <w:rFonts w:ascii="Times New Roman" w:hAnsi="Times New Roman" w:eastAsia="Times New Roman"/>
          <w:sz w:val="20"/>
        </w:rPr>
        <w:t xml:space="preserve">ha (</w:t>
      </w:r>
      <m:oMath>
        <m:r>
          <m:t>43.9</m:t>
        </m:r>
        <m:r>
          <m:rPr>
            <m:sty m:val="p"/>
          </m:rPr>
          <m:t>%</m:t>
        </m:r>
      </m:oMath>
      <w:r>
        <w:rPr>
          <w:rFonts w:ascii="Times New Roman" w:hAnsi="Times New Roman" w:eastAsia="Times New Roman"/>
          <w:sz w:val="20"/>
        </w:rPr>
        <w:t xml:space="preserve">) below SiamUNet-conc; affine physical differences are</w:t>
      </w:r>
      <w:r>
        <w:rPr>
          <w:rFonts w:ascii="Times New Roman" w:hAnsi="Times New Roman" w:eastAsia="Times New Roman"/>
          <w:sz w:val="20"/>
        </w:rPr>
        <w:t xml:space="preserve"> </w:t>
      </w:r>
      <m:oMath>
        <m:r>
          <m:t>55.63</m:t>
        </m:r>
      </m:oMath>
      <w:r>
        <w:rPr>
          <w:rFonts w:ascii="Times New Roman" w:hAnsi="Times New Roman" w:eastAsia="Times New Roman"/>
          <w:sz w:val="20"/>
        </w:rPr>
        <w:t xml:space="preserve"> </w:t>
      </w:r>
      <w:r>
        <w:rPr>
          <w:rFonts w:ascii="Times New Roman" w:hAnsi="Times New Roman" w:eastAsia="Times New Roman"/>
          <w:sz w:val="20"/>
        </w:rPr>
        <w:t xml:space="preserve">and</w:t>
      </w:r>
      <w:r>
        <w:rPr>
          <w:rFonts w:ascii="Times New Roman" w:hAnsi="Times New Roman" w:eastAsia="Times New Roman"/>
          <w:sz w:val="20"/>
        </w:rPr>
        <w:t xml:space="preserve"> </w:t>
      </w:r>
      <m:oMath>
        <m:r>
          <m:t>101.33</m:t>
        </m:r>
      </m:oMath>
      <w:r>
        <w:rPr>
          <w:rFonts w:ascii="Times New Roman" w:hAnsi="Times New Roman" w:eastAsia="Times New Roman"/>
          <w:sz w:val="20"/>
        </w:rPr>
        <w:t xml:space="preserve"> </w:t>
      </w:r>
      <w:r>
        <w:rPr>
          <w:rFonts w:ascii="Times New Roman" w:hAnsi="Times New Roman" w:eastAsia="Times New Roman"/>
          <w:sz w:val="20"/>
        </w:rPr>
        <w:t xml:space="preserve">ha. In Troms</w:t>
      </w:r>
      <w:r>
        <w:rPr>
          <w:rFonts w:ascii="Times New Roman" w:hAnsi="Times New Roman" w:eastAsia="Times New Roman"/>
          <w:sz w:val="20"/>
        </w:rPr>
        <w:t xml:space="preserve">ø</w:t>
      </w:r>
      <w:r>
        <w:rPr>
          <w:rFonts w:ascii="Times New Roman" w:hAnsi="Times New Roman" w:eastAsia="Times New Roman"/>
          <w:sz w:val="20"/>
        </w:rPr>
        <w:t xml:space="preserve">, its density is</w:t>
      </w:r>
      <w:r>
        <w:rPr>
          <w:rFonts w:ascii="Times New Roman" w:hAnsi="Times New Roman" w:eastAsia="Times New Roman"/>
          <w:sz w:val="20"/>
        </w:rPr>
        <w:t xml:space="preserve"> </w:t>
      </w:r>
      <m:oMath>
        <m:r>
          <m:t>0.38</m:t>
        </m:r>
        <m:r>
          <m:t> </m:t>
        </m:r>
        <m:sSup>
          <m:e>
            <m:r>
              <m:rPr>
                <m:nor/>
                <m:sty m:val="p"/>
              </m:rPr>
              <m:t>ha/km</m:t>
            </m:r>
          </m:e>
          <m:sup>
            <m:r>
              <m:t>2</m:t>
            </m:r>
          </m:sup>
        </m:sSup>
      </m:oMath>
      <w:r>
        <w:rPr>
          <w:rFonts w:ascii="Times New Roman" w:hAnsi="Times New Roman" w:eastAsia="Times New Roman"/>
          <w:sz w:val="20"/>
        </w:rPr>
        <w:t xml:space="preserve"> </w:t>
      </w:r>
      <w:r>
        <w:rPr>
          <w:rFonts w:ascii="Times New Roman" w:hAnsi="Times New Roman" w:eastAsia="Times New Roman"/>
          <w:sz w:val="20"/>
        </w:rPr>
        <w:t xml:space="preserve">and its false-alarm area exceeds Attention U-Net, so the trade-off is region dependent.</w:t>
      </w:r>
    </w:p>
    <w:p>
      <w:pPr>
        <w:numPr>
          <w:ilvl w:val="0"/>
          <w:numId w:val="1009"/>
        </w:numPr>
        <w:spacing w:after="0" w:line="240" w:lineRule="auto"/>
      </w:pPr>
      <w:r>
        <w:rPr>
          <w:rFonts w:ascii="Times New Roman" w:hAnsi="Times New Roman" w:eastAsia="Times New Roman"/>
          <w:b/>
          <w:bCs/>
          <w:sz w:val="20"/>
        </w:rPr>
        <w:t xml:space="preserve">Calibrated Corridor Proxy:</w:t>
      </w:r>
      <w:r>
        <w:rPr>
          <w:rFonts w:ascii="Times New Roman" w:hAnsi="Times New Roman" w:eastAsia="Times New Roman"/>
          <w:sz w:val="20"/>
        </w:rPr>
        <w:t xml:space="preserve"> </w:t>
      </w:r>
      <w:r>
        <w:rPr>
          <w:rFonts w:ascii="Times New Roman" w:hAnsi="Times New Roman" w:eastAsia="Times New Roman"/>
          <w:sz w:val="20"/>
        </w:rPr>
        <w:t xml:space="preserve">We fit Platt calibration and an F2-weighted component threshold only on the two validation scenes, then intersect</w:t>
      </w:r>
      <w:r>
        <w:rPr>
          <w:rFonts w:ascii="Times New Roman" w:hAnsi="Times New Roman" w:eastAsia="Times New Roman"/>
          <w:sz w:val="20"/>
        </w:rPr>
        <w:t xml:space="preserve"> </w:t>
      </w:r>
      <m:oMath>
        <m:r>
          <m:rPr>
            <m:sty m:val="p"/>
          </m:rPr>
          <m:t>≥</m:t>
        </m:r>
        <m:r>
          <m:t>0.1</m:t>
        </m:r>
      </m:oMath>
      <w:r>
        <w:rPr>
          <w:rFonts w:ascii="Times New Roman" w:hAnsi="Times New Roman" w:eastAsia="Times New Roman"/>
          <w:sz w:val="20"/>
        </w:rPr>
        <w:t xml:space="preserve"> </w:t>
      </w:r>
      <w:r>
        <w:rPr>
          <w:rFonts w:ascii="Times New Roman" w:hAnsi="Times New Roman" w:eastAsia="Times New Roman"/>
          <w:sz w:val="20"/>
        </w:rPr>
        <w:t xml:space="preserve">ha test components with a frozen OpenStreetMap major-road snapshot (30 m buffer)</w:t>
      </w:r>
      <w:r>
        <w:rPr>
          <w:rFonts w:ascii="Times New Roman" w:hAnsi="Times New Roman" w:eastAsia="Times New Roman"/>
          <w:sz w:val="20"/>
        </w:rPr>
        <w:t xml:space="preserve"> </w:t>
      </w:r>
      <w:r>
        <w:rPr>
          <w:rFonts w:ascii="Times New Roman" w:hAnsi="Times New Roman" w:eastAsia="Times New Roman"/>
          <w:sz w:val="20"/>
        </w:rPr>
        <w:t xml:space="preserve">(OpenStreetMap contributors 2026)</w:t>
      </w:r>
      <w:r>
        <w:rPr>
          <w:rFonts w:ascii="Times New Roman" w:hAnsi="Times New Roman" w:eastAsia="Times New Roman"/>
          <w:sz w:val="20"/>
        </w:rPr>
        <w:t xml:space="preserve">. In Pamir (8 road-intersecting ground-truth components), TopoRadar-Net achieves</w:t>
      </w:r>
      <w:r>
        <w:rPr>
          <w:rFonts w:ascii="Times New Roman" w:hAnsi="Times New Roman" w:eastAsia="Times New Roman"/>
          <w:sz w:val="20"/>
        </w:rPr>
        <w:t xml:space="preserve"> </w:t>
      </w:r>
      <m:oMath>
        <m:r>
          <m:t>83.0</m:t>
        </m:r>
        <m:r>
          <m:rPr>
            <m:sty m:val="p"/>
          </m:rPr>
          <m:t>%</m:t>
        </m:r>
        <m:r>
          <m:rPr>
            <m:sty m:val="p"/>
          </m:rPr>
          <m:t>±</m:t>
        </m:r>
        <m:r>
          <m:t>2.3</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alert precision and</w:t>
      </w:r>
      <w:r>
        <w:rPr>
          <w:rFonts w:ascii="Times New Roman" w:hAnsi="Times New Roman" w:eastAsia="Times New Roman"/>
          <w:sz w:val="20"/>
        </w:rPr>
        <w:t xml:space="preserve"> </w:t>
      </w:r>
      <m:oMath>
        <m:r>
          <m:t>62.5</m:t>
        </m:r>
        <m:r>
          <m:rPr>
            <m:sty m:val="p"/>
          </m:rPr>
          <m:t>%</m:t>
        </m:r>
        <m:r>
          <m:rPr>
            <m:sty m:val="p"/>
          </m:rPr>
          <m:t>±</m:t>
        </m:r>
        <m:r>
          <m:t>10.2</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recall; Attention U-Net achieves</w:t>
      </w:r>
      <w:r>
        <w:rPr>
          <w:rFonts w:ascii="Times New Roman" w:hAnsi="Times New Roman" w:eastAsia="Times New Roman"/>
          <w:sz w:val="20"/>
        </w:rPr>
        <w:t xml:space="preserve"> </w:t>
      </w:r>
      <m:oMath>
        <m:r>
          <m:t>77.4</m:t>
        </m:r>
        <m:r>
          <m:rPr>
            <m:sty m:val="p"/>
          </m:rPr>
          <m:t>%</m:t>
        </m:r>
        <m:r>
          <m:rPr>
            <m:sty m:val="p"/>
          </m:rPr>
          <m:t>±</m:t>
        </m:r>
        <m:r>
          <m:t>6.1</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and</w:t>
      </w:r>
      <w:r>
        <w:rPr>
          <w:rFonts w:ascii="Times New Roman" w:hAnsi="Times New Roman" w:eastAsia="Times New Roman"/>
          <w:sz w:val="20"/>
        </w:rPr>
        <w:t xml:space="preserve"> </w:t>
      </w:r>
      <m:oMath>
        <m:r>
          <m:t>70.8</m:t>
        </m:r>
        <m:r>
          <m:rPr>
            <m:sty m:val="p"/>
          </m:rPr>
          <m:t>%</m:t>
        </m:r>
        <m:r>
          <m:rPr>
            <m:sty m:val="p"/>
          </m:rPr>
          <m:t>±</m:t>
        </m:r>
        <m:r>
          <m:t>5.9</m:t>
        </m:r>
        <m:r>
          <m:rPr>
            <m:sty m:val="p"/>
          </m:rPr>
          <m:t>%</m:t>
        </m:r>
      </m:oMath>
      <w:r>
        <w:rPr>
          <w:rFonts w:ascii="Times New Roman" w:hAnsi="Times New Roman" w:eastAsia="Times New Roman"/>
          <w:sz w:val="20"/>
        </w:rPr>
        <w:t xml:space="preserve">. Both models miss the single Troms</w:t>
      </w:r>
      <w:r>
        <w:rPr>
          <w:rFonts w:ascii="Times New Roman" w:hAnsi="Times New Roman" w:eastAsia="Times New Roman"/>
          <w:sz w:val="20"/>
        </w:rPr>
        <w:t xml:space="preserve">ø</w:t>
      </w:r>
      <w:r>
        <w:rPr>
          <w:rFonts w:ascii="Times New Roman" w:hAnsi="Times New Roman" w:eastAsia="Times New Roman"/>
          <w:sz w:val="20"/>
        </w:rPr>
        <w:t xml:space="preserve"> </w:t>
      </w:r>
      <w:r>
        <w:rPr>
          <w:rFonts w:ascii="Times New Roman" w:hAnsi="Times New Roman" w:eastAsia="Times New Roman"/>
          <w:sz w:val="20"/>
        </w:rPr>
        <w:t xml:space="preserve">corridor component in all seeds. TopoRadar Brier score improves from</w:t>
      </w:r>
      <w:r>
        <w:rPr>
          <w:rFonts w:ascii="Times New Roman" w:hAnsi="Times New Roman" w:eastAsia="Times New Roman"/>
          <w:sz w:val="20"/>
        </w:rPr>
        <w:t xml:space="preserve"> </w:t>
      </w:r>
      <m:oMath>
        <m:r>
          <m:t>0.282</m:t>
        </m:r>
      </m:oMath>
      <w:r>
        <w:rPr>
          <w:rFonts w:ascii="Times New Roman" w:hAnsi="Times New Roman" w:eastAsia="Times New Roman"/>
          <w:sz w:val="20"/>
        </w:rPr>
        <w:t xml:space="preserve"> </w:t>
      </w:r>
      <w:r>
        <w:rPr>
          <w:rFonts w:ascii="Times New Roman" w:hAnsi="Times New Roman" w:eastAsia="Times New Roman"/>
          <w:sz w:val="20"/>
        </w:rPr>
        <w:t xml:space="preserve">to</w:t>
      </w:r>
      <w:r>
        <w:rPr>
          <w:rFonts w:ascii="Times New Roman" w:hAnsi="Times New Roman" w:eastAsia="Times New Roman"/>
          <w:sz w:val="20"/>
        </w:rPr>
        <w:t xml:space="preserve"> </w:t>
      </w:r>
      <m:oMath>
        <m:r>
          <m:t>0.208</m:t>
        </m:r>
      </m:oMath>
      <w:r>
        <w:rPr>
          <w:rFonts w:ascii="Times New Roman" w:hAnsi="Times New Roman" w:eastAsia="Times New Roman"/>
          <w:sz w:val="20"/>
        </w:rPr>
        <w:t xml:space="preserve"> </w:t>
      </w:r>
      <w:r>
        <w:rPr>
          <w:rFonts w:ascii="Times New Roman" w:hAnsi="Times New Roman" w:eastAsia="Times New Roman"/>
          <w:sz w:val="20"/>
        </w:rPr>
        <w:t xml:space="preserve">in Troms</w:t>
      </w:r>
      <w:r>
        <w:rPr>
          <w:rFonts w:ascii="Times New Roman" w:hAnsi="Times New Roman" w:eastAsia="Times New Roman"/>
          <w:sz w:val="20"/>
        </w:rPr>
        <w:t xml:space="preserve">ø</w:t>
      </w:r>
      <w:r>
        <w:rPr>
          <w:rFonts w:ascii="Times New Roman" w:hAnsi="Times New Roman" w:eastAsia="Times New Roman"/>
          <w:sz w:val="20"/>
        </w:rPr>
        <w:t xml:space="preserve"> </w:t>
      </w:r>
      <w:r>
        <w:rPr>
          <w:rFonts w:ascii="Times New Roman" w:hAnsi="Times New Roman" w:eastAsia="Times New Roman"/>
          <w:sz w:val="20"/>
        </w:rPr>
        <w:t xml:space="preserve">and</w:t>
      </w:r>
      <w:r>
        <w:rPr>
          <w:rFonts w:ascii="Times New Roman" w:hAnsi="Times New Roman" w:eastAsia="Times New Roman"/>
          <w:sz w:val="20"/>
        </w:rPr>
        <w:t xml:space="preserve"> </w:t>
      </w:r>
      <m:oMath>
        <m:r>
          <m:t>0.462</m:t>
        </m:r>
      </m:oMath>
      <w:r>
        <w:rPr>
          <w:rFonts w:ascii="Times New Roman" w:hAnsi="Times New Roman" w:eastAsia="Times New Roman"/>
          <w:sz w:val="20"/>
        </w:rPr>
        <w:t xml:space="preserve"> </w:t>
      </w:r>
      <w:r>
        <w:rPr>
          <w:rFonts w:ascii="Times New Roman" w:hAnsi="Times New Roman" w:eastAsia="Times New Roman"/>
          <w:sz w:val="20"/>
        </w:rPr>
        <w:t xml:space="preserve">to</w:t>
      </w:r>
      <w:r>
        <w:rPr>
          <w:rFonts w:ascii="Times New Roman" w:hAnsi="Times New Roman" w:eastAsia="Times New Roman"/>
          <w:sz w:val="20"/>
        </w:rPr>
        <w:t xml:space="preserve"> </w:t>
      </w:r>
      <m:oMath>
        <m:r>
          <m:t>0.198</m:t>
        </m:r>
      </m:oMath>
      <w:r>
        <w:rPr>
          <w:rFonts w:ascii="Times New Roman" w:hAnsi="Times New Roman" w:eastAsia="Times New Roman"/>
          <w:sz w:val="20"/>
        </w:rPr>
        <w:t xml:space="preserve"> </w:t>
      </w:r>
      <w:r>
        <w:rPr>
          <w:rFonts w:ascii="Times New Roman" w:hAnsi="Times New Roman" w:eastAsia="Times New Roman"/>
          <w:sz w:val="20"/>
        </w:rPr>
        <w:t xml:space="preserve">in Pamir after calibration. This post-hoc proxy falsifies automated-dispatch readiness while quantifying a bounded Pamir use case.</w:t>
      </w:r>
    </w:p>
    <w:p>
      <w:pPr>
        <w:numPr>
          <w:ilvl w:val="0"/>
          <w:numId w:val="1009"/>
        </w:numPr>
        <w:spacing w:after="0" w:line="240" w:lineRule="auto"/>
      </w:pPr>
      <w:r>
        <w:rPr>
          <w:rFonts w:ascii="Times New Roman" w:hAnsi="Times New Roman" w:eastAsia="Times New Roman"/>
          <w:b/>
          <w:bCs/>
          <w:sz w:val="20"/>
        </w:rPr>
        <w:t xml:space="preserve">Cached End-to-End Profile:</w:t>
      </w:r>
      <w:r>
        <w:rPr>
          <w:rFonts w:ascii="Times New Roman" w:hAnsi="Times New Roman" w:eastAsia="Times New Roman"/>
          <w:sz w:val="20"/>
        </w:rPr>
        <w:t xml:space="preserve"> </w:t>
      </w:r>
      <w:r>
        <w:rPr>
          <w:rFonts w:ascii="Times New Roman" w:hAnsi="Times New Roman" w:eastAsia="Times New Roman"/>
          <w:sz w:val="20"/>
        </w:rPr>
        <w:t xml:space="preserve">With the OSM snapshot cached, all measured TopoRadar-Net runs for raster loading, road-buffer rasterization, full-scene inference, calibration, connected components, and corridor intersection remain below 5 s per scene on Apple MPS. Wall-clock values vary with device warm state and are verified by bounds rather than byte identity. The profile excludes data acquisition and human review and therefore does not establish response latency or decision benefit.</w:t>
      </w:r>
    </w:p>
    <w:bookmarkEnd w:id="44"/>
    <w:bookmarkStart w:id="45" w:name="limitations-and-future-research"/>
    <w:p>
      <w:pPr>
        <w:pStyle w:val="Heading2"/>
        <w:spacing w:after="0" w:line="240" w:lineRule="auto"/>
      </w:pPr>
      <w:r>
        <w:rPr>
          <w:rFonts w:ascii="Times New Roman" w:hAnsi="Times New Roman" w:eastAsia="Times New Roman"/>
          <w:sz w:val="20"/>
        </w:rPr>
        <w:t xml:space="preserve">Limitations and Future Research</w:t>
      </w:r>
    </w:p>
    <w:p>
      <w:pPr>
        <w:pStyle w:val="FirstParagraph"/>
        <w:spacing w:after="0" w:line="240" w:lineRule="auto"/>
      </w:pPr>
      <w:r>
        <w:rPr>
          <w:rFonts w:ascii="Times New Roman" w:hAnsi="Times New Roman" w:eastAsia="Times New Roman"/>
          <w:sz w:val="20"/>
        </w:rPr>
        <w:t xml:space="preserve">Several physical and technical limitations warrant disclosure:</w:t>
      </w:r>
    </w:p>
    <w:p>
      <w:pPr>
        <w:numPr>
          <w:ilvl w:val="0"/>
          <w:numId w:val="1010"/>
        </w:numPr>
        <w:spacing w:after="0" w:line="240" w:lineRule="auto"/>
      </w:pPr>
      <w:r>
        <w:rPr>
          <w:rFonts w:ascii="Times New Roman" w:hAnsi="Times New Roman" w:eastAsia="Times New Roman"/>
          <w:b/>
          <w:bCs/>
          <w:sz w:val="20"/>
        </w:rPr>
        <w:t xml:space="preserve">Augmentation Convention:</w:t>
      </w:r>
      <w:r>
        <w:rPr>
          <w:rFonts w:ascii="Times New Roman" w:hAnsi="Times New Roman" w:eastAsia="Times New Roman"/>
          <w:sz w:val="20"/>
        </w:rPr>
        <w:t xml:space="preserve"> </w:t>
      </w:r>
      <w:r>
        <w:rPr>
          <w:rFonts w:ascii="Times New Roman" w:hAnsi="Times New Roman" w:eastAsia="Times New Roman"/>
          <w:sz w:val="20"/>
        </w:rPr>
        <w:t xml:space="preserve">The released checkpoints use the disclosed checkpoint-era convention in which aspect sine/cosine components are sign-adjusted under reflections while the precomputed orbital look-alignment channel is spatially transformed without directional recomputation; orthogonal rotations similarly preserve channel values. The resulting training tensor is not fully equivariant under these transformations. Consequently, the directional results are interpreted as empirical sensitivity rather than a causal validation of the manifold representation. A future confirmatory rerun should compare a fully equivariant augmentation against the released convention.</w:t>
      </w:r>
    </w:p>
    <w:p>
      <w:pPr>
        <w:numPr>
          <w:ilvl w:val="0"/>
          <w:numId w:val="1010"/>
        </w:numPr>
        <w:spacing w:after="0" w:line="240" w:lineRule="auto"/>
      </w:pPr>
      <w:r>
        <w:rPr>
          <w:rFonts w:ascii="Times New Roman" w:hAnsi="Times New Roman" w:eastAsia="Times New Roman"/>
          <w:b/>
          <w:bCs/>
          <w:sz w:val="20"/>
        </w:rPr>
        <w:t xml:space="preserve">Heuristic Slope Prior:</w:t>
      </w:r>
      <w:r>
        <w:rPr>
          <w:rFonts w:ascii="Times New Roman" w:hAnsi="Times New Roman" w:eastAsia="Times New Roman"/>
          <w:sz w:val="20"/>
        </w:rPr>
        <w:t xml:space="preserve"> </w:t>
      </w:r>
      <w:r>
        <w:rPr>
          <w:rFonts w:ascii="Times New Roman" w:hAnsi="Times New Roman" w:eastAsia="Times New Roman"/>
          <w:sz w:val="20"/>
        </w:rPr>
        <w:t xml:space="preserve">Geo-Loss penalizes positive predictions whenever slope is below</w:t>
      </w:r>
      <w:r>
        <w:rPr>
          <w:rFonts w:ascii="Times New Roman" w:hAnsi="Times New Roman" w:eastAsia="Times New Roman"/>
          <w:sz w:val="20"/>
        </w:rPr>
        <w:t xml:space="preserve"> </w:t>
      </w:r>
      <m:oMath>
        <m:sSup>
          <m:e>
            <m:r>
              <m:t>5</m:t>
            </m:r>
          </m:e>
          <m:sup>
            <m:r>
              <m:rPr>
                <m:sty m:val="p"/>
              </m:rPr>
              <m:t>∘</m:t>
            </m:r>
          </m:sup>
        </m:sSup>
      </m:oMath>
      <w:r>
        <w:rPr>
          <w:rFonts w:ascii="Times New Roman" w:hAnsi="Times New Roman" w:eastAsia="Times New Roman"/>
          <w:sz w:val="20"/>
        </w:rPr>
        <w:t xml:space="preserve"> </w:t>
      </w:r>
      <w:r>
        <w:rPr>
          <w:rFonts w:ascii="Times New Roman" w:hAnsi="Times New Roman" w:eastAsia="Times New Roman"/>
          <w:sz w:val="20"/>
        </w:rPr>
        <w:t xml:space="preserve">or above</w:t>
      </w:r>
      <w:r>
        <w:rPr>
          <w:rFonts w:ascii="Times New Roman" w:hAnsi="Times New Roman" w:eastAsia="Times New Roman"/>
          <w:sz w:val="20"/>
        </w:rPr>
        <w:t xml:space="preserve"> </w:t>
      </w:r>
      <m:oMath>
        <m:sSup>
          <m:e>
            <m:r>
              <m:t>65</m:t>
            </m:r>
          </m:e>
          <m:sup>
            <m:r>
              <m:rPr>
                <m:sty m:val="p"/>
              </m:rPr>
              <m:t>∘</m:t>
            </m:r>
          </m:sup>
        </m:sSup>
      </m:oMath>
      <w:r>
        <w:rPr>
          <w:rFonts w:ascii="Times New Roman" w:hAnsi="Times New Roman" w:eastAsia="Times New Roman"/>
          <w:sz w:val="20"/>
        </w:rPr>
        <w:t xml:space="preserve">, including genuine mapped debris. The conflict is concentrated in one training event but is present in every split; held-out subgroup recall is lower than No-GeoLoss. Future work should compare label-aware and generic regularizers on a fresh protected cohort.</w:t>
      </w:r>
    </w:p>
    <w:p>
      <w:pPr>
        <w:numPr>
          <w:ilvl w:val="0"/>
          <w:numId w:val="1010"/>
        </w:numPr>
        <w:spacing w:after="0" w:line="240" w:lineRule="auto"/>
      </w:pPr>
      <w:r>
        <w:rPr>
          <w:rFonts w:ascii="Times New Roman" w:hAnsi="Times New Roman" w:eastAsia="Times New Roman"/>
          <w:b/>
          <w:bCs/>
          <w:sz w:val="20"/>
        </w:rPr>
        <w:t xml:space="preserve">DEM Quality and Geometric Resolution:</w:t>
      </w:r>
      <w:r>
        <w:rPr>
          <w:rFonts w:ascii="Times New Roman" w:hAnsi="Times New Roman" w:eastAsia="Times New Roman"/>
          <w:sz w:val="20"/>
        </w:rPr>
        <w:t xml:space="preserve"> </w:t>
      </w:r>
      <w:r>
        <w:rPr>
          <w:rFonts w:ascii="Times New Roman" w:hAnsi="Times New Roman" w:eastAsia="Times New Roman"/>
          <w:sz w:val="20"/>
        </w:rPr>
        <w:t xml:space="preserve">TopoRadar-Net relies on the Copernicus GLO-30 DEM. While GLO-30 provides global coverage, localized vertical errors or smoothing over sharp knife-edge ar</w:t>
      </w:r>
      <w:r>
        <w:rPr>
          <w:rFonts w:ascii="Times New Roman" w:hAnsi="Times New Roman" w:eastAsia="Times New Roman"/>
          <w:sz w:val="20"/>
        </w:rPr>
        <w:t xml:space="preserve">ê</w:t>
      </w:r>
      <w:r>
        <w:rPr>
          <w:rFonts w:ascii="Times New Roman" w:hAnsi="Times New Roman" w:eastAsia="Times New Roman"/>
          <w:sz w:val="20"/>
        </w:rPr>
        <w:t xml:space="preserve">tes can propagate inaccuracies into the local incidence angle calculation. In regions with available high-resolution airborne LiDAR or stereo-photogrammetric DEMs (1–5 m), topographic conditioning can be further refined.</w:t>
      </w:r>
    </w:p>
    <w:p>
      <w:pPr>
        <w:numPr>
          <w:ilvl w:val="0"/>
          <w:numId w:val="1010"/>
        </w:numPr>
        <w:spacing w:after="0" w:line="240" w:lineRule="auto"/>
      </w:pPr>
      <w:r>
        <w:rPr>
          <w:rFonts w:ascii="Times New Roman" w:hAnsi="Times New Roman" w:eastAsia="Times New Roman"/>
          <w:b/>
          <w:bCs/>
          <w:sz w:val="20"/>
        </w:rPr>
        <w:t xml:space="preserve">Dielectric Attenuation in Wet Snow Cycles:</w:t>
      </w:r>
      <w:r>
        <w:rPr>
          <w:rFonts w:ascii="Times New Roman" w:hAnsi="Times New Roman" w:eastAsia="Times New Roman"/>
          <w:sz w:val="20"/>
        </w:rPr>
        <w:t xml:space="preserve"> </w:t>
      </w:r>
      <w:r>
        <w:rPr>
          <w:rFonts w:ascii="Times New Roman" w:hAnsi="Times New Roman" w:eastAsia="Times New Roman"/>
          <w:sz w:val="20"/>
        </w:rPr>
        <w:t xml:space="preserve">Liquid water changes microwave permittivity and can reduce C-band contrast during rain-on-snow events or warm spells. Bitemporal differencing may therefore mask debris or create broad absorption anomalies. Future work should integrate multi-temporal radiometry or polarimetric decomposition parameters.</w:t>
      </w:r>
    </w:p>
    <w:p>
      <w:pPr>
        <w:numPr>
          <w:ilvl w:val="0"/>
          <w:numId w:val="1010"/>
        </w:numPr>
        <w:spacing w:after="0" w:line="240" w:lineRule="auto"/>
      </w:pPr>
      <w:r>
        <w:rPr>
          <w:rFonts w:ascii="Times New Roman" w:hAnsi="Times New Roman" w:eastAsia="Times New Roman"/>
          <w:b/>
          <w:bCs/>
          <w:sz w:val="20"/>
        </w:rPr>
        <w:t xml:space="preserve">Temporal Revisit Constraints:</w:t>
      </w:r>
      <w:r>
        <w:rPr>
          <w:rFonts w:ascii="Times New Roman" w:hAnsi="Times New Roman" w:eastAsia="Times New Roman"/>
          <w:sz w:val="20"/>
        </w:rPr>
        <w:t xml:space="preserve"> </w:t>
      </w:r>
      <w:r>
        <w:rPr>
          <w:rFonts w:ascii="Times New Roman" w:hAnsi="Times New Roman" w:eastAsia="Times New Roman"/>
          <w:sz w:val="20"/>
        </w:rPr>
        <w:t xml:space="preserve">A several-day repeat interval can aggregate multiple releases into one composite deposit. Sentinel-1C and Sentinel-1D launched on 5 December 2024 and 4 November 2025, respectively</w:t>
      </w:r>
      <w:r>
        <w:rPr>
          <w:rFonts w:ascii="Times New Roman" w:hAnsi="Times New Roman" w:eastAsia="Times New Roman"/>
          <w:sz w:val="20"/>
        </w:rPr>
        <w:t xml:space="preserve"> </w:t>
      </w:r>
      <w:r>
        <w:rPr>
          <w:rFonts w:ascii="Times New Roman" w:hAnsi="Times New Roman" w:eastAsia="Times New Roman"/>
          <w:sz w:val="20"/>
        </w:rPr>
        <w:t xml:space="preserve">(European Space Agency 2026)</w:t>
      </w:r>
      <w:r>
        <w:rPr>
          <w:rFonts w:ascii="Times New Roman" w:hAnsi="Times New Roman" w:eastAsia="Times New Roman"/>
          <w:sz w:val="20"/>
        </w:rPr>
        <w:t xml:space="preserve">; the expanded constellation improves continuity but does not remove acquisition-latency or event-timing ambiguity.</w:t>
      </w:r>
    </w:p>
    <w:p>
      <w:pPr>
        <w:numPr>
          <w:ilvl w:val="0"/>
          <w:numId w:val="1010"/>
        </w:numPr>
        <w:spacing w:after="0" w:line="240" w:lineRule="auto"/>
      </w:pPr>
      <w:r>
        <w:rPr>
          <w:rFonts w:ascii="Times New Roman" w:hAnsi="Times New Roman" w:eastAsia="Times New Roman"/>
          <w:b/>
          <w:bCs/>
          <w:sz w:val="20"/>
        </w:rPr>
        <w:t xml:space="preserve">Operational Proxy, Not Stakeholder Validation:</w:t>
      </w:r>
      <w:r>
        <w:rPr>
          <w:rFonts w:ascii="Times New Roman" w:hAnsi="Times New Roman" w:eastAsia="Times New Roman"/>
          <w:sz w:val="20"/>
        </w:rPr>
        <w:t xml:space="preserve"> </w:t>
      </w:r>
      <w:r>
        <w:rPr>
          <w:rFonts w:ascii="Times New Roman" w:hAnsi="Times New Roman" w:eastAsia="Times New Roman"/>
          <w:sz w:val="20"/>
        </w:rPr>
        <w:t xml:space="preserve">The calibrated corridor analysis uses a committed OpenStreetMap snapshot and retrospective labels. It measures component calibration, route proximity, and cached processing time, not dispatch quality, road closure decisions, or stakeholder benefit. The Troms</w:t>
      </w:r>
      <w:r>
        <w:rPr>
          <w:rFonts w:ascii="Times New Roman" w:hAnsi="Times New Roman" w:eastAsia="Times New Roman"/>
          <w:sz w:val="20"/>
        </w:rPr>
        <w:t xml:space="preserve">ø</w:t>
      </w:r>
      <w:r>
        <w:rPr>
          <w:rFonts w:ascii="Times New Roman" w:hAnsi="Times New Roman" w:eastAsia="Times New Roman"/>
          <w:sz w:val="20"/>
        </w:rPr>
        <w:t xml:space="preserve"> </w:t>
      </w:r>
      <w:r>
        <w:rPr>
          <w:rFonts w:ascii="Times New Roman" w:hAnsi="Times New Roman" w:eastAsia="Times New Roman"/>
          <w:sz w:val="20"/>
        </w:rPr>
        <w:t xml:space="preserve">miss and the small number of corridor-intersecting avalanches preclude deployment claims.</w:t>
      </w:r>
    </w:p>
    <w:bookmarkEnd w:id="45"/>
    <w:bookmarkEnd w:id="46"/>
    <w:bookmarkStart w:id="47" w:name="conclusion"/>
    <w:p>
      <w:pPr>
        <w:pStyle w:val="Heading1"/>
        <w:spacing w:after="0" w:line="240" w:lineRule="auto"/>
      </w:pPr>
      <w:r>
        <w:rPr>
          <w:rFonts w:ascii="Times New Roman" w:hAnsi="Times New Roman" w:eastAsia="Times New Roman"/>
          <w:sz w:val="20"/>
        </w:rPr>
        <w:t xml:space="preserve">Conclusion</w:t>
      </w:r>
    </w:p>
    <w:p>
      <w:pPr>
        <w:pStyle w:val="FirstParagraph"/>
        <w:spacing w:after="0" w:line="240" w:lineRule="auto"/>
      </w:pPr>
      <w:r>
        <w:rPr>
          <w:rFonts w:ascii="Times New Roman" w:hAnsi="Times New Roman" w:eastAsia="Times New Roman"/>
          <w:sz w:val="20"/>
        </w:rPr>
        <w:t xml:space="preserve">Automated mapping of snow avalanche debris in steep alpine terrain is a vital capability for mountain natural hazard risk reduction and emergency response. In this study, we addressed severe topographic-radar distortion in spaceborne Sentinel-1 C-band SAR change detection with</w:t>
      </w:r>
      <w:r>
        <w:rPr>
          <w:rFonts w:ascii="Times New Roman" w:hAnsi="Times New Roman" w:eastAsia="Times New Roman"/>
          <w:sz w:val="20"/>
        </w:rPr>
        <w:t xml:space="preserve"> </w:t>
      </w:r>
      <w:r>
        <w:rPr>
          <w:rFonts w:ascii="Times New Roman" w:hAnsi="Times New Roman" w:eastAsia="Times New Roman"/>
          <w:b/>
          <w:bCs/>
          <w:sz w:val="20"/>
        </w:rPr>
        <w:t xml:space="preserve">TopoRadar-Net</w:t>
      </w:r>
      <w:r>
        <w:rPr>
          <w:rFonts w:ascii="Times New Roman" w:hAnsi="Times New Roman" w:eastAsia="Times New Roman"/>
          <w:sz w:val="20"/>
        </w:rPr>
        <w:t xml:space="preserve">, which combines multi-scale Radar-Topographic Cross-Attention Blocks (RTCAB) and a heuristic geomorphic slope-prior loss (Geo-Loss).</w:t>
      </w:r>
    </w:p>
    <w:p>
      <w:pPr>
        <w:pStyle w:val="BodyText"/>
        <w:spacing w:after="0" w:line="240" w:lineRule="auto"/>
      </w:pPr>
      <w:r>
        <w:rPr>
          <w:rFonts w:ascii="Times New Roman" w:hAnsi="Times New Roman" w:eastAsia="Times New Roman"/>
          <w:sz w:val="20"/>
        </w:rPr>
        <w:t xml:space="preserve">Our key scientific and methodological findings include:</w:t>
      </w:r>
    </w:p>
    <w:p>
      <w:pPr>
        <w:numPr>
          <w:ilvl w:val="0"/>
          <w:numId w:val="1011"/>
        </w:numPr>
        <w:spacing w:after="0" w:line="240" w:lineRule="auto"/>
      </w:pPr>
      <w:r>
        <w:rPr>
          <w:rFonts w:ascii="Times New Roman" w:hAnsi="Times New Roman" w:eastAsia="Times New Roman"/>
          <w:b/>
          <w:bCs/>
          <w:sz w:val="20"/>
        </w:rPr>
        <w:t xml:space="preserve">Theoretical Formulation of 2D Convolutional Inadequacy in Mountain SAR:</w:t>
      </w:r>
      <w:r>
        <w:rPr>
          <w:rFonts w:ascii="Times New Roman" w:hAnsi="Times New Roman" w:eastAsia="Times New Roman"/>
          <w:sz w:val="20"/>
        </w:rPr>
        <w:t xml:space="preserve"> </w:t>
      </w:r>
      <w:r>
        <w:rPr>
          <w:rFonts w:ascii="Times New Roman" w:hAnsi="Times New Roman" w:eastAsia="Times New Roman"/>
          <w:sz w:val="20"/>
        </w:rPr>
        <w:t xml:space="preserve">We formulated (Proposition 2) the geometric limitations of shift-invariant 2D spatial linear convolutions across sloped mountain facets, showing that projecting terrain into a continuous 4D aspect-look manifold (</w:t>
      </w:r>
      <m:oMath>
        <m:r>
          <m:rPr>
            <m:scr m:val="script"/>
            <m:sty m:val="p"/>
          </m:rPr>
          <m:t>M</m:t>
        </m:r>
      </m:oMath>
      <w:r>
        <w:rPr>
          <w:rFonts w:ascii="Times New Roman" w:hAnsi="Times New Roman" w:eastAsia="Times New Roman"/>
          <w:sz w:val="20"/>
        </w:rPr>
        <w:t xml:space="preserve">) provides continuous coordinates to condition feature representations without angular branch-cuts.</w:t>
      </w:r>
    </w:p>
    <w:p>
      <w:pPr>
        <w:numPr>
          <w:ilvl w:val="0"/>
          <w:numId w:val="1011"/>
        </w:numPr>
        <w:spacing w:after="0" w:line="240" w:lineRule="auto"/>
      </w:pPr>
      <w:r>
        <w:rPr>
          <w:rFonts w:ascii="Times New Roman" w:hAnsi="Times New Roman" w:eastAsia="Times New Roman"/>
          <w:b/>
          <w:bCs/>
          <w:sz w:val="20"/>
        </w:rPr>
        <w:t xml:space="preserve">Physics-Guided Cross-Attention Sensitivity:</w:t>
      </w:r>
      <w:r>
        <w:rPr>
          <w:rFonts w:ascii="Times New Roman" w:hAnsi="Times New Roman" w:eastAsia="Times New Roman"/>
          <w:sz w:val="20"/>
        </w:rPr>
        <w:t xml:space="preserve"> </w:t>
      </w:r>
      <w:r>
        <w:rPr>
          <w:rFonts w:ascii="Times New Roman" w:hAnsi="Times New Roman" w:eastAsia="Times New Roman"/>
          <w:sz w:val="20"/>
        </w:rPr>
        <w:t xml:space="preserve">TopoRadar-Net conditions SAR change representations on directional aspect-look alignment (</w:t>
      </w:r>
      <m:oMath>
        <m:sSub>
          <m:e>
            <m:r>
              <m:t>θ</m:t>
            </m:r>
          </m:e>
          <m:sub>
            <m:r>
              <m:rPr>
                <m:nor/>
                <m:sty m:val="p"/>
              </m:rPr>
              <m:t>align</m:t>
            </m:r>
          </m:sub>
        </m:sSub>
      </m:oMath>
      <w:r>
        <w:rPr>
          <w:rFonts w:ascii="Times New Roman" w:hAnsi="Times New Roman" w:eastAsia="Times New Roman"/>
          <w:sz w:val="20"/>
        </w:rPr>
        <w:t xml:space="preserve">) and local incidence angle (</w:t>
      </w:r>
      <m:oMath>
        <m:r>
          <m:t>ψ</m:t>
        </m:r>
      </m:oMath>
      <w:r>
        <w:rPr>
          <w:rFonts w:ascii="Times New Roman" w:hAnsi="Times New Roman" w:eastAsia="Times New Roman"/>
          <w:sz w:val="20"/>
        </w:rPr>
        <w:t xml:space="preserve">). Component-removal and stratum analyses quantify sensitivity to these inputs, but do not isolate a causal internal suppression or amplification mechanism.</w:t>
      </w:r>
    </w:p>
    <w:p>
      <w:pPr>
        <w:numPr>
          <w:ilvl w:val="0"/>
          <w:numId w:val="1011"/>
        </w:numPr>
        <w:spacing w:after="0" w:line="240" w:lineRule="auto"/>
      </w:pPr>
      <w:r>
        <w:rPr>
          <w:rFonts w:ascii="Times New Roman" w:hAnsi="Times New Roman" w:eastAsia="Times New Roman"/>
          <w:b/>
          <w:bCs/>
          <w:sz w:val="20"/>
        </w:rPr>
        <w:t xml:space="preserve">Geomorphic Prior Trade-off:</w:t>
      </w:r>
      <w:r>
        <w:rPr>
          <w:rFonts w:ascii="Times New Roman" w:hAnsi="Times New Roman" w:eastAsia="Times New Roman"/>
          <w:sz w:val="20"/>
        </w:rPr>
        <w:t xml:space="preserve"> </w:t>
      </w:r>
      <w:r>
        <w:rPr>
          <w:rFonts w:ascii="Times New Roman" w:hAnsi="Times New Roman" w:eastAsia="Times New Roman"/>
          <w:sz w:val="20"/>
        </w:rPr>
        <w:t xml:space="preserve">Removing the heuristic slope prior produces a</w:t>
      </w:r>
      <w:r>
        <w:rPr>
          <w:rFonts w:ascii="Times New Roman" w:hAnsi="Times New Roman" w:eastAsia="Times New Roman"/>
          <w:sz w:val="20"/>
        </w:rPr>
        <w:t xml:space="preserve"> </w:t>
      </w:r>
      <m:oMath>
        <m:r>
          <m:rPr>
            <m:sty m:val="p"/>
          </m:rPr>
          <m:t>−</m:t>
        </m:r>
        <m:r>
          <m:t>3.16</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Seed-42 paired-cluster F1 difference in Troms</w:t>
      </w:r>
      <w:r>
        <w:rPr>
          <w:rFonts w:ascii="Times New Roman" w:hAnsi="Times New Roman" w:eastAsia="Times New Roman"/>
          <w:sz w:val="20"/>
        </w:rPr>
        <w:t xml:space="preserve">ø</w:t>
      </w:r>
      <w:r>
        <w:rPr>
          <w:rFonts w:ascii="Times New Roman" w:hAnsi="Times New Roman" w:eastAsia="Times New Roman"/>
          <w:sz w:val="20"/>
        </w:rPr>
        <w:t xml:space="preserve"> </w:t>
      </w:r>
      <w:r>
        <w:rPr>
          <w:rFonts w:ascii="Times New Roman" w:hAnsi="Times New Roman" w:eastAsia="Times New Roman"/>
          <w:sz w:val="20"/>
        </w:rPr>
        <w:t xml:space="preserve">(</w:t>
      </w:r>
      <m:oMath>
        <m:r>
          <m:t>p</m:t>
        </m:r>
        <m:r>
          <m:rPr>
            <m:sty m:val="p"/>
          </m:rPr>
          <m:t>=</m:t>
        </m:r>
        <m:r>
          <m:t>0.002</m:t>
        </m:r>
      </m:oMath>
      <w:r>
        <w:rPr>
          <w:rFonts w:ascii="Times New Roman" w:hAnsi="Times New Roman" w:eastAsia="Times New Roman"/>
          <w:sz w:val="20"/>
        </w:rPr>
        <w:t xml:space="preserve">), but raises three-seed positive recall inside the penalty mask from</w:t>
      </w:r>
      <w:r>
        <w:rPr>
          <w:rFonts w:ascii="Times New Roman" w:hAnsi="Times New Roman" w:eastAsia="Times New Roman"/>
          <w:sz w:val="20"/>
        </w:rPr>
        <w:t xml:space="preserve"> </w:t>
      </w:r>
      <m:oMath>
        <m:r>
          <m:t>50.47</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to</w:t>
      </w:r>
      <w:r>
        <w:rPr>
          <w:rFonts w:ascii="Times New Roman" w:hAnsi="Times New Roman" w:eastAsia="Times New Roman"/>
          <w:sz w:val="20"/>
        </w:rPr>
        <w:t xml:space="preserve"> </w:t>
      </w:r>
      <m:oMath>
        <m:r>
          <m:t>71.29</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in Troms</w:t>
      </w:r>
      <w:r>
        <w:rPr>
          <w:rFonts w:ascii="Times New Roman" w:hAnsi="Times New Roman" w:eastAsia="Times New Roman"/>
          <w:sz w:val="20"/>
        </w:rPr>
        <w:t xml:space="preserve">ø</w:t>
      </w:r>
      <w:r>
        <w:rPr>
          <w:rFonts w:ascii="Times New Roman" w:hAnsi="Times New Roman" w:eastAsia="Times New Roman"/>
          <w:sz w:val="20"/>
        </w:rPr>
        <w:t xml:space="preserve"> </w:t>
      </w:r>
      <w:r>
        <w:rPr>
          <w:rFonts w:ascii="Times New Roman" w:hAnsi="Times New Roman" w:eastAsia="Times New Roman"/>
          <w:sz w:val="20"/>
        </w:rPr>
        <w:t xml:space="preserve">and from</w:t>
      </w:r>
      <w:r>
        <w:rPr>
          <w:rFonts w:ascii="Times New Roman" w:hAnsi="Times New Roman" w:eastAsia="Times New Roman"/>
          <w:sz w:val="20"/>
        </w:rPr>
        <w:t xml:space="preserve"> </w:t>
      </w:r>
      <m:oMath>
        <m:r>
          <m:t>1.08</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to</w:t>
      </w:r>
      <w:r>
        <w:rPr>
          <w:rFonts w:ascii="Times New Roman" w:hAnsi="Times New Roman" w:eastAsia="Times New Roman"/>
          <w:sz w:val="20"/>
        </w:rPr>
        <w:t xml:space="preserve"> </w:t>
      </w:r>
      <m:oMath>
        <m:r>
          <m:t>6.45</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in Pamir. Because 18.47% of training positives fall inside the mask, the term is not interpreted as a physical-admissibility mechanism.</w:t>
      </w:r>
    </w:p>
    <w:p>
      <w:pPr>
        <w:numPr>
          <w:ilvl w:val="0"/>
          <w:numId w:val="1011"/>
        </w:numPr>
        <w:spacing w:after="0" w:line="240" w:lineRule="auto"/>
      </w:pPr>
      <w:r>
        <w:rPr>
          <w:rFonts w:ascii="Times New Roman" w:hAnsi="Times New Roman" w:eastAsia="Times New Roman"/>
          <w:b/>
          <w:bCs/>
          <w:sz w:val="20"/>
        </w:rPr>
        <w:t xml:space="preserve">Cross-System Generalization and Stratification Findings:</w:t>
      </w:r>
      <w:r>
        <w:rPr>
          <w:rFonts w:ascii="Times New Roman" w:hAnsi="Times New Roman" w:eastAsia="Times New Roman"/>
          <w:sz w:val="20"/>
        </w:rPr>
        <w:t xml:space="preserve"> </w:t>
      </w:r>
      <w:r>
        <w:rPr>
          <w:rFonts w:ascii="Times New Roman" w:hAnsi="Times New Roman" w:eastAsia="Times New Roman"/>
          <w:sz w:val="20"/>
        </w:rPr>
        <w:t xml:space="preserve">Across the AvalCD benchmark spanning four global mountain systems, TopoRadar-Net achieves</w:t>
      </w:r>
      <w:r>
        <w:rPr>
          <w:rFonts w:ascii="Times New Roman" w:hAnsi="Times New Roman" w:eastAsia="Times New Roman"/>
          <w:sz w:val="20"/>
        </w:rPr>
        <w:t xml:space="preserve"> </w:t>
      </w:r>
      <m:oMath>
        <m:r>
          <m:t>63.79</m:t>
        </m:r>
        <m:r>
          <m:rPr>
            <m:sty m:val="p"/>
          </m:rPr>
          <m:t>%</m:t>
        </m:r>
        <m:r>
          <m:rPr>
            <m:sty m:val="p"/>
          </m:rPr>
          <m:t>±</m:t>
        </m:r>
        <m:r>
          <m:t>1.88</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pooled macro F1, compared with Attention U-Net (</w:t>
      </w:r>
      <m:oMath>
        <m:r>
          <m:t>63.41</m:t>
        </m:r>
        <m:r>
          <m:rPr>
            <m:sty m:val="p"/>
          </m:rPr>
          <m:t>%</m:t>
        </m:r>
      </m:oMath>
      <w:r>
        <w:rPr>
          <w:rFonts w:ascii="Times New Roman" w:hAnsi="Times New Roman" w:eastAsia="Times New Roman"/>
          <w:sz w:val="20"/>
        </w:rPr>
        <w:t xml:space="preserve">), SiamUNet-conc (</w:t>
      </w:r>
      <m:oMath>
        <m:r>
          <m:t>63.13</m:t>
        </m:r>
        <m:r>
          <m:rPr>
            <m:sty m:val="p"/>
          </m:rPr>
          <m:t>%</m:t>
        </m:r>
      </m:oMath>
      <w:r>
        <w:rPr>
          <w:rFonts w:ascii="Times New Roman" w:hAnsi="Times New Roman" w:eastAsia="Times New Roman"/>
          <w:sz w:val="20"/>
        </w:rPr>
        <w:t xml:space="preserve">), ResU-Net (</w:t>
      </w:r>
      <m:oMath>
        <m:r>
          <m:t>62.92</m:t>
        </m:r>
        <m:r>
          <m:rPr>
            <m:sty m:val="p"/>
          </m:rPr>
          <m:t>%</m:t>
        </m:r>
      </m:oMath>
      <w:r>
        <w:rPr>
          <w:rFonts w:ascii="Times New Roman" w:hAnsi="Times New Roman" w:eastAsia="Times New Roman"/>
          <w:sz w:val="20"/>
        </w:rPr>
        <w:t xml:space="preserve">), and SiamUNet-diff (</w:t>
      </w:r>
      <m:oMath>
        <m:r>
          <m:t>54.87</m:t>
        </m:r>
        <m:r>
          <m:rPr>
            <m:sty m:val="p"/>
          </m:rPr>
          <m:t>%</m:t>
        </m:r>
      </m:oMath>
      <w:r>
        <w:rPr>
          <w:rFonts w:ascii="Times New Roman" w:hAnsi="Times New Roman" w:eastAsia="Times New Roman"/>
          <w:sz w:val="20"/>
        </w:rPr>
        <w:t xml:space="preserve">). The three-seed gain over SiamUNet-diff is significant (</w:t>
      </w:r>
      <m:oMath>
        <m:r>
          <m:rPr>
            <m:sty m:val="p"/>
          </m:rPr>
          <m:t>+</m:t>
        </m:r>
        <m:r>
          <m:t>8.92</m:t>
        </m:r>
        <m:r>
          <m:rPr>
            <m:sty m:val="p"/>
          </m:rPr>
          <m:t>%</m:t>
        </m:r>
      </m:oMath>
      <w:r>
        <w:rPr>
          <w:rFonts w:ascii="Times New Roman" w:hAnsi="Times New Roman" w:eastAsia="Times New Roman"/>
          <w:sz w:val="20"/>
        </w:rPr>
        <w:t xml:space="preserve">,</w:t>
      </w:r>
      <w:r>
        <w:rPr>
          <w:rFonts w:ascii="Times New Roman" w:hAnsi="Times New Roman" w:eastAsia="Times New Roman"/>
          <w:sz w:val="20"/>
        </w:rPr>
        <w:t xml:space="preserve"> </w:t>
      </w:r>
      <m:oMath>
        <m:r>
          <m:t>p</m:t>
        </m:r>
        <m:r>
          <m:rPr>
            <m:sty m:val="p"/>
          </m:rPr>
          <m:t>=</m:t>
        </m:r>
        <m:r>
          <m:t>0.021</m:t>
        </m:r>
      </m:oMath>
      <w:r>
        <w:rPr>
          <w:rFonts w:ascii="Times New Roman" w:hAnsi="Times New Roman" w:eastAsia="Times New Roman"/>
          <w:sz w:val="20"/>
        </w:rPr>
        <w:t xml:space="preserve">), while comparisons with competitive baselines indicate parity (</w:t>
      </w:r>
      <m:oMath>
        <m:r>
          <m:t>p</m:t>
        </m:r>
        <m:r>
          <m:rPr>
            <m:sty m:val="p"/>
          </m:rPr>
          <m:t>=</m:t>
        </m:r>
        <m:r>
          <m:t>0.869</m:t>
        </m:r>
      </m:oMath>
      <w:r>
        <w:rPr>
          <w:rFonts w:ascii="Times New Roman" w:hAnsi="Times New Roman" w:eastAsia="Times New Roman"/>
          <w:sz w:val="20"/>
        </w:rPr>
        <w:t xml:space="preserve"> </w:t>
      </w:r>
      <w:r>
        <w:rPr>
          <w:rFonts w:ascii="Times New Roman" w:hAnsi="Times New Roman" w:eastAsia="Times New Roman"/>
          <w:sz w:val="20"/>
        </w:rPr>
        <w:t xml:space="preserve">vs Attention U-Net;</w:t>
      </w:r>
      <w:r>
        <w:rPr>
          <w:rFonts w:ascii="Times New Roman" w:hAnsi="Times New Roman" w:eastAsia="Times New Roman"/>
          <w:sz w:val="20"/>
        </w:rPr>
        <w:t xml:space="preserve"> </w:t>
      </w:r>
      <m:oMath>
        <m:r>
          <m:t>p</m:t>
        </m:r>
        <m:r>
          <m:rPr>
            <m:sty m:val="p"/>
          </m:rPr>
          <m:t>=</m:t>
        </m:r>
        <m:r>
          <m:t>0.459</m:t>
        </m:r>
      </m:oMath>
      <w:r>
        <w:rPr>
          <w:rFonts w:ascii="Times New Roman" w:hAnsi="Times New Roman" w:eastAsia="Times New Roman"/>
          <w:sz w:val="20"/>
        </w:rPr>
        <w:t xml:space="preserve"> </w:t>
      </w:r>
      <w:r>
        <w:rPr>
          <w:rFonts w:ascii="Times New Roman" w:hAnsi="Times New Roman" w:eastAsia="Times New Roman"/>
          <w:sz w:val="20"/>
        </w:rPr>
        <w:t xml:space="preserve">vs ResU-Net). Seed-42 backslope differences do not remain stable across seeds: the mean differences are</w:t>
      </w:r>
      <w:r>
        <w:rPr>
          <w:rFonts w:ascii="Times New Roman" w:hAnsi="Times New Roman" w:eastAsia="Times New Roman"/>
          <w:sz w:val="20"/>
        </w:rPr>
        <w:t xml:space="preserve"> </w:t>
      </w:r>
      <m:oMath>
        <m:r>
          <m:rPr>
            <m:sty m:val="p"/>
          </m:rPr>
          <m:t>−</m:t>
        </m:r>
        <m:r>
          <m:t>0.34</m:t>
        </m:r>
        <m:r>
          <m:rPr>
            <m:sty m:val="p"/>
          </m:rPr>
          <m:t>%</m:t>
        </m:r>
        <m:r>
          <m:rPr>
            <m:sty m:val="p"/>
          </m:rPr>
          <m:t>±</m:t>
        </m:r>
        <m:r>
          <m:t>6.28</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in Troms</w:t>
      </w:r>
      <w:r>
        <w:rPr>
          <w:rFonts w:ascii="Times New Roman" w:hAnsi="Times New Roman" w:eastAsia="Times New Roman"/>
          <w:sz w:val="20"/>
        </w:rPr>
        <w:t xml:space="preserve">ø</w:t>
      </w:r>
      <w:r>
        <w:rPr>
          <w:rFonts w:ascii="Times New Roman" w:hAnsi="Times New Roman" w:eastAsia="Times New Roman"/>
          <w:sz w:val="20"/>
        </w:rPr>
        <w:t xml:space="preserve"> </w:t>
      </w:r>
      <w:r>
        <w:rPr>
          <w:rFonts w:ascii="Times New Roman" w:hAnsi="Times New Roman" w:eastAsia="Times New Roman"/>
          <w:sz w:val="20"/>
        </w:rPr>
        <w:t xml:space="preserve">and</w:t>
      </w:r>
      <w:r>
        <w:rPr>
          <w:rFonts w:ascii="Times New Roman" w:hAnsi="Times New Roman" w:eastAsia="Times New Roman"/>
          <w:sz w:val="20"/>
        </w:rPr>
        <w:t xml:space="preserve"> </w:t>
      </w:r>
      <m:oMath>
        <m:r>
          <m:rPr>
            <m:sty m:val="p"/>
          </m:rPr>
          <m:t>+</m:t>
        </m:r>
        <m:r>
          <m:t>1.20</m:t>
        </m:r>
        <m:r>
          <m:rPr>
            <m:sty m:val="p"/>
          </m:rPr>
          <m:t>%</m:t>
        </m:r>
        <m:r>
          <m:rPr>
            <m:sty m:val="p"/>
          </m:rPr>
          <m:t>±</m:t>
        </m:r>
        <m:r>
          <m:t>7.73</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in Pamir.</w:t>
      </w:r>
    </w:p>
    <w:p>
      <w:pPr>
        <w:numPr>
          <w:ilvl w:val="0"/>
          <w:numId w:val="1011"/>
        </w:numPr>
        <w:spacing w:after="0" w:line="240" w:lineRule="auto"/>
      </w:pPr>
      <w:r>
        <w:rPr>
          <w:rFonts w:ascii="Times New Roman" w:hAnsi="Times New Roman" w:eastAsia="Times New Roman"/>
          <w:b/>
          <w:bCs/>
          <w:sz w:val="20"/>
        </w:rPr>
        <w:t xml:space="preserve">Operational Proxy and Failure Boundary:</w:t>
      </w:r>
      <w:r>
        <w:rPr>
          <w:rFonts w:ascii="Times New Roman" w:hAnsi="Times New Roman" w:eastAsia="Times New Roman"/>
          <w:sz w:val="20"/>
        </w:rPr>
        <w:t xml:space="preserve"> </w:t>
      </w:r>
      <w:r>
        <w:rPr>
          <w:rFonts w:ascii="Times New Roman" w:hAnsi="Times New Roman" w:eastAsia="Times New Roman"/>
          <w:sz w:val="20"/>
        </w:rPr>
        <w:t xml:space="preserve">Validation-calibrated road-corridor alerts achieve</w:t>
      </w:r>
      <w:r>
        <w:rPr>
          <w:rFonts w:ascii="Times New Roman" w:hAnsi="Times New Roman" w:eastAsia="Times New Roman"/>
          <w:sz w:val="20"/>
        </w:rPr>
        <w:t xml:space="preserve"> </w:t>
      </w:r>
      <m:oMath>
        <m:r>
          <m:t>83.0</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precision and</w:t>
      </w:r>
      <w:r>
        <w:rPr>
          <w:rFonts w:ascii="Times New Roman" w:hAnsi="Times New Roman" w:eastAsia="Times New Roman"/>
          <w:sz w:val="20"/>
        </w:rPr>
        <w:t xml:space="preserve"> </w:t>
      </w:r>
      <m:oMath>
        <m:r>
          <m:t>62.5</m:t>
        </m:r>
        <m:r>
          <m:rPr>
            <m:sty m:val="p"/>
          </m:rPr>
          <m:t>%</m:t>
        </m:r>
      </m:oMath>
      <w:r>
        <w:rPr>
          <w:rFonts w:ascii="Times New Roman" w:hAnsi="Times New Roman" w:eastAsia="Times New Roman"/>
          <w:sz w:val="20"/>
        </w:rPr>
        <w:t xml:space="preserve"> </w:t>
      </w:r>
      <w:r>
        <w:rPr>
          <w:rFonts w:ascii="Times New Roman" w:hAnsi="Times New Roman" w:eastAsia="Times New Roman"/>
          <w:sz w:val="20"/>
        </w:rPr>
        <w:t xml:space="preserve">recall in Pamir, with all cached TopoRadar scene runs below 5 s, but miss the single Troms</w:t>
      </w:r>
      <w:r>
        <w:rPr>
          <w:rFonts w:ascii="Times New Roman" w:hAnsi="Times New Roman" w:eastAsia="Times New Roman"/>
          <w:sz w:val="20"/>
        </w:rPr>
        <w:t xml:space="preserve">ø</w:t>
      </w:r>
      <w:r>
        <w:rPr>
          <w:rFonts w:ascii="Times New Roman" w:hAnsi="Times New Roman" w:eastAsia="Times New Roman"/>
          <w:sz w:val="20"/>
        </w:rPr>
        <w:t xml:space="preserve"> </w:t>
      </w:r>
      <w:r>
        <w:rPr>
          <w:rFonts w:ascii="Times New Roman" w:hAnsi="Times New Roman" w:eastAsia="Times New Roman"/>
          <w:sz w:val="20"/>
        </w:rPr>
        <w:t xml:space="preserve">corridor avalanche in all seeds. This retrospective proxy quantifies practical behavior while explicitly rejecting automated-dispatch readiness.</w:t>
      </w:r>
    </w:p>
    <w:p>
      <w:pPr>
        <w:pStyle w:val="FirstParagraph"/>
        <w:spacing w:after="0" w:line="240" w:lineRule="auto"/>
      </w:pPr>
      <w:r>
        <w:rPr>
          <w:rFonts w:ascii="Times New Roman" w:hAnsi="Times New Roman" w:eastAsia="Times New Roman"/>
          <w:sz w:val="20"/>
        </w:rPr>
        <w:t xml:space="preserve">Overall, terrain conditioning is useful but not uniformly superior. The main contribution is a reproducible account of where it helps, where it fails, and what evidence is still required before operational use.</w:t>
      </w:r>
    </w:p>
    <w:bookmarkEnd w:id="47"/>
    <w:bookmarkStart w:id="105" w:name="declarations"/>
    <w:p>
      <w:pPr>
        <w:pStyle w:val="Heading1"/>
        <w:spacing w:after="0" w:line="240" w:lineRule="auto"/>
      </w:pPr>
      <w:r>
        <w:rPr>
          <w:rFonts w:ascii="Times New Roman" w:hAnsi="Times New Roman" w:eastAsia="Times New Roman"/>
          <w:sz w:val="20"/>
        </w:rPr>
        <w:t xml:space="preserve">Declarations</w:t>
      </w:r>
    </w:p>
    <w:p>
      <w:pPr>
        <w:pStyle w:val="FirstParagraph"/>
        <w:spacing w:after="0" w:line="240" w:lineRule="auto"/>
      </w:pPr>
      <w:r>
        <w:rPr>
          <w:rFonts w:ascii="Times New Roman" w:hAnsi="Times New Roman" w:eastAsia="Times New Roman"/>
          <w:b/>
          <w:bCs/>
          <w:sz w:val="20"/>
        </w:rPr>
        <w:t xml:space="preserve">Ethical Approval and Consent:</w:t>
      </w:r>
      <w:r>
        <w:rPr>
          <w:rFonts w:ascii="Times New Roman" w:hAnsi="Times New Roman" w:eastAsia="Times New Roman"/>
          <w:sz w:val="20"/>
        </w:rPr>
        <w:t xml:space="preserve"> </w:t>
      </w:r>
      <w:r>
        <w:rPr>
          <w:rFonts w:ascii="Times New Roman" w:hAnsi="Times New Roman" w:eastAsia="Times New Roman"/>
          <w:sz w:val="20"/>
        </w:rPr>
        <w:t xml:space="preserve">Not applicable.</w:t>
      </w:r>
      <w:r>
        <w:rPr>
          <w:rFonts w:ascii="Times New Roman" w:hAnsi="Times New Roman" w:eastAsia="Times New Roman"/>
          <w:sz w:val="20"/>
        </w:rPr>
        <w:t xml:space="preserve"> </w:t>
      </w:r>
      <w:r>
        <w:rPr>
          <w:rFonts w:ascii="Times New Roman" w:hAnsi="Times New Roman" w:eastAsia="Times New Roman"/>
          <w:b/>
          <w:bCs/>
          <w:sz w:val="20"/>
        </w:rPr>
        <w:t xml:space="preserve">Consent for Publication:</w:t>
      </w:r>
      <w:r>
        <w:rPr>
          <w:rFonts w:ascii="Times New Roman" w:hAnsi="Times New Roman" w:eastAsia="Times New Roman"/>
          <w:sz w:val="20"/>
        </w:rPr>
        <w:t xml:space="preserve"> </w:t>
      </w:r>
      <w:r>
        <w:rPr>
          <w:rFonts w:ascii="Times New Roman" w:hAnsi="Times New Roman" w:eastAsia="Times New Roman"/>
          <w:sz w:val="20"/>
        </w:rPr>
        <w:t xml:space="preserve">Not applicable.</w:t>
      </w:r>
      <w:r>
        <w:rPr>
          <w:rFonts w:ascii="Times New Roman" w:hAnsi="Times New Roman" w:eastAsia="Times New Roman"/>
          <w:sz w:val="20"/>
        </w:rPr>
        <w:t xml:space="preserve"> </w:t>
      </w:r>
      <w:r>
        <w:rPr>
          <w:rFonts w:ascii="Times New Roman" w:hAnsi="Times New Roman" w:eastAsia="Times New Roman"/>
          <w:b/>
          <w:bCs/>
          <w:sz w:val="20"/>
        </w:rPr>
        <w:t xml:space="preserve">Funding:</w:t>
      </w:r>
      <w:r>
        <w:rPr>
          <w:rFonts w:ascii="Times New Roman" w:hAnsi="Times New Roman" w:eastAsia="Times New Roman"/>
          <w:sz w:val="20"/>
        </w:rPr>
        <w:t xml:space="preserve"> </w:t>
      </w:r>
      <w:r>
        <w:rPr>
          <w:rFonts w:ascii="Times New Roman" w:hAnsi="Times New Roman" w:eastAsia="Times New Roman"/>
          <w:sz w:val="20"/>
        </w:rPr>
        <w:t xml:space="preserve">No external grant funding was received.</w:t>
      </w:r>
      <w:r>
        <w:rPr>
          <w:rFonts w:ascii="Times New Roman" w:hAnsi="Times New Roman" w:eastAsia="Times New Roman"/>
          <w:sz w:val="20"/>
        </w:rPr>
        <w:t xml:space="preserve"> </w:t>
      </w:r>
      <w:r>
        <w:rPr>
          <w:rFonts w:ascii="Times New Roman" w:hAnsi="Times New Roman" w:eastAsia="Times New Roman"/>
          <w:b/>
          <w:bCs/>
          <w:sz w:val="20"/>
        </w:rPr>
        <w:t xml:space="preserve">Competing Interests:</w:t>
      </w:r>
      <w:r>
        <w:rPr>
          <w:rFonts w:ascii="Times New Roman" w:hAnsi="Times New Roman" w:eastAsia="Times New Roman"/>
          <w:sz w:val="20"/>
        </w:rPr>
        <w:t xml:space="preserve"> </w:t>
      </w:r>
      <w:r>
        <w:rPr>
          <w:rFonts w:ascii="Times New Roman" w:hAnsi="Times New Roman" w:eastAsia="Times New Roman"/>
          <w:sz w:val="20"/>
        </w:rPr>
        <w:t xml:space="preserve">The authors declare no competing financial or non-financial interests.</w:t>
      </w:r>
    </w:p>
    <w:p>
      <w:pPr>
        <w:pStyle w:val="BodyText"/>
        <w:spacing w:after="0" w:line="240" w:lineRule="auto"/>
      </w:pPr>
      <w:r>
        <w:rPr>
          <w:rFonts w:ascii="Times New Roman" w:hAnsi="Times New Roman" w:eastAsia="Times New Roman"/>
          <w:b/>
          <w:bCs/>
          <w:sz w:val="20"/>
        </w:rPr>
        <w:t xml:space="preserve">Availability of Data and Materials:</w:t>
      </w:r>
      <w:r>
        <w:rPr>
          <w:rFonts w:ascii="Times New Roman" w:hAnsi="Times New Roman" w:eastAsia="Times New Roman"/>
          <w:sz w:val="20"/>
        </w:rPr>
        <w:t xml:space="preserve"> </w:t>
      </w:r>
      <w:r>
        <w:rPr>
          <w:rFonts w:ascii="Times New Roman" w:hAnsi="Times New Roman" w:eastAsia="Times New Roman"/>
          <w:sz w:val="20"/>
        </w:rPr>
        <w:t xml:space="preserve">The open-access AvalCD benchmark is deposited on Zenodo. Sentinel-1 SAR and Copernicus DEMs are provided under Copernicus Open Access. Persistent links are withheld for double-blind review.</w:t>
      </w:r>
    </w:p>
    <w:p>
      <w:pPr>
        <w:pStyle w:val="BodyText"/>
        <w:spacing w:after="0" w:line="240" w:lineRule="auto"/>
      </w:pPr>
      <w:r>
        <w:rPr>
          <w:rFonts w:ascii="Times New Roman" w:hAnsi="Times New Roman" w:eastAsia="Times New Roman"/>
          <w:b/>
          <w:bCs/>
          <w:sz w:val="20"/>
        </w:rPr>
        <w:t xml:space="preserve">Code Availability:</w:t>
      </w:r>
      <w:r>
        <w:rPr>
          <w:rFonts w:ascii="Times New Roman" w:hAnsi="Times New Roman" w:eastAsia="Times New Roman"/>
          <w:sz w:val="20"/>
        </w:rPr>
        <w:t xml:space="preserve"> </w:t>
      </w:r>
      <w:r>
        <w:rPr>
          <w:rFonts w:ascii="Times New Roman" w:hAnsi="Times New Roman" w:eastAsia="Times New Roman"/>
          <w:sz w:val="20"/>
        </w:rPr>
        <w:t xml:space="preserve">All model architectures, training protocols, and verification suites supporting this study are available in an open-access repository; the URL is withheld for double-blind review.</w:t>
      </w:r>
    </w:p>
    <w:p>
      <w:pPr>
        <w:pStyle w:val="BodyText"/>
        <w:spacing w:after="0" w:line="240" w:lineRule="auto"/>
      </w:pPr>
      <w:r>
        <w:rPr>
          <w:rFonts w:ascii="Times New Roman" w:hAnsi="Times New Roman" w:eastAsia="Times New Roman"/>
          <w:b/>
          <w:bCs/>
          <w:sz w:val="20"/>
        </w:rPr>
        <w:t xml:space="preserve">Use of Artificial Intelligence:</w:t>
      </w:r>
      <w:r>
        <w:rPr>
          <w:rFonts w:ascii="Times New Roman" w:hAnsi="Times New Roman" w:eastAsia="Times New Roman"/>
          <w:sz w:val="20"/>
        </w:rPr>
        <w:t xml:space="preserve"> </w:t>
      </w:r>
      <w:r>
        <w:rPr>
          <w:rFonts w:ascii="Times New Roman" w:hAnsi="Times New Roman" w:eastAsia="Times New Roman"/>
          <w:sz w:val="20"/>
        </w:rPr>
        <w:t xml:space="preserve">AI-assisted technologies were used solely for language editing and code formatting. All scientific conceptualizations, formulations, and results were executed and approved by the authors.</w:t>
      </w:r>
    </w:p>
    <w:p>
      <w:pPr>
        <w:pStyle w:val="BodyText"/>
        <w:spacing w:after="0" w:line="240" w:lineRule="auto"/>
      </w:pPr>
      <w:r>
        <w:rPr>
          <w:rFonts w:ascii="Times New Roman" w:hAnsi="Times New Roman" w:eastAsia="Times New Roman"/>
          <w:b/>
          <w:bCs/>
          <w:sz w:val="20"/>
        </w:rPr>
        <w:t xml:space="preserve">Authors’ Contributions:</w:t>
      </w:r>
      <w:r>
        <w:rPr>
          <w:rFonts w:ascii="Times New Roman" w:hAnsi="Times New Roman" w:eastAsia="Times New Roman"/>
          <w:sz w:val="20"/>
        </w:rPr>
        <w:t xml:space="preserve"> </w:t>
      </w:r>
      <w:r>
        <w:rPr>
          <w:rFonts w:ascii="Times New Roman" w:hAnsi="Times New Roman" w:eastAsia="Times New Roman"/>
          <w:sz w:val="20"/>
        </w:rPr>
        <w:t xml:space="preserve">Author details are withheld for double-blind review and will be provided in camera-ready. All authors approved the final manuscript.</w:t>
      </w:r>
    </w:p>
    <w:bookmarkStart w:id="104" w:name="refs"/>
    <w:bookmarkStart w:id="49" w:name="ref-bandara2022transformer"/>
    <w:p>
      <w:pPr>
        <w:pStyle w:val="Bibliography"/>
        <w:spacing w:after="0" w:line="240" w:lineRule="auto"/>
      </w:pPr>
      <w:r>
        <w:rPr>
          <w:rFonts w:ascii="Times New Roman" w:hAnsi="Times New Roman" w:eastAsia="Times New Roman"/>
          <w:sz w:val="20"/>
        </w:rPr>
        <w:t xml:space="preserve">Bandara, Wele Gedara Chaminda, and Vishal M. Patel. 2022.</w:t>
      </w:r>
      <w:r>
        <w:rPr>
          <w:rFonts w:ascii="Times New Roman" w:hAnsi="Times New Roman" w:eastAsia="Times New Roman"/>
          <w:sz w:val="20"/>
        </w:rPr>
        <w:t xml:space="preserve"> </w:t>
      </w:r>
      <w:r>
        <w:rPr>
          <w:rFonts w:ascii="Times New Roman" w:hAnsi="Times New Roman" w:eastAsia="Times New Roman"/>
          <w:sz w:val="20"/>
        </w:rPr>
        <w:t xml:space="preserve">“A Transformer-Based Siamese Network for Change Detection.”</w:t>
      </w:r>
      <w:r>
        <w:rPr>
          <w:rFonts w:ascii="Times New Roman" w:hAnsi="Times New Roman" w:eastAsia="Times New Roman"/>
          <w:sz w:val="20"/>
        </w:rPr>
        <w:t xml:space="preserve"> </w:t>
      </w:r>
      <w:r>
        <w:rPr>
          <w:rFonts w:ascii="Times New Roman" w:hAnsi="Times New Roman" w:eastAsia="Times New Roman"/>
          <w:i/>
          <w:iCs/>
          <w:sz w:val="20"/>
        </w:rPr>
        <w:t xml:space="preserve">IEEE International Geoscience and Remote Sensing Symposium (IGARSS)</w:t>
      </w:r>
      <w:r>
        <w:rPr>
          <w:rFonts w:ascii="Times New Roman" w:hAnsi="Times New Roman" w:eastAsia="Times New Roman"/>
          <w:sz w:val="20"/>
        </w:rPr>
        <w:t xml:space="preserve">, 207–10.</w:t>
      </w:r>
      <w:r>
        <w:rPr>
          <w:rFonts w:ascii="Times New Roman" w:hAnsi="Times New Roman" w:eastAsia="Times New Roman"/>
          <w:sz w:val="20"/>
        </w:rPr>
        <w:t xml:space="preserve"> </w:t>
      </w:r>
      <w:hyperlink r:id="rId48">
        <w:r>
          <w:rPr>
            <w:rStyle w:val="Hyperlink"/>
          </w:rPr>
          <w:t xml:space="preserve">https://doi.org/10.1109/IGARSS46834.2022.9883686</w:t>
        </w:r>
      </w:hyperlink>
      <w:r>
        <w:rPr>
          <w:rFonts w:ascii="Times New Roman" w:hAnsi="Times New Roman" w:eastAsia="Times New Roman"/>
          <w:sz w:val="20"/>
        </w:rPr>
        <w:t xml:space="preserve">.</w:t>
      </w:r>
    </w:p>
    <w:bookmarkEnd w:id="49"/>
    <w:bookmarkStart w:id="51" w:name="ref-bianchi2021snow"/>
    <w:p>
      <w:pPr>
        <w:pStyle w:val="Bibliography"/>
        <w:spacing w:after="0" w:line="240" w:lineRule="auto"/>
      </w:pPr>
      <w:r>
        <w:rPr>
          <w:rFonts w:ascii="Times New Roman" w:hAnsi="Times New Roman" w:eastAsia="Times New Roman"/>
          <w:sz w:val="20"/>
        </w:rPr>
        <w:t xml:space="preserve">Bianchi, Filippo Maria, Jakob Grahn, Markus Eckerstorfer, Eirik Malnes, and Hannah Vickers. 2021.</w:t>
      </w:r>
      <w:r>
        <w:rPr>
          <w:rFonts w:ascii="Times New Roman" w:hAnsi="Times New Roman" w:eastAsia="Times New Roman"/>
          <w:sz w:val="20"/>
        </w:rPr>
        <w:t xml:space="preserve"> </w:t>
      </w:r>
      <w:r>
        <w:rPr>
          <w:rFonts w:ascii="Times New Roman" w:hAnsi="Times New Roman" w:eastAsia="Times New Roman"/>
          <w:sz w:val="20"/>
        </w:rPr>
        <w:t xml:space="preserve">“Snow Avalanche Segmentation in</w:t>
      </w:r>
      <w:r>
        <w:rPr>
          <w:rFonts w:ascii="Times New Roman" w:hAnsi="Times New Roman" w:eastAsia="Times New Roman"/>
          <w:sz w:val="20"/>
        </w:rPr>
        <w:t xml:space="preserve"> </w:t>
      </w:r>
      <w:r>
        <w:rPr>
          <w:rFonts w:ascii="Times New Roman" w:hAnsi="Times New Roman" w:eastAsia="Times New Roman"/>
          <w:sz w:val="20"/>
        </w:rPr>
        <w:t xml:space="preserve">SAR</w:t>
      </w:r>
      <w:r>
        <w:rPr>
          <w:rFonts w:ascii="Times New Roman" w:hAnsi="Times New Roman" w:eastAsia="Times New Roman"/>
          <w:sz w:val="20"/>
        </w:rPr>
        <w:t xml:space="preserve"> </w:t>
      </w:r>
      <w:r>
        <w:rPr>
          <w:rFonts w:ascii="Times New Roman" w:hAnsi="Times New Roman" w:eastAsia="Times New Roman"/>
          <w:sz w:val="20"/>
        </w:rPr>
        <w:t xml:space="preserve">Images with Fully Convolutional Neural Networks.”</w:t>
      </w:r>
      <w:r>
        <w:rPr>
          <w:rFonts w:ascii="Times New Roman" w:hAnsi="Times New Roman" w:eastAsia="Times New Roman"/>
          <w:sz w:val="20"/>
        </w:rPr>
        <w:t xml:space="preserve"> </w:t>
      </w:r>
      <w:r>
        <w:rPr>
          <w:rFonts w:ascii="Times New Roman" w:hAnsi="Times New Roman" w:eastAsia="Times New Roman"/>
          <w:i/>
          <w:iCs/>
          <w:sz w:val="20"/>
        </w:rPr>
        <w:t xml:space="preserve">IEEE Journal of Selected Topics in Applied Earth Observations and Remote Sensing</w:t>
      </w:r>
      <w:r>
        <w:rPr>
          <w:rFonts w:ascii="Times New Roman" w:hAnsi="Times New Roman" w:eastAsia="Times New Roman"/>
          <w:sz w:val="20"/>
        </w:rPr>
        <w:t xml:space="preserve"> </w:t>
      </w:r>
      <w:r>
        <w:rPr>
          <w:rFonts w:ascii="Times New Roman" w:hAnsi="Times New Roman" w:eastAsia="Times New Roman"/>
          <w:sz w:val="20"/>
        </w:rPr>
        <w:t xml:space="preserve">14: 75–82.</w:t>
      </w:r>
      <w:r>
        <w:rPr>
          <w:rFonts w:ascii="Times New Roman" w:hAnsi="Times New Roman" w:eastAsia="Times New Roman"/>
          <w:sz w:val="20"/>
        </w:rPr>
        <w:t xml:space="preserve"> </w:t>
      </w:r>
      <w:hyperlink r:id="rId50">
        <w:r>
          <w:rPr>
            <w:rStyle w:val="Hyperlink"/>
          </w:rPr>
          <w:t xml:space="preserve">https://doi.org/10.1109/JSTARS.2020.3036914</w:t>
        </w:r>
      </w:hyperlink>
      <w:r>
        <w:rPr>
          <w:rFonts w:ascii="Times New Roman" w:hAnsi="Times New Roman" w:eastAsia="Times New Roman"/>
          <w:sz w:val="20"/>
        </w:rPr>
        <w:t xml:space="preserve">.</w:t>
      </w:r>
    </w:p>
    <w:bookmarkEnd w:id="51"/>
    <w:bookmarkStart w:id="53" w:name="ref-buehler2019automated"/>
    <w:p>
      <w:pPr>
        <w:pStyle w:val="Bibliography"/>
        <w:spacing w:after="0" w:line="240" w:lineRule="auto"/>
      </w:pPr>
      <w:r>
        <w:rPr>
          <w:rFonts w:ascii="Times New Roman" w:hAnsi="Times New Roman" w:eastAsia="Times New Roman"/>
          <w:sz w:val="20"/>
        </w:rPr>
        <w:t xml:space="preserve">Bühler, Yves, Elisabeth D. Hafner, Benjamin Zweifel, Mathias Zesiger, and Holger Heisig. 2019.</w:t>
      </w:r>
      <w:r>
        <w:rPr>
          <w:rFonts w:ascii="Times New Roman" w:hAnsi="Times New Roman" w:eastAsia="Times New Roman"/>
          <w:sz w:val="20"/>
        </w:rPr>
        <w:t xml:space="preserve"> </w:t>
      </w:r>
      <w:r>
        <w:rPr>
          <w:rFonts w:ascii="Times New Roman" w:hAnsi="Times New Roman" w:eastAsia="Times New Roman"/>
          <w:sz w:val="20"/>
        </w:rPr>
        <w:t xml:space="preserve">“Where Are the Avalanches? Rapid</w:t>
      </w:r>
      <w:r>
        <w:rPr>
          <w:rFonts w:ascii="Times New Roman" w:hAnsi="Times New Roman" w:eastAsia="Times New Roman"/>
          <w:sz w:val="20"/>
        </w:rPr>
        <w:t xml:space="preserve"> </w:t>
      </w:r>
      <w:r>
        <w:rPr>
          <w:rFonts w:ascii="Times New Roman" w:hAnsi="Times New Roman" w:eastAsia="Times New Roman"/>
          <w:sz w:val="20"/>
        </w:rPr>
        <w:t xml:space="preserve">SPOT6</w:t>
      </w:r>
      <w:r>
        <w:rPr>
          <w:rFonts w:ascii="Times New Roman" w:hAnsi="Times New Roman" w:eastAsia="Times New Roman"/>
          <w:sz w:val="20"/>
        </w:rPr>
        <w:t xml:space="preserve"> </w:t>
      </w:r>
      <w:r>
        <w:rPr>
          <w:rFonts w:ascii="Times New Roman" w:hAnsi="Times New Roman" w:eastAsia="Times New Roman"/>
          <w:sz w:val="20"/>
        </w:rPr>
        <w:t xml:space="preserve">Satellite Data Acquisition to Map an Extreme Avalanche Period over the Swiss Alps.”</w:t>
      </w:r>
      <w:r>
        <w:rPr>
          <w:rFonts w:ascii="Times New Roman" w:hAnsi="Times New Roman" w:eastAsia="Times New Roman"/>
          <w:sz w:val="20"/>
        </w:rPr>
        <w:t xml:space="preserve"> </w:t>
      </w:r>
      <w:r>
        <w:rPr>
          <w:rFonts w:ascii="Times New Roman" w:hAnsi="Times New Roman" w:eastAsia="Times New Roman"/>
          <w:i/>
          <w:iCs/>
          <w:sz w:val="20"/>
        </w:rPr>
        <w:t xml:space="preserve">The Cryosphere</w:t>
      </w:r>
      <w:r>
        <w:rPr>
          <w:rFonts w:ascii="Times New Roman" w:hAnsi="Times New Roman" w:eastAsia="Times New Roman"/>
          <w:sz w:val="20"/>
        </w:rPr>
        <w:t xml:space="preserve"> </w:t>
      </w:r>
      <w:r>
        <w:rPr>
          <w:rFonts w:ascii="Times New Roman" w:hAnsi="Times New Roman" w:eastAsia="Times New Roman"/>
          <w:sz w:val="20"/>
        </w:rPr>
        <w:t xml:space="preserve">13 (12): 3225–38.</w:t>
      </w:r>
      <w:r>
        <w:rPr>
          <w:rFonts w:ascii="Times New Roman" w:hAnsi="Times New Roman" w:eastAsia="Times New Roman"/>
          <w:sz w:val="20"/>
        </w:rPr>
        <w:t xml:space="preserve"> </w:t>
      </w:r>
      <w:hyperlink r:id="rId52">
        <w:r>
          <w:rPr>
            <w:rStyle w:val="Hyperlink"/>
          </w:rPr>
          <w:t xml:space="preserve">https://doi.org/10.5194/tc-13-3225-2019</w:t>
        </w:r>
      </w:hyperlink>
      <w:r>
        <w:rPr>
          <w:rFonts w:ascii="Times New Roman" w:hAnsi="Times New Roman" w:eastAsia="Times New Roman"/>
          <w:sz w:val="20"/>
        </w:rPr>
        <w:t xml:space="preserve">.</w:t>
      </w:r>
    </w:p>
    <w:bookmarkEnd w:id="53"/>
    <w:bookmarkStart w:id="55" w:name="ref-liu2026integrating"/>
    <w:p>
      <w:pPr>
        <w:pStyle w:val="Bibliography"/>
        <w:spacing w:after="0" w:line="240" w:lineRule="auto"/>
      </w:pPr>
      <w:r>
        <w:rPr>
          <w:rFonts w:ascii="Times New Roman" w:hAnsi="Times New Roman" w:eastAsia="Times New Roman"/>
          <w:sz w:val="20"/>
        </w:rPr>
        <w:t xml:space="preserve">Cao, Chen, Ji Bai, Tianhao Song, et al. 2026.</w:t>
      </w:r>
      <w:r>
        <w:rPr>
          <w:rFonts w:ascii="Times New Roman" w:hAnsi="Times New Roman" w:eastAsia="Times New Roman"/>
          <w:sz w:val="20"/>
        </w:rPr>
        <w:t xml:space="preserve"> </w:t>
      </w:r>
      <w:r>
        <w:rPr>
          <w:rFonts w:ascii="Times New Roman" w:hAnsi="Times New Roman" w:eastAsia="Times New Roman"/>
          <w:sz w:val="20"/>
        </w:rPr>
        <w:t xml:space="preserve">“Integrating Information Value Method and Extreme Gradient Boosting for Debris Flow Susceptibility Assessment on the Piedmont Clinoplain Considering Watershed Erosion.”</w:t>
      </w:r>
      <w:r>
        <w:rPr>
          <w:rFonts w:ascii="Times New Roman" w:hAnsi="Times New Roman" w:eastAsia="Times New Roman"/>
          <w:sz w:val="20"/>
        </w:rPr>
        <w:t xml:space="preserve"> </w:t>
      </w:r>
      <w:r>
        <w:rPr>
          <w:rFonts w:ascii="Times New Roman" w:hAnsi="Times New Roman" w:eastAsia="Times New Roman"/>
          <w:i/>
          <w:iCs/>
          <w:sz w:val="20"/>
        </w:rPr>
        <w:t xml:space="preserve">Journal of Mountain Science</w:t>
      </w:r>
      <w:r>
        <w:rPr>
          <w:rFonts w:ascii="Times New Roman" w:hAnsi="Times New Roman" w:eastAsia="Times New Roman"/>
          <w:sz w:val="20"/>
        </w:rPr>
        <w:t xml:space="preserve"> </w:t>
      </w:r>
      <w:r>
        <w:rPr>
          <w:rFonts w:ascii="Times New Roman" w:hAnsi="Times New Roman" w:eastAsia="Times New Roman"/>
          <w:sz w:val="20"/>
        </w:rPr>
        <w:t xml:space="preserve">23 (4): 1614–34.</w:t>
      </w:r>
      <w:r>
        <w:rPr>
          <w:rFonts w:ascii="Times New Roman" w:hAnsi="Times New Roman" w:eastAsia="Times New Roman"/>
          <w:sz w:val="20"/>
        </w:rPr>
        <w:t xml:space="preserve"> </w:t>
      </w:r>
      <w:hyperlink r:id="rId54">
        <w:r>
          <w:rPr>
            <w:rStyle w:val="Hyperlink"/>
          </w:rPr>
          <w:t xml:space="preserve">https://doi.org/10.1007/s11629-025-9805-y</w:t>
        </w:r>
      </w:hyperlink>
      <w:r>
        <w:rPr>
          <w:rFonts w:ascii="Times New Roman" w:hAnsi="Times New Roman" w:eastAsia="Times New Roman"/>
          <w:sz w:val="20"/>
        </w:rPr>
        <w:t xml:space="preserve">.</w:t>
      </w:r>
    </w:p>
    <w:bookmarkEnd w:id="55"/>
    <w:bookmarkStart w:id="57" w:name="ref-daudt2018fully"/>
    <w:p>
      <w:pPr>
        <w:pStyle w:val="Bibliography"/>
        <w:spacing w:after="0" w:line="240" w:lineRule="auto"/>
      </w:pPr>
      <w:r>
        <w:rPr>
          <w:rFonts w:ascii="Times New Roman" w:hAnsi="Times New Roman" w:eastAsia="Times New Roman"/>
          <w:sz w:val="20"/>
        </w:rPr>
        <w:t xml:space="preserve">Caye Daudt, Rodrigo, Bertrand Le Saux, and Alexandre Boulch. 2018.</w:t>
      </w:r>
      <w:r>
        <w:rPr>
          <w:rFonts w:ascii="Times New Roman" w:hAnsi="Times New Roman" w:eastAsia="Times New Roman"/>
          <w:sz w:val="20"/>
        </w:rPr>
        <w:t xml:space="preserve"> </w:t>
      </w:r>
      <w:r>
        <w:rPr>
          <w:rFonts w:ascii="Times New Roman" w:hAnsi="Times New Roman" w:eastAsia="Times New Roman"/>
          <w:sz w:val="20"/>
        </w:rPr>
        <w:t xml:space="preserve">“Fully Convolutional Siamese Networks for Change Detection.”</w:t>
      </w:r>
      <w:r>
        <w:rPr>
          <w:rFonts w:ascii="Times New Roman" w:hAnsi="Times New Roman" w:eastAsia="Times New Roman"/>
          <w:sz w:val="20"/>
        </w:rPr>
        <w:t xml:space="preserve"> </w:t>
      </w:r>
      <w:r>
        <w:rPr>
          <w:rFonts w:ascii="Times New Roman" w:hAnsi="Times New Roman" w:eastAsia="Times New Roman"/>
          <w:i/>
          <w:iCs/>
          <w:sz w:val="20"/>
        </w:rPr>
        <w:t xml:space="preserve">2018 25th IEEE International Conference on Image Processing (ICIP)</w:t>
      </w:r>
      <w:r>
        <w:rPr>
          <w:rFonts w:ascii="Times New Roman" w:hAnsi="Times New Roman" w:eastAsia="Times New Roman"/>
          <w:sz w:val="20"/>
        </w:rPr>
        <w:t xml:space="preserve">, 4063–67.</w:t>
      </w:r>
      <w:r>
        <w:rPr>
          <w:rFonts w:ascii="Times New Roman" w:hAnsi="Times New Roman" w:eastAsia="Times New Roman"/>
          <w:sz w:val="20"/>
        </w:rPr>
        <w:t xml:space="preserve"> </w:t>
      </w:r>
      <w:hyperlink r:id="rId56">
        <w:r>
          <w:rPr>
            <w:rStyle w:val="Hyperlink"/>
          </w:rPr>
          <w:t xml:space="preserve">https://doi.org/10.1109/ICIP.2018.8451652</w:t>
        </w:r>
      </w:hyperlink>
      <w:r>
        <w:rPr>
          <w:rFonts w:ascii="Times New Roman" w:hAnsi="Times New Roman" w:eastAsia="Times New Roman"/>
          <w:sz w:val="20"/>
        </w:rPr>
        <w:t xml:space="preserve">.</w:t>
      </w:r>
    </w:p>
    <w:bookmarkEnd w:id="57"/>
    <w:bookmarkStart w:id="59" w:name="ref-chen2021remote"/>
    <w:p>
      <w:pPr>
        <w:pStyle w:val="Bibliography"/>
        <w:spacing w:after="0" w:line="240" w:lineRule="auto"/>
      </w:pPr>
      <w:r>
        <w:rPr>
          <w:rFonts w:ascii="Times New Roman" w:hAnsi="Times New Roman" w:eastAsia="Times New Roman"/>
          <w:sz w:val="20"/>
        </w:rPr>
        <w:t xml:space="preserve">Chen, Hao, Zipeng Qi, and Zhenwei Shi. 2022.</w:t>
      </w:r>
      <w:r>
        <w:rPr>
          <w:rFonts w:ascii="Times New Roman" w:hAnsi="Times New Roman" w:eastAsia="Times New Roman"/>
          <w:sz w:val="20"/>
        </w:rPr>
        <w:t xml:space="preserve"> </w:t>
      </w:r>
      <w:r>
        <w:rPr>
          <w:rFonts w:ascii="Times New Roman" w:hAnsi="Times New Roman" w:eastAsia="Times New Roman"/>
          <w:sz w:val="20"/>
        </w:rPr>
        <w:t xml:space="preserve">“Remote Sensing Image Change Detection with Transformers.”</w:t>
      </w:r>
      <w:r>
        <w:rPr>
          <w:rFonts w:ascii="Times New Roman" w:hAnsi="Times New Roman" w:eastAsia="Times New Roman"/>
          <w:sz w:val="20"/>
        </w:rPr>
        <w:t xml:space="preserve"> </w:t>
      </w:r>
      <w:r>
        <w:rPr>
          <w:rFonts w:ascii="Times New Roman" w:hAnsi="Times New Roman" w:eastAsia="Times New Roman"/>
          <w:i/>
          <w:iCs/>
          <w:sz w:val="20"/>
        </w:rPr>
        <w:t xml:space="preserve">IEEE Transactions on Geoscience and Remote Sensing</w:t>
      </w:r>
      <w:r>
        <w:rPr>
          <w:rFonts w:ascii="Times New Roman" w:hAnsi="Times New Roman" w:eastAsia="Times New Roman"/>
          <w:sz w:val="20"/>
        </w:rPr>
        <w:t xml:space="preserve"> </w:t>
      </w:r>
      <w:r>
        <w:rPr>
          <w:rFonts w:ascii="Times New Roman" w:hAnsi="Times New Roman" w:eastAsia="Times New Roman"/>
          <w:sz w:val="20"/>
        </w:rPr>
        <w:t xml:space="preserve">60: 1–14.</w:t>
      </w:r>
      <w:r>
        <w:rPr>
          <w:rFonts w:ascii="Times New Roman" w:hAnsi="Times New Roman" w:eastAsia="Times New Roman"/>
          <w:sz w:val="20"/>
        </w:rPr>
        <w:t xml:space="preserve"> </w:t>
      </w:r>
      <w:hyperlink r:id="rId58">
        <w:r>
          <w:rPr>
            <w:rStyle w:val="Hyperlink"/>
          </w:rPr>
          <w:t xml:space="preserve">https://doi.org/10.1109/TGRS.2021.3095166</w:t>
        </w:r>
      </w:hyperlink>
      <w:r>
        <w:rPr>
          <w:rFonts w:ascii="Times New Roman" w:hAnsi="Times New Roman" w:eastAsia="Times New Roman"/>
          <w:sz w:val="20"/>
        </w:rPr>
        <w:t xml:space="preserve">.</w:t>
      </w:r>
    </w:p>
    <w:bookmarkEnd w:id="59"/>
    <w:bookmarkStart w:id="61" w:name="ref-eckerstorfer2017remote"/>
    <w:p>
      <w:pPr>
        <w:pStyle w:val="Bibliography"/>
        <w:spacing w:after="0" w:line="240" w:lineRule="auto"/>
      </w:pPr>
      <w:r>
        <w:rPr>
          <w:rFonts w:ascii="Times New Roman" w:hAnsi="Times New Roman" w:eastAsia="Times New Roman"/>
          <w:sz w:val="20"/>
        </w:rPr>
        <w:t xml:space="preserve">Eckerstorfer, Markus, Eirik Malnes, and Karsten Müller. 2017.</w:t>
      </w:r>
      <w:r>
        <w:rPr>
          <w:rFonts w:ascii="Times New Roman" w:hAnsi="Times New Roman" w:eastAsia="Times New Roman"/>
          <w:sz w:val="20"/>
        </w:rPr>
        <w:t xml:space="preserve"> </w:t>
      </w:r>
      <w:r>
        <w:rPr>
          <w:rFonts w:ascii="Times New Roman" w:hAnsi="Times New Roman" w:eastAsia="Times New Roman"/>
          <w:sz w:val="20"/>
        </w:rPr>
        <w:t xml:space="preserve">“A Complete Snow Avalanche Activity Record from a Norwegian Forecasting Region Using</w:t>
      </w:r>
      <w:r>
        <w:rPr>
          <w:rFonts w:ascii="Times New Roman" w:hAnsi="Times New Roman" w:eastAsia="Times New Roman"/>
          <w:sz w:val="20"/>
        </w:rPr>
        <w:t xml:space="preserve"> </w:t>
      </w:r>
      <w:r>
        <w:rPr>
          <w:rFonts w:ascii="Times New Roman" w:hAnsi="Times New Roman" w:eastAsia="Times New Roman"/>
          <w:sz w:val="20"/>
        </w:rPr>
        <w:t xml:space="preserve">Sentinel-1</w:t>
      </w:r>
      <w:r>
        <w:rPr>
          <w:rFonts w:ascii="Times New Roman" w:hAnsi="Times New Roman" w:eastAsia="Times New Roman"/>
          <w:sz w:val="20"/>
        </w:rPr>
        <w:t xml:space="preserve"> </w:t>
      </w:r>
      <w:r>
        <w:rPr>
          <w:rFonts w:ascii="Times New Roman" w:hAnsi="Times New Roman" w:eastAsia="Times New Roman"/>
          <w:sz w:val="20"/>
        </w:rPr>
        <w:t xml:space="preserve">Satellite-Radar Data.”</w:t>
      </w:r>
      <w:r>
        <w:rPr>
          <w:rFonts w:ascii="Times New Roman" w:hAnsi="Times New Roman" w:eastAsia="Times New Roman"/>
          <w:sz w:val="20"/>
        </w:rPr>
        <w:t xml:space="preserve"> </w:t>
      </w:r>
      <w:r>
        <w:rPr>
          <w:rFonts w:ascii="Times New Roman" w:hAnsi="Times New Roman" w:eastAsia="Times New Roman"/>
          <w:i/>
          <w:iCs/>
          <w:sz w:val="20"/>
        </w:rPr>
        <w:t xml:space="preserve">Cold Regions Science and Technology</w:t>
      </w:r>
      <w:r>
        <w:rPr>
          <w:rFonts w:ascii="Times New Roman" w:hAnsi="Times New Roman" w:eastAsia="Times New Roman"/>
          <w:sz w:val="20"/>
        </w:rPr>
        <w:t xml:space="preserve"> </w:t>
      </w:r>
      <w:r>
        <w:rPr>
          <w:rFonts w:ascii="Times New Roman" w:hAnsi="Times New Roman" w:eastAsia="Times New Roman"/>
          <w:sz w:val="20"/>
        </w:rPr>
        <w:t xml:space="preserve">144: 39–51.</w:t>
      </w:r>
      <w:r>
        <w:rPr>
          <w:rFonts w:ascii="Times New Roman" w:hAnsi="Times New Roman" w:eastAsia="Times New Roman"/>
          <w:sz w:val="20"/>
        </w:rPr>
        <w:t xml:space="preserve"> </w:t>
      </w:r>
      <w:hyperlink r:id="rId60">
        <w:r>
          <w:rPr>
            <w:rStyle w:val="Hyperlink"/>
          </w:rPr>
          <w:t xml:space="preserve">https://doi.org/10.1016/j.coldregions.2017.08.004</w:t>
        </w:r>
      </w:hyperlink>
      <w:r>
        <w:rPr>
          <w:rFonts w:ascii="Times New Roman" w:hAnsi="Times New Roman" w:eastAsia="Times New Roman"/>
          <w:sz w:val="20"/>
        </w:rPr>
        <w:t xml:space="preserve">.</w:t>
      </w:r>
    </w:p>
    <w:bookmarkEnd w:id="61"/>
    <w:bookmarkStart w:id="63" w:name="ref-muller2021synthetic"/>
    <w:p>
      <w:pPr>
        <w:pStyle w:val="Bibliography"/>
        <w:spacing w:after="0" w:line="240" w:lineRule="auto"/>
      </w:pPr>
      <w:r>
        <w:rPr>
          <w:rFonts w:ascii="Times New Roman" w:hAnsi="Times New Roman" w:eastAsia="Times New Roman"/>
          <w:sz w:val="20"/>
        </w:rPr>
        <w:t xml:space="preserve">Eckerstorfer, Markus, Karsten Müller, Eirik Malnes, and Hilde Daugstad Oterhals. 2021.</w:t>
      </w:r>
      <w:r>
        <w:rPr>
          <w:rFonts w:ascii="Times New Roman" w:hAnsi="Times New Roman" w:eastAsia="Times New Roman"/>
          <w:sz w:val="20"/>
        </w:rPr>
        <w:t xml:space="preserve"> </w:t>
      </w:r>
      <w:r>
        <w:rPr>
          <w:rFonts w:ascii="Times New Roman" w:hAnsi="Times New Roman" w:eastAsia="Times New Roman"/>
          <w:sz w:val="20"/>
        </w:rPr>
        <w:t xml:space="preserve">“Manual and Automatic Detection of Dry Snow Avalanches in</w:t>
      </w:r>
      <w:r>
        <w:rPr>
          <w:rFonts w:ascii="Times New Roman" w:hAnsi="Times New Roman" w:eastAsia="Times New Roman"/>
          <w:sz w:val="20"/>
        </w:rPr>
        <w:t xml:space="preserve"> </w:t>
      </w:r>
      <w:r>
        <w:rPr>
          <w:rFonts w:ascii="Times New Roman" w:hAnsi="Times New Roman" w:eastAsia="Times New Roman"/>
          <w:sz w:val="20"/>
        </w:rPr>
        <w:t xml:space="preserve">Sentinel-1</w:t>
      </w:r>
      <w:r>
        <w:rPr>
          <w:rFonts w:ascii="Times New Roman" w:hAnsi="Times New Roman" w:eastAsia="Times New Roman"/>
          <w:sz w:val="20"/>
        </w:rPr>
        <w:t xml:space="preserve"> </w:t>
      </w:r>
      <w:r>
        <w:rPr>
          <w:rFonts w:ascii="Times New Roman" w:hAnsi="Times New Roman" w:eastAsia="Times New Roman"/>
          <w:sz w:val="20"/>
        </w:rPr>
        <w:t xml:space="preserve">SAR</w:t>
      </w:r>
      <w:r>
        <w:rPr>
          <w:rFonts w:ascii="Times New Roman" w:hAnsi="Times New Roman" w:eastAsia="Times New Roman"/>
          <w:sz w:val="20"/>
        </w:rPr>
        <w:t xml:space="preserve"> </w:t>
      </w:r>
      <w:r>
        <w:rPr>
          <w:rFonts w:ascii="Times New Roman" w:hAnsi="Times New Roman" w:eastAsia="Times New Roman"/>
          <w:sz w:val="20"/>
        </w:rPr>
        <w:t xml:space="preserve">Images.”</w:t>
      </w:r>
      <w:r>
        <w:rPr>
          <w:rFonts w:ascii="Times New Roman" w:hAnsi="Times New Roman" w:eastAsia="Times New Roman"/>
          <w:sz w:val="20"/>
        </w:rPr>
        <w:t xml:space="preserve"> </w:t>
      </w:r>
      <w:r>
        <w:rPr>
          <w:rFonts w:ascii="Times New Roman" w:hAnsi="Times New Roman" w:eastAsia="Times New Roman"/>
          <w:i/>
          <w:iCs/>
          <w:sz w:val="20"/>
        </w:rPr>
        <w:t xml:space="preserve">IEEE International Geoscience and Remote Sensing Symposium (IGARSS)</w:t>
      </w:r>
      <w:r>
        <w:rPr>
          <w:rFonts w:ascii="Times New Roman" w:hAnsi="Times New Roman" w:eastAsia="Times New Roman"/>
          <w:sz w:val="20"/>
        </w:rPr>
        <w:t xml:space="preserve">, 247–50.</w:t>
      </w:r>
      <w:r>
        <w:rPr>
          <w:rFonts w:ascii="Times New Roman" w:hAnsi="Times New Roman" w:eastAsia="Times New Roman"/>
          <w:sz w:val="20"/>
        </w:rPr>
        <w:t xml:space="preserve"> </w:t>
      </w:r>
      <w:hyperlink r:id="rId62">
        <w:r>
          <w:rPr>
            <w:rStyle w:val="Hyperlink"/>
          </w:rPr>
          <w:t xml:space="preserve">https://doi.org/10.1109/IGARSS47720.2021.9554370</w:t>
        </w:r>
      </w:hyperlink>
      <w:r>
        <w:rPr>
          <w:rFonts w:ascii="Times New Roman" w:hAnsi="Times New Roman" w:eastAsia="Times New Roman"/>
          <w:sz w:val="20"/>
        </w:rPr>
        <w:t xml:space="preserve">.</w:t>
      </w:r>
    </w:p>
    <w:bookmarkEnd w:id="63"/>
    <w:bookmarkStart w:id="65" w:name="ref-eckerstorfer2019near"/>
    <w:p>
      <w:pPr>
        <w:pStyle w:val="Bibliography"/>
        <w:spacing w:after="0" w:line="240" w:lineRule="auto"/>
      </w:pPr>
      <w:r>
        <w:rPr>
          <w:rFonts w:ascii="Times New Roman" w:hAnsi="Times New Roman" w:eastAsia="Times New Roman"/>
          <w:sz w:val="20"/>
        </w:rPr>
        <w:t xml:space="preserve">Eckerstorfer, Markus, Hannah Vickers, Eirik Malnes, and Jakob Grahn. 2019.</w:t>
      </w:r>
      <w:r>
        <w:rPr>
          <w:rFonts w:ascii="Times New Roman" w:hAnsi="Times New Roman" w:eastAsia="Times New Roman"/>
          <w:sz w:val="20"/>
        </w:rPr>
        <w:t xml:space="preserve"> </w:t>
      </w:r>
      <w:r>
        <w:rPr>
          <w:rFonts w:ascii="Times New Roman" w:hAnsi="Times New Roman" w:eastAsia="Times New Roman"/>
          <w:sz w:val="20"/>
        </w:rPr>
        <w:t xml:space="preserve">“Near-Real Time Automatic Snow Avalanche Activity Monitoring System Using</w:t>
      </w:r>
      <w:r>
        <w:rPr>
          <w:rFonts w:ascii="Times New Roman" w:hAnsi="Times New Roman" w:eastAsia="Times New Roman"/>
          <w:sz w:val="20"/>
        </w:rPr>
        <w:t xml:space="preserve"> </w:t>
      </w:r>
      <w:r>
        <w:rPr>
          <w:rFonts w:ascii="Times New Roman" w:hAnsi="Times New Roman" w:eastAsia="Times New Roman"/>
          <w:sz w:val="20"/>
        </w:rPr>
        <w:t xml:space="preserve">Sentinel-1</w:t>
      </w:r>
      <w:r>
        <w:rPr>
          <w:rFonts w:ascii="Times New Roman" w:hAnsi="Times New Roman" w:eastAsia="Times New Roman"/>
          <w:sz w:val="20"/>
        </w:rPr>
        <w:t xml:space="preserve"> </w:t>
      </w:r>
      <w:r>
        <w:rPr>
          <w:rFonts w:ascii="Times New Roman" w:hAnsi="Times New Roman" w:eastAsia="Times New Roman"/>
          <w:sz w:val="20"/>
        </w:rPr>
        <w:t xml:space="preserve">SAR</w:t>
      </w:r>
      <w:r>
        <w:rPr>
          <w:rFonts w:ascii="Times New Roman" w:hAnsi="Times New Roman" w:eastAsia="Times New Roman"/>
          <w:sz w:val="20"/>
        </w:rPr>
        <w:t xml:space="preserve"> </w:t>
      </w:r>
      <w:r>
        <w:rPr>
          <w:rFonts w:ascii="Times New Roman" w:hAnsi="Times New Roman" w:eastAsia="Times New Roman"/>
          <w:sz w:val="20"/>
        </w:rPr>
        <w:t xml:space="preserve">Data in</w:t>
      </w:r>
      <w:r>
        <w:rPr>
          <w:rFonts w:ascii="Times New Roman" w:hAnsi="Times New Roman" w:eastAsia="Times New Roman"/>
          <w:sz w:val="20"/>
        </w:rPr>
        <w:t xml:space="preserve"> </w:t>
      </w:r>
      <w:r>
        <w:rPr>
          <w:rFonts w:ascii="Times New Roman" w:hAnsi="Times New Roman" w:eastAsia="Times New Roman"/>
          <w:sz w:val="20"/>
        </w:rPr>
        <w:t xml:space="preserve">Norway</w:t>
      </w:r>
      <w:r>
        <w:rPr>
          <w:rFonts w:ascii="Times New Roman" w:hAnsi="Times New Roman" w:eastAsia="Times New Roman"/>
          <w:sz w:val="20"/>
        </w:rPr>
        <w:t xml:space="preserve">.”</w:t>
      </w:r>
      <w:r>
        <w:rPr>
          <w:rFonts w:ascii="Times New Roman" w:hAnsi="Times New Roman" w:eastAsia="Times New Roman"/>
          <w:sz w:val="20"/>
        </w:rPr>
        <w:t xml:space="preserve"> </w:t>
      </w:r>
      <w:r>
        <w:rPr>
          <w:rFonts w:ascii="Times New Roman" w:hAnsi="Times New Roman" w:eastAsia="Times New Roman"/>
          <w:i/>
          <w:iCs/>
          <w:sz w:val="20"/>
        </w:rPr>
        <w:t xml:space="preserve">Remote Sensing</w:t>
      </w:r>
      <w:r>
        <w:rPr>
          <w:rFonts w:ascii="Times New Roman" w:hAnsi="Times New Roman" w:eastAsia="Times New Roman"/>
          <w:sz w:val="20"/>
        </w:rPr>
        <w:t xml:space="preserve"> </w:t>
      </w:r>
      <w:r>
        <w:rPr>
          <w:rFonts w:ascii="Times New Roman" w:hAnsi="Times New Roman" w:eastAsia="Times New Roman"/>
          <w:sz w:val="20"/>
        </w:rPr>
        <w:t xml:space="preserve">11 (23): 2863.</w:t>
      </w:r>
      <w:r>
        <w:rPr>
          <w:rFonts w:ascii="Times New Roman" w:hAnsi="Times New Roman" w:eastAsia="Times New Roman"/>
          <w:sz w:val="20"/>
        </w:rPr>
        <w:t xml:space="preserve"> </w:t>
      </w:r>
      <w:hyperlink r:id="rId64">
        <w:r>
          <w:rPr>
            <w:rStyle w:val="Hyperlink"/>
          </w:rPr>
          <w:t xml:space="preserve">https://doi.org/10.3390/rs11232863</w:t>
        </w:r>
      </w:hyperlink>
      <w:r>
        <w:rPr>
          <w:rFonts w:ascii="Times New Roman" w:hAnsi="Times New Roman" w:eastAsia="Times New Roman"/>
          <w:sz w:val="20"/>
        </w:rPr>
        <w:t xml:space="preserve">.</w:t>
      </w:r>
    </w:p>
    <w:bookmarkEnd w:id="65"/>
    <w:bookmarkStart w:id="67" w:name="ref-eaws2022size"/>
    <w:p>
      <w:pPr>
        <w:pStyle w:val="Bibliography"/>
        <w:spacing w:after="0" w:line="240" w:lineRule="auto"/>
      </w:pPr>
      <w:r>
        <w:rPr>
          <w:rFonts w:ascii="Times New Roman" w:hAnsi="Times New Roman" w:eastAsia="Times New Roman"/>
          <w:sz w:val="20"/>
        </w:rPr>
        <w:t xml:space="preserve">European Avalanche Warning Services. 2022.</w:t>
      </w:r>
      <w:r>
        <w:rPr>
          <w:rFonts w:ascii="Times New Roman" w:hAnsi="Times New Roman" w:eastAsia="Times New Roman"/>
          <w:sz w:val="20"/>
        </w:rPr>
        <w:t xml:space="preserve"> </w:t>
      </w:r>
      <w:r>
        <w:rPr>
          <w:rFonts w:ascii="Times New Roman" w:hAnsi="Times New Roman" w:eastAsia="Times New Roman"/>
          <w:i/>
          <w:iCs/>
          <w:sz w:val="20"/>
        </w:rPr>
        <w:t xml:space="preserve">Avalanche Size Classification Standards (Classes</w:t>
      </w:r>
      <w:r>
        <w:rPr>
          <w:rFonts w:ascii="Times New Roman" w:hAnsi="Times New Roman" w:eastAsia="Times New Roman"/>
          <w:i/>
          <w:iCs/>
          <w:sz w:val="20"/>
        </w:rPr>
        <w:t xml:space="preserve"> </w:t>
      </w:r>
      <w:r>
        <w:rPr>
          <w:rFonts w:ascii="Times New Roman" w:hAnsi="Times New Roman" w:eastAsia="Times New Roman"/>
          <w:i/>
          <w:iCs/>
          <w:sz w:val="20"/>
        </w:rPr>
        <w:t xml:space="preserve">D1</w:t>
      </w:r>
      <w:r>
        <w:rPr>
          <w:rFonts w:ascii="Times New Roman" w:hAnsi="Times New Roman" w:eastAsia="Times New Roman"/>
          <w:i/>
          <w:iCs/>
          <w:sz w:val="20"/>
        </w:rPr>
        <w:t xml:space="preserve"> </w:t>
      </w:r>
      <w:r>
        <w:rPr>
          <w:rFonts w:ascii="Times New Roman" w:hAnsi="Times New Roman" w:eastAsia="Times New Roman"/>
          <w:i/>
          <w:iCs/>
          <w:sz w:val="20"/>
        </w:rPr>
        <w:t xml:space="preserve">Through</w:t>
      </w:r>
      <w:r>
        <w:rPr>
          <w:rFonts w:ascii="Times New Roman" w:hAnsi="Times New Roman" w:eastAsia="Times New Roman"/>
          <w:i/>
          <w:iCs/>
          <w:sz w:val="20"/>
        </w:rPr>
        <w:t xml:space="preserve"> </w:t>
      </w:r>
      <w:r>
        <w:rPr>
          <w:rFonts w:ascii="Times New Roman" w:hAnsi="Times New Roman" w:eastAsia="Times New Roman"/>
          <w:i/>
          <w:iCs/>
          <w:sz w:val="20"/>
        </w:rPr>
        <w:t xml:space="preserve">D5</w:t>
      </w:r>
      <w:r>
        <w:rPr>
          <w:rFonts w:ascii="Times New Roman" w:hAnsi="Times New Roman" w:eastAsia="Times New Roman"/>
          <w:i/>
          <w:iCs/>
          <w:sz w:val="20"/>
        </w:rPr>
        <w:t xml:space="preserve">)</w:t>
      </w:r>
      <w:r>
        <w:rPr>
          <w:rFonts w:ascii="Times New Roman" w:hAnsi="Times New Roman" w:eastAsia="Times New Roman"/>
          <w:sz w:val="20"/>
        </w:rPr>
        <w:t xml:space="preserve">.</w:t>
      </w:r>
      <w:r>
        <w:rPr>
          <w:rFonts w:ascii="Times New Roman" w:hAnsi="Times New Roman" w:eastAsia="Times New Roman"/>
          <w:sz w:val="20"/>
        </w:rPr>
        <w:t xml:space="preserve"> </w:t>
      </w:r>
      <w:hyperlink r:id="rId66">
        <w:r>
          <w:rPr>
            <w:rStyle w:val="Hyperlink"/>
          </w:rPr>
          <w:t xml:space="preserve">Https://www.avalanches.org/standards/avalanche-size/</w:t>
        </w:r>
      </w:hyperlink>
      <w:r>
        <w:rPr>
          <w:rFonts w:ascii="Times New Roman" w:hAnsi="Times New Roman" w:eastAsia="Times New Roman"/>
          <w:sz w:val="20"/>
        </w:rPr>
        <w:t xml:space="preserve">.</w:t>
      </w:r>
    </w:p>
    <w:bookmarkEnd w:id="67"/>
    <w:bookmarkStart w:id="69" w:name="ref-esa2026sentinel1"/>
    <w:p>
      <w:pPr>
        <w:pStyle w:val="Bibliography"/>
        <w:spacing w:after="0" w:line="240" w:lineRule="auto"/>
      </w:pPr>
      <w:r>
        <w:rPr>
          <w:rFonts w:ascii="Times New Roman" w:hAnsi="Times New Roman" w:eastAsia="Times New Roman"/>
          <w:sz w:val="20"/>
        </w:rPr>
        <w:t xml:space="preserve">European Space Agency. 2026.</w:t>
      </w:r>
      <w:r>
        <w:rPr>
          <w:rFonts w:ascii="Times New Roman" w:hAnsi="Times New Roman" w:eastAsia="Times New Roman"/>
          <w:sz w:val="20"/>
        </w:rPr>
        <w:t xml:space="preserve"> </w:t>
      </w:r>
      <w:r>
        <w:rPr>
          <w:rFonts w:ascii="Times New Roman" w:hAnsi="Times New Roman" w:eastAsia="Times New Roman"/>
          <w:i/>
          <w:iCs/>
          <w:sz w:val="20"/>
        </w:rPr>
        <w:t xml:space="preserve">Sentinel-1</w:t>
      </w:r>
      <w:r>
        <w:rPr>
          <w:rFonts w:ascii="Times New Roman" w:hAnsi="Times New Roman" w:eastAsia="Times New Roman"/>
          <w:i/>
          <w:iCs/>
          <w:sz w:val="20"/>
        </w:rPr>
        <w:t xml:space="preserve">: Radar Vision for</w:t>
      </w:r>
      <w:r>
        <w:rPr>
          <w:rFonts w:ascii="Times New Roman" w:hAnsi="Times New Roman" w:eastAsia="Times New Roman"/>
          <w:i/>
          <w:iCs/>
          <w:sz w:val="20"/>
        </w:rPr>
        <w:t xml:space="preserve"> </w:t>
      </w:r>
      <w:r>
        <w:rPr>
          <w:rFonts w:ascii="Times New Roman" w:hAnsi="Times New Roman" w:eastAsia="Times New Roman"/>
          <w:i/>
          <w:iCs/>
          <w:sz w:val="20"/>
        </w:rPr>
        <w:t xml:space="preserve">Copernicus</w:t>
      </w:r>
      <w:r>
        <w:rPr>
          <w:rFonts w:ascii="Times New Roman" w:hAnsi="Times New Roman" w:eastAsia="Times New Roman"/>
          <w:sz w:val="20"/>
        </w:rPr>
        <w:t xml:space="preserve">.</w:t>
      </w:r>
      <w:r>
        <w:rPr>
          <w:rFonts w:ascii="Times New Roman" w:hAnsi="Times New Roman" w:eastAsia="Times New Roman"/>
          <w:sz w:val="20"/>
        </w:rPr>
        <w:t xml:space="preserve"> </w:t>
      </w:r>
      <w:hyperlink r:id="rId68">
        <w:r>
          <w:rPr>
            <w:rStyle w:val="Hyperlink"/>
          </w:rPr>
          <w:t xml:space="preserve">Https://www.esa.int/Applications/Observing_the_Earth/Copernicus/Sentinel-1</w:t>
        </w:r>
      </w:hyperlink>
      <w:r>
        <w:rPr>
          <w:rFonts w:ascii="Times New Roman" w:hAnsi="Times New Roman" w:eastAsia="Times New Roman"/>
          <w:sz w:val="20"/>
        </w:rPr>
        <w:t xml:space="preserve">.</w:t>
      </w:r>
    </w:p>
    <w:bookmarkEnd w:id="69"/>
    <w:bookmarkStart w:id="71" w:name="ref-garova2025general"/>
    <w:p>
      <w:pPr>
        <w:pStyle w:val="Bibliography"/>
        <w:spacing w:after="0" w:line="240" w:lineRule="auto"/>
      </w:pPr>
      <w:r>
        <w:rPr>
          <w:rFonts w:ascii="Times New Roman" w:hAnsi="Times New Roman" w:eastAsia="Times New Roman"/>
          <w:sz w:val="20"/>
        </w:rPr>
        <w:t xml:space="preserve">Garova, Elena, Bogdan Chadromtsev, Alexander Pedanov, et al. 2025.</w:t>
      </w:r>
      <w:r>
        <w:rPr>
          <w:rFonts w:ascii="Times New Roman" w:hAnsi="Times New Roman" w:eastAsia="Times New Roman"/>
          <w:sz w:val="20"/>
        </w:rPr>
        <w:t xml:space="preserve"> </w:t>
      </w:r>
      <w:r>
        <w:rPr>
          <w:rFonts w:ascii="Times New Roman" w:hAnsi="Times New Roman" w:eastAsia="Times New Roman"/>
          <w:sz w:val="20"/>
        </w:rPr>
        <w:t xml:space="preserve">“A General Methodological Framework for Hazard Assessment in Remote Mountain Areas Combining Geomorphological Mapping with</w:t>
      </w:r>
      <w:r>
        <w:rPr>
          <w:rFonts w:ascii="Times New Roman" w:hAnsi="Times New Roman" w:eastAsia="Times New Roman"/>
          <w:sz w:val="20"/>
        </w:rPr>
        <w:t xml:space="preserve"> </w:t>
      </w:r>
      <w:r>
        <w:rPr>
          <w:rFonts w:ascii="Times New Roman" w:hAnsi="Times New Roman" w:eastAsia="Times New Roman"/>
          <w:sz w:val="20"/>
        </w:rPr>
        <w:t xml:space="preserve">UAV</w:t>
      </w:r>
      <w:r>
        <w:rPr>
          <w:rFonts w:ascii="Times New Roman" w:hAnsi="Times New Roman" w:eastAsia="Times New Roman"/>
          <w:sz w:val="20"/>
        </w:rPr>
        <w:t xml:space="preserve"> </w:t>
      </w:r>
      <w:r>
        <w:rPr>
          <w:rFonts w:ascii="Times New Roman" w:hAnsi="Times New Roman" w:eastAsia="Times New Roman"/>
          <w:sz w:val="20"/>
        </w:rPr>
        <w:t xml:space="preserve">Survey.”</w:t>
      </w:r>
      <w:r>
        <w:rPr>
          <w:rFonts w:ascii="Times New Roman" w:hAnsi="Times New Roman" w:eastAsia="Times New Roman"/>
          <w:sz w:val="20"/>
        </w:rPr>
        <w:t xml:space="preserve"> </w:t>
      </w:r>
      <w:r>
        <w:rPr>
          <w:rFonts w:ascii="Times New Roman" w:hAnsi="Times New Roman" w:eastAsia="Times New Roman"/>
          <w:i/>
          <w:iCs/>
          <w:sz w:val="20"/>
        </w:rPr>
        <w:t xml:space="preserve">Journal of Mountain Science</w:t>
      </w:r>
      <w:r>
        <w:rPr>
          <w:rFonts w:ascii="Times New Roman" w:hAnsi="Times New Roman" w:eastAsia="Times New Roman"/>
          <w:sz w:val="20"/>
        </w:rPr>
        <w:t xml:space="preserve"> </w:t>
      </w:r>
      <w:r>
        <w:rPr>
          <w:rFonts w:ascii="Times New Roman" w:hAnsi="Times New Roman" w:eastAsia="Times New Roman"/>
          <w:sz w:val="20"/>
        </w:rPr>
        <w:t xml:space="preserve">22 (3): 763–75.</w:t>
      </w:r>
      <w:r>
        <w:rPr>
          <w:rFonts w:ascii="Times New Roman" w:hAnsi="Times New Roman" w:eastAsia="Times New Roman"/>
          <w:sz w:val="20"/>
        </w:rPr>
        <w:t xml:space="preserve"> </w:t>
      </w:r>
      <w:hyperlink r:id="rId70">
        <w:r>
          <w:rPr>
            <w:rStyle w:val="Hyperlink"/>
          </w:rPr>
          <w:t xml:space="preserve">https://doi.org/10.1007/s11629-024-9096-8</w:t>
        </w:r>
      </w:hyperlink>
      <w:r>
        <w:rPr>
          <w:rFonts w:ascii="Times New Roman" w:hAnsi="Times New Roman" w:eastAsia="Times New Roman"/>
          <w:sz w:val="20"/>
        </w:rPr>
        <w:t xml:space="preserve">.</w:t>
      </w:r>
    </w:p>
    <w:bookmarkEnd w:id="71"/>
    <w:bookmarkStart w:id="73" w:name="ref-avalcd_dataset"/>
    <w:p>
      <w:pPr>
        <w:pStyle w:val="Bibliography"/>
        <w:spacing w:after="0" w:line="240" w:lineRule="auto"/>
      </w:pPr>
      <w:r>
        <w:rPr>
          <w:rFonts w:ascii="Times New Roman" w:hAnsi="Times New Roman" w:eastAsia="Times New Roman"/>
          <w:sz w:val="20"/>
        </w:rPr>
        <w:t xml:space="preserve">Gatti, Mattia. 2026.</w:t>
      </w:r>
      <w:r>
        <w:rPr>
          <w:rFonts w:ascii="Times New Roman" w:hAnsi="Times New Roman" w:eastAsia="Times New Roman"/>
          <w:sz w:val="20"/>
        </w:rPr>
        <w:t xml:space="preserve"> </w:t>
      </w:r>
      <w:r>
        <w:rPr>
          <w:rFonts w:ascii="Times New Roman" w:hAnsi="Times New Roman" w:eastAsia="Times New Roman"/>
          <w:sz w:val="20"/>
        </w:rPr>
        <w:t xml:space="preserve">“</w:t>
      </w:r>
      <w:r>
        <w:rPr>
          <w:rFonts w:ascii="Times New Roman" w:hAnsi="Times New Roman" w:eastAsia="Times New Roman"/>
          <w:sz w:val="20"/>
        </w:rPr>
        <w:t xml:space="preserve">AvalCD</w:t>
      </w:r>
      <w:r>
        <w:rPr>
          <w:rFonts w:ascii="Times New Roman" w:hAnsi="Times New Roman" w:eastAsia="Times New Roman"/>
          <w:sz w:val="20"/>
        </w:rPr>
        <w:t xml:space="preserve">.”</w:t>
      </w:r>
      <w:r>
        <w:rPr>
          <w:rFonts w:ascii="Times New Roman" w:hAnsi="Times New Roman" w:eastAsia="Times New Roman"/>
          <w:sz w:val="20"/>
        </w:rPr>
        <w:t xml:space="preserve"> </w:t>
      </w:r>
      <w:r>
        <w:rPr>
          <w:rFonts w:ascii="Times New Roman" w:hAnsi="Times New Roman" w:eastAsia="Times New Roman"/>
          <w:sz w:val="20"/>
        </w:rPr>
        <w:t xml:space="preserve">Zenodo.</w:t>
      </w:r>
      <w:r>
        <w:rPr>
          <w:rFonts w:ascii="Times New Roman" w:hAnsi="Times New Roman" w:eastAsia="Times New Roman"/>
          <w:sz w:val="20"/>
        </w:rPr>
        <w:t xml:space="preserve"> </w:t>
      </w:r>
      <w:hyperlink r:id="rId72">
        <w:r>
          <w:rPr>
            <w:rStyle w:val="Hyperlink"/>
          </w:rPr>
          <w:t xml:space="preserve">https://doi.org/10.5281/zenodo.15863589</w:t>
        </w:r>
      </w:hyperlink>
      <w:r>
        <w:rPr>
          <w:rFonts w:ascii="Times New Roman" w:hAnsi="Times New Roman" w:eastAsia="Times New Roman"/>
          <w:sz w:val="20"/>
        </w:rPr>
        <w:t xml:space="preserve">.</w:t>
      </w:r>
    </w:p>
    <w:bookmarkEnd w:id="73"/>
    <w:bookmarkStart w:id="75" w:name="ref-gatti2026avalanche"/>
    <w:p>
      <w:pPr>
        <w:pStyle w:val="Bibliography"/>
        <w:spacing w:after="0" w:line="240" w:lineRule="auto"/>
      </w:pPr>
      <w:r>
        <w:rPr>
          <w:rFonts w:ascii="Times New Roman" w:hAnsi="Times New Roman" w:eastAsia="Times New Roman"/>
          <w:sz w:val="20"/>
        </w:rPr>
        <w:t xml:space="preserve">Gatti, Mattia, Alberto Mariani, Ignazio Gallo, and Fabiano Monti. 2026.</w:t>
      </w:r>
      <w:r>
        <w:rPr>
          <w:rFonts w:ascii="Times New Roman" w:hAnsi="Times New Roman" w:eastAsia="Times New Roman"/>
          <w:sz w:val="20"/>
        </w:rPr>
        <w:t xml:space="preserve"> </w:t>
      </w:r>
      <w:r>
        <w:rPr>
          <w:rFonts w:ascii="Times New Roman" w:hAnsi="Times New Roman" w:eastAsia="Times New Roman"/>
          <w:sz w:val="20"/>
        </w:rPr>
        <w:t xml:space="preserve">“Large-Scale Avalanche Mapping from</w:t>
      </w:r>
      <w:r>
        <w:rPr>
          <w:rFonts w:ascii="Times New Roman" w:hAnsi="Times New Roman" w:eastAsia="Times New Roman"/>
          <w:sz w:val="20"/>
        </w:rPr>
        <w:t xml:space="preserve"> </w:t>
      </w:r>
      <w:r>
        <w:rPr>
          <w:rFonts w:ascii="Times New Roman" w:hAnsi="Times New Roman" w:eastAsia="Times New Roman"/>
          <w:sz w:val="20"/>
        </w:rPr>
        <w:t xml:space="preserve">SAR</w:t>
      </w:r>
      <w:r>
        <w:rPr>
          <w:rFonts w:ascii="Times New Roman" w:hAnsi="Times New Roman" w:eastAsia="Times New Roman"/>
          <w:sz w:val="20"/>
        </w:rPr>
        <w:t xml:space="preserve"> </w:t>
      </w:r>
      <w:r>
        <w:rPr>
          <w:rFonts w:ascii="Times New Roman" w:hAnsi="Times New Roman" w:eastAsia="Times New Roman"/>
          <w:sz w:val="20"/>
        </w:rPr>
        <w:t xml:space="preserve">Images with Deep Learning-Based Change Detection.”</w:t>
      </w:r>
      <w:r>
        <w:rPr>
          <w:rFonts w:ascii="Times New Roman" w:hAnsi="Times New Roman" w:eastAsia="Times New Roman"/>
          <w:sz w:val="20"/>
        </w:rPr>
        <w:t xml:space="preserve"> </w:t>
      </w:r>
      <w:r>
        <w:rPr>
          <w:rFonts w:ascii="Times New Roman" w:hAnsi="Times New Roman" w:eastAsia="Times New Roman"/>
          <w:i/>
          <w:iCs/>
          <w:sz w:val="20"/>
        </w:rPr>
        <w:t xml:space="preserve">arXiv Preprint arXiv:2603.22658</w:t>
      </w:r>
      <w:r>
        <w:rPr>
          <w:rFonts w:ascii="Times New Roman" w:hAnsi="Times New Roman" w:eastAsia="Times New Roman"/>
          <w:sz w:val="20"/>
        </w:rPr>
        <w:t xml:space="preserve">.</w:t>
      </w:r>
      <w:r>
        <w:rPr>
          <w:rFonts w:ascii="Times New Roman" w:hAnsi="Times New Roman" w:eastAsia="Times New Roman"/>
          <w:sz w:val="20"/>
        </w:rPr>
        <w:t xml:space="preserve"> </w:t>
      </w:r>
      <w:hyperlink r:id="rId74">
        <w:r>
          <w:rPr>
            <w:rStyle w:val="Hyperlink"/>
          </w:rPr>
          <w:t xml:space="preserve">https://arxiv.org/abs/2603.22658</w:t>
        </w:r>
      </w:hyperlink>
      <w:r>
        <w:rPr>
          <w:rFonts w:ascii="Times New Roman" w:hAnsi="Times New Roman" w:eastAsia="Times New Roman"/>
          <w:sz w:val="20"/>
        </w:rPr>
        <w:t xml:space="preserve">.</w:t>
      </w:r>
    </w:p>
    <w:bookmarkEnd w:id="75"/>
    <w:bookmarkStart w:id="77" w:name="ref-gelato2026promptable"/>
    <w:p>
      <w:pPr>
        <w:pStyle w:val="Bibliography"/>
        <w:spacing w:after="0" w:line="240" w:lineRule="auto"/>
      </w:pPr>
      <w:r>
        <w:rPr>
          <w:rFonts w:ascii="Times New Roman" w:hAnsi="Times New Roman" w:eastAsia="Times New Roman"/>
          <w:sz w:val="20"/>
        </w:rPr>
        <w:t xml:space="preserve">Gelato, Riccardo, Carlo Sgaravatti, Jakob Grahn, Giacomo Boracchi, and Filippo Maria Bianchi. 2026.</w:t>
      </w:r>
      <w:r>
        <w:rPr>
          <w:rFonts w:ascii="Times New Roman" w:hAnsi="Times New Roman" w:eastAsia="Times New Roman"/>
          <w:sz w:val="20"/>
        </w:rPr>
        <w:t xml:space="preserve"> </w:t>
      </w:r>
      <w:r>
        <w:rPr>
          <w:rFonts w:ascii="Times New Roman" w:hAnsi="Times New Roman" w:eastAsia="Times New Roman"/>
          <w:sz w:val="20"/>
        </w:rPr>
        <w:t xml:space="preserve">“Promptable Foundation Models for</w:t>
      </w:r>
      <w:r>
        <w:rPr>
          <w:rFonts w:ascii="Times New Roman" w:hAnsi="Times New Roman" w:eastAsia="Times New Roman"/>
          <w:sz w:val="20"/>
        </w:rPr>
        <w:t xml:space="preserve"> </w:t>
      </w:r>
      <w:r>
        <w:rPr>
          <w:rFonts w:ascii="Times New Roman" w:hAnsi="Times New Roman" w:eastAsia="Times New Roman"/>
          <w:sz w:val="20"/>
        </w:rPr>
        <w:t xml:space="preserve">SAR</w:t>
      </w:r>
      <w:r>
        <w:rPr>
          <w:rFonts w:ascii="Times New Roman" w:hAnsi="Times New Roman" w:eastAsia="Times New Roman"/>
          <w:sz w:val="20"/>
        </w:rPr>
        <w:t xml:space="preserve"> </w:t>
      </w:r>
      <w:r>
        <w:rPr>
          <w:rFonts w:ascii="Times New Roman" w:hAnsi="Times New Roman" w:eastAsia="Times New Roman"/>
          <w:sz w:val="20"/>
        </w:rPr>
        <w:t xml:space="preserve">Remote Sensing: Adapting the</w:t>
      </w:r>
      <w:r>
        <w:rPr>
          <w:rFonts w:ascii="Times New Roman" w:hAnsi="Times New Roman" w:eastAsia="Times New Roman"/>
          <w:sz w:val="20"/>
        </w:rPr>
        <w:t xml:space="preserve"> </w:t>
      </w:r>
      <w:r>
        <w:rPr>
          <w:rFonts w:ascii="Times New Roman" w:hAnsi="Times New Roman" w:eastAsia="Times New Roman"/>
          <w:sz w:val="20"/>
        </w:rPr>
        <w:t xml:space="preserve">Segment Anything Model</w:t>
      </w:r>
      <w:r>
        <w:rPr>
          <w:rFonts w:ascii="Times New Roman" w:hAnsi="Times New Roman" w:eastAsia="Times New Roman"/>
          <w:sz w:val="20"/>
        </w:rPr>
        <w:t xml:space="preserve"> </w:t>
      </w:r>
      <w:r>
        <w:rPr>
          <w:rFonts w:ascii="Times New Roman" w:hAnsi="Times New Roman" w:eastAsia="Times New Roman"/>
          <w:sz w:val="20"/>
        </w:rPr>
        <w:t xml:space="preserve">for Snow Avalanche Segmentation.”</w:t>
      </w:r>
      <w:r>
        <w:rPr>
          <w:rFonts w:ascii="Times New Roman" w:hAnsi="Times New Roman" w:eastAsia="Times New Roman"/>
          <w:sz w:val="20"/>
        </w:rPr>
        <w:t xml:space="preserve"> </w:t>
      </w:r>
      <w:r>
        <w:rPr>
          <w:rFonts w:ascii="Times New Roman" w:hAnsi="Times New Roman" w:eastAsia="Times New Roman"/>
          <w:i/>
          <w:iCs/>
          <w:sz w:val="20"/>
        </w:rPr>
        <w:t xml:space="preserve">Remote Sensing</w:t>
      </w:r>
      <w:r>
        <w:rPr>
          <w:rFonts w:ascii="Times New Roman" w:hAnsi="Times New Roman" w:eastAsia="Times New Roman"/>
          <w:sz w:val="20"/>
        </w:rPr>
        <w:t xml:space="preserve"> </w:t>
      </w:r>
      <w:r>
        <w:rPr>
          <w:rFonts w:ascii="Times New Roman" w:hAnsi="Times New Roman" w:eastAsia="Times New Roman"/>
          <w:sz w:val="20"/>
        </w:rPr>
        <w:t xml:space="preserve">18 (3): 519.</w:t>
      </w:r>
      <w:r>
        <w:rPr>
          <w:rFonts w:ascii="Times New Roman" w:hAnsi="Times New Roman" w:eastAsia="Times New Roman"/>
          <w:sz w:val="20"/>
        </w:rPr>
        <w:t xml:space="preserve"> </w:t>
      </w:r>
      <w:hyperlink r:id="rId76">
        <w:r>
          <w:rPr>
            <w:rStyle w:val="Hyperlink"/>
          </w:rPr>
          <w:t xml:space="preserve">https://doi.org/10.3390/rs18030519</w:t>
        </w:r>
      </w:hyperlink>
      <w:r>
        <w:rPr>
          <w:rFonts w:ascii="Times New Roman" w:hAnsi="Times New Roman" w:eastAsia="Times New Roman"/>
          <w:sz w:val="20"/>
        </w:rPr>
        <w:t xml:space="preserve">.</w:t>
      </w:r>
    </w:p>
    <w:bookmarkEnd w:id="77"/>
    <w:bookmarkStart w:id="79" w:name="ref-guo2025forecasting"/>
    <w:p>
      <w:pPr>
        <w:pStyle w:val="Bibliography"/>
        <w:spacing w:after="0" w:line="240" w:lineRule="auto"/>
      </w:pPr>
      <w:r>
        <w:rPr>
          <w:rFonts w:ascii="Times New Roman" w:hAnsi="Times New Roman" w:eastAsia="Times New Roman"/>
          <w:sz w:val="20"/>
        </w:rPr>
        <w:t xml:space="preserve">Guo, Fei, Zhi-zhen Xu, Jilei Hu, Jie Dou, Xiaowei Li, and Qinglin Yi. 2025.</w:t>
      </w:r>
      <w:r>
        <w:rPr>
          <w:rFonts w:ascii="Times New Roman" w:hAnsi="Times New Roman" w:eastAsia="Times New Roman"/>
          <w:sz w:val="20"/>
        </w:rPr>
        <w:t xml:space="preserve"> </w:t>
      </w:r>
      <w:r>
        <w:rPr>
          <w:rFonts w:ascii="Times New Roman" w:hAnsi="Times New Roman" w:eastAsia="Times New Roman"/>
          <w:sz w:val="20"/>
        </w:rPr>
        <w:t xml:space="preserve">“Forecasting Step-Like Landslide Displacement Through Diverse Monitoring Frequencies.”</w:t>
      </w:r>
      <w:r>
        <w:rPr>
          <w:rFonts w:ascii="Times New Roman" w:hAnsi="Times New Roman" w:eastAsia="Times New Roman"/>
          <w:sz w:val="20"/>
        </w:rPr>
        <w:t xml:space="preserve"> </w:t>
      </w:r>
      <w:r>
        <w:rPr>
          <w:rFonts w:ascii="Times New Roman" w:hAnsi="Times New Roman" w:eastAsia="Times New Roman"/>
          <w:i/>
          <w:iCs/>
          <w:sz w:val="20"/>
        </w:rPr>
        <w:t xml:space="preserve">Journal of Mountain Science</w:t>
      </w:r>
      <w:r>
        <w:rPr>
          <w:rFonts w:ascii="Times New Roman" w:hAnsi="Times New Roman" w:eastAsia="Times New Roman"/>
          <w:sz w:val="20"/>
        </w:rPr>
        <w:t xml:space="preserve"> </w:t>
      </w:r>
      <w:r>
        <w:rPr>
          <w:rFonts w:ascii="Times New Roman" w:hAnsi="Times New Roman" w:eastAsia="Times New Roman"/>
          <w:sz w:val="20"/>
        </w:rPr>
        <w:t xml:space="preserve">22 (1): 122–41.</w:t>
      </w:r>
      <w:r>
        <w:rPr>
          <w:rFonts w:ascii="Times New Roman" w:hAnsi="Times New Roman" w:eastAsia="Times New Roman"/>
          <w:sz w:val="20"/>
        </w:rPr>
        <w:t xml:space="preserve"> </w:t>
      </w:r>
      <w:hyperlink r:id="rId78">
        <w:r>
          <w:rPr>
            <w:rStyle w:val="Hyperlink"/>
          </w:rPr>
          <w:t xml:space="preserve">https://doi.org/10.1007/s11629-024-9064-3</w:t>
        </w:r>
      </w:hyperlink>
      <w:r>
        <w:rPr>
          <w:rFonts w:ascii="Times New Roman" w:hAnsi="Times New Roman" w:eastAsia="Times New Roman"/>
          <w:sz w:val="20"/>
        </w:rPr>
        <w:t xml:space="preserve">.</w:t>
      </w:r>
    </w:p>
    <w:bookmarkEnd w:id="79"/>
    <w:bookmarkStart w:id="81" w:name="ref-guo2024landslide"/>
    <w:p>
      <w:pPr>
        <w:pStyle w:val="Bibliography"/>
        <w:spacing w:after="0" w:line="240" w:lineRule="auto"/>
      </w:pPr>
      <w:r>
        <w:rPr>
          <w:rFonts w:ascii="Times New Roman" w:hAnsi="Times New Roman" w:eastAsia="Times New Roman"/>
          <w:sz w:val="20"/>
        </w:rPr>
        <w:t xml:space="preserve">Guo, Junqi, Wenfei Xi, Zhiquan Yang, et al. 2024.</w:t>
      </w:r>
      <w:r>
        <w:rPr>
          <w:rFonts w:ascii="Times New Roman" w:hAnsi="Times New Roman" w:eastAsia="Times New Roman"/>
          <w:sz w:val="20"/>
        </w:rPr>
        <w:t xml:space="preserve"> </w:t>
      </w:r>
      <w:r>
        <w:rPr>
          <w:rFonts w:ascii="Times New Roman" w:hAnsi="Times New Roman" w:eastAsia="Times New Roman"/>
          <w:sz w:val="20"/>
        </w:rPr>
        <w:t xml:space="preserve">“Landslide Hazard Susceptibility Evaluation Based on</w:t>
      </w:r>
      <w:r>
        <w:rPr>
          <w:rFonts w:ascii="Times New Roman" w:hAnsi="Times New Roman" w:eastAsia="Times New Roman"/>
          <w:sz w:val="20"/>
        </w:rPr>
        <w:t xml:space="preserve"> </w:t>
      </w:r>
      <w:r>
        <w:rPr>
          <w:rFonts w:ascii="Times New Roman" w:hAnsi="Times New Roman" w:eastAsia="Times New Roman"/>
          <w:sz w:val="20"/>
        </w:rPr>
        <w:t xml:space="preserve">SBAS-InSAR</w:t>
      </w:r>
      <w:r>
        <w:rPr>
          <w:rFonts w:ascii="Times New Roman" w:hAnsi="Times New Roman" w:eastAsia="Times New Roman"/>
          <w:sz w:val="20"/>
        </w:rPr>
        <w:t xml:space="preserve"> </w:t>
      </w:r>
      <w:r>
        <w:rPr>
          <w:rFonts w:ascii="Times New Roman" w:hAnsi="Times New Roman" w:eastAsia="Times New Roman"/>
          <w:sz w:val="20"/>
        </w:rPr>
        <w:t xml:space="preserve">Technology and</w:t>
      </w:r>
      <w:r>
        <w:rPr>
          <w:rFonts w:ascii="Times New Roman" w:hAnsi="Times New Roman" w:eastAsia="Times New Roman"/>
          <w:sz w:val="20"/>
        </w:rPr>
        <w:t xml:space="preserve"> </w:t>
      </w:r>
      <w:r>
        <w:rPr>
          <w:rFonts w:ascii="Times New Roman" w:hAnsi="Times New Roman" w:eastAsia="Times New Roman"/>
          <w:sz w:val="20"/>
        </w:rPr>
        <w:t xml:space="preserve">SSA-BP</w:t>
      </w:r>
      <w:r>
        <w:rPr>
          <w:rFonts w:ascii="Times New Roman" w:hAnsi="Times New Roman" w:eastAsia="Times New Roman"/>
          <w:sz w:val="20"/>
        </w:rPr>
        <w:t xml:space="preserve"> </w:t>
      </w:r>
      <w:r>
        <w:rPr>
          <w:rFonts w:ascii="Times New Roman" w:hAnsi="Times New Roman" w:eastAsia="Times New Roman"/>
          <w:sz w:val="20"/>
        </w:rPr>
        <w:t xml:space="preserve">Neural Network Algorithm: A Case Study of</w:t>
      </w:r>
      <w:r>
        <w:rPr>
          <w:rFonts w:ascii="Times New Roman" w:hAnsi="Times New Roman" w:eastAsia="Times New Roman"/>
          <w:sz w:val="20"/>
        </w:rPr>
        <w:t xml:space="preserve"> </w:t>
      </w:r>
      <w:r>
        <w:rPr>
          <w:rFonts w:ascii="Times New Roman" w:hAnsi="Times New Roman" w:eastAsia="Times New Roman"/>
          <w:sz w:val="20"/>
        </w:rPr>
        <w:t xml:space="preserve">Baihetan Reservoir Area</w:t>
      </w:r>
      <w:r>
        <w:rPr>
          <w:rFonts w:ascii="Times New Roman" w:hAnsi="Times New Roman" w:eastAsia="Times New Roman"/>
          <w:sz w:val="20"/>
        </w:rPr>
        <w:t xml:space="preserve">.”</w:t>
      </w:r>
      <w:r>
        <w:rPr>
          <w:rFonts w:ascii="Times New Roman" w:hAnsi="Times New Roman" w:eastAsia="Times New Roman"/>
          <w:sz w:val="20"/>
        </w:rPr>
        <w:t xml:space="preserve"> </w:t>
      </w:r>
      <w:r>
        <w:rPr>
          <w:rFonts w:ascii="Times New Roman" w:hAnsi="Times New Roman" w:eastAsia="Times New Roman"/>
          <w:i/>
          <w:iCs/>
          <w:sz w:val="20"/>
        </w:rPr>
        <w:t xml:space="preserve">Journal of Mountain Science</w:t>
      </w:r>
      <w:r>
        <w:rPr>
          <w:rFonts w:ascii="Times New Roman" w:hAnsi="Times New Roman" w:eastAsia="Times New Roman"/>
          <w:sz w:val="20"/>
        </w:rPr>
        <w:t xml:space="preserve"> </w:t>
      </w:r>
      <w:r>
        <w:rPr>
          <w:rFonts w:ascii="Times New Roman" w:hAnsi="Times New Roman" w:eastAsia="Times New Roman"/>
          <w:sz w:val="20"/>
        </w:rPr>
        <w:t xml:space="preserve">21 (3): 952–72.</w:t>
      </w:r>
      <w:r>
        <w:rPr>
          <w:rFonts w:ascii="Times New Roman" w:hAnsi="Times New Roman" w:eastAsia="Times New Roman"/>
          <w:sz w:val="20"/>
        </w:rPr>
        <w:t xml:space="preserve"> </w:t>
      </w:r>
      <w:hyperlink r:id="rId80">
        <w:r>
          <w:rPr>
            <w:rStyle w:val="Hyperlink"/>
          </w:rPr>
          <w:t xml:space="preserve">https://doi.org/10.1007/s11629-023-8083-9</w:t>
        </w:r>
      </w:hyperlink>
      <w:r>
        <w:rPr>
          <w:rFonts w:ascii="Times New Roman" w:hAnsi="Times New Roman" w:eastAsia="Times New Roman"/>
          <w:sz w:val="20"/>
        </w:rPr>
        <w:t xml:space="preserve">.</w:t>
      </w:r>
    </w:p>
    <w:bookmarkEnd w:id="81"/>
    <w:bookmarkStart w:id="83" w:name="ref-liu2021object"/>
    <w:p>
      <w:pPr>
        <w:pStyle w:val="Bibliography"/>
        <w:spacing w:after="0" w:line="240" w:lineRule="auto"/>
      </w:pPr>
      <w:r>
        <w:rPr>
          <w:rFonts w:ascii="Times New Roman" w:hAnsi="Times New Roman" w:eastAsia="Times New Roman"/>
          <w:sz w:val="20"/>
        </w:rPr>
        <w:t xml:space="preserve">Liu, Yang, Xi Chen, Yubao Qiu, Jiansheng Hao, Jinming Yang, and Lanhai Li. 2021.</w:t>
      </w:r>
      <w:r>
        <w:rPr>
          <w:rFonts w:ascii="Times New Roman" w:hAnsi="Times New Roman" w:eastAsia="Times New Roman"/>
          <w:sz w:val="20"/>
        </w:rPr>
        <w:t xml:space="preserve"> </w:t>
      </w:r>
      <w:r>
        <w:rPr>
          <w:rFonts w:ascii="Times New Roman" w:hAnsi="Times New Roman" w:eastAsia="Times New Roman"/>
          <w:sz w:val="20"/>
        </w:rPr>
        <w:t xml:space="preserve">“Mapping Snow Avalanche Debris by Object-Based Classification in Mountainous Regions from</w:t>
      </w:r>
      <w:r>
        <w:rPr>
          <w:rFonts w:ascii="Times New Roman" w:hAnsi="Times New Roman" w:eastAsia="Times New Roman"/>
          <w:sz w:val="20"/>
        </w:rPr>
        <w:t xml:space="preserve"> </w:t>
      </w:r>
      <w:r>
        <w:rPr>
          <w:rFonts w:ascii="Times New Roman" w:hAnsi="Times New Roman" w:eastAsia="Times New Roman"/>
          <w:sz w:val="20"/>
        </w:rPr>
        <w:t xml:space="preserve">Sentinel-1</w:t>
      </w:r>
      <w:r>
        <w:rPr>
          <w:rFonts w:ascii="Times New Roman" w:hAnsi="Times New Roman" w:eastAsia="Times New Roman"/>
          <w:sz w:val="20"/>
        </w:rPr>
        <w:t xml:space="preserve"> </w:t>
      </w:r>
      <w:r>
        <w:rPr>
          <w:rFonts w:ascii="Times New Roman" w:hAnsi="Times New Roman" w:eastAsia="Times New Roman"/>
          <w:sz w:val="20"/>
        </w:rPr>
        <w:t xml:space="preserve">Images and Causative Indices.”</w:t>
      </w:r>
      <w:r>
        <w:rPr>
          <w:rFonts w:ascii="Times New Roman" w:hAnsi="Times New Roman" w:eastAsia="Times New Roman"/>
          <w:sz w:val="20"/>
        </w:rPr>
        <w:t xml:space="preserve"> </w:t>
      </w:r>
      <w:r>
        <w:rPr>
          <w:rFonts w:ascii="Times New Roman" w:hAnsi="Times New Roman" w:eastAsia="Times New Roman"/>
          <w:i/>
          <w:iCs/>
          <w:sz w:val="20"/>
        </w:rPr>
        <w:t xml:space="preserve">CATENA</w:t>
      </w:r>
      <w:r>
        <w:rPr>
          <w:rFonts w:ascii="Times New Roman" w:hAnsi="Times New Roman" w:eastAsia="Times New Roman"/>
          <w:sz w:val="20"/>
        </w:rPr>
        <w:t xml:space="preserve"> </w:t>
      </w:r>
      <w:r>
        <w:rPr>
          <w:rFonts w:ascii="Times New Roman" w:hAnsi="Times New Roman" w:eastAsia="Times New Roman"/>
          <w:sz w:val="20"/>
        </w:rPr>
        <w:t xml:space="preserve">206: 105559.</w:t>
      </w:r>
      <w:r>
        <w:rPr>
          <w:rFonts w:ascii="Times New Roman" w:hAnsi="Times New Roman" w:eastAsia="Times New Roman"/>
          <w:sz w:val="20"/>
        </w:rPr>
        <w:t xml:space="preserve"> </w:t>
      </w:r>
      <w:hyperlink r:id="rId82">
        <w:r>
          <w:rPr>
            <w:rStyle w:val="Hyperlink"/>
          </w:rPr>
          <w:t xml:space="preserve">https://doi.org/10.1016/j.catena.2021.105559</w:t>
        </w:r>
      </w:hyperlink>
      <w:r>
        <w:rPr>
          <w:rFonts w:ascii="Times New Roman" w:hAnsi="Times New Roman" w:eastAsia="Times New Roman"/>
          <w:sz w:val="20"/>
        </w:rPr>
        <w:t xml:space="preserve">.</w:t>
      </w:r>
    </w:p>
    <w:bookmarkEnd w:id="83"/>
    <w:bookmarkStart w:id="85" w:name="ref-openstreetmap2026"/>
    <w:p>
      <w:pPr>
        <w:pStyle w:val="Bibliography"/>
        <w:spacing w:after="0" w:line="240" w:lineRule="auto"/>
      </w:pPr>
      <w:r>
        <w:rPr>
          <w:rFonts w:ascii="Times New Roman" w:hAnsi="Times New Roman" w:eastAsia="Times New Roman"/>
          <w:sz w:val="20"/>
        </w:rPr>
        <w:t xml:space="preserve">OpenStreetMap contributors. 2026.</w:t>
      </w:r>
      <w:r>
        <w:rPr>
          <w:rFonts w:ascii="Times New Roman" w:hAnsi="Times New Roman" w:eastAsia="Times New Roman"/>
          <w:sz w:val="20"/>
        </w:rPr>
        <w:t xml:space="preserve"> </w:t>
      </w:r>
      <w:r>
        <w:rPr>
          <w:rFonts w:ascii="Times New Roman" w:hAnsi="Times New Roman" w:eastAsia="Times New Roman"/>
          <w:i/>
          <w:iCs/>
          <w:sz w:val="20"/>
        </w:rPr>
        <w:t xml:space="preserve">OpenStreetMap</w:t>
      </w:r>
      <w:r>
        <w:rPr>
          <w:rFonts w:ascii="Times New Roman" w:hAnsi="Times New Roman" w:eastAsia="Times New Roman"/>
          <w:sz w:val="20"/>
        </w:rPr>
        <w:t xml:space="preserve">.</w:t>
      </w:r>
      <w:r>
        <w:rPr>
          <w:rFonts w:ascii="Times New Roman" w:hAnsi="Times New Roman" w:eastAsia="Times New Roman"/>
          <w:sz w:val="20"/>
        </w:rPr>
        <w:t xml:space="preserve"> </w:t>
      </w:r>
      <w:hyperlink r:id="rId84">
        <w:r>
          <w:rPr>
            <w:rStyle w:val="Hyperlink"/>
          </w:rPr>
          <w:t xml:space="preserve">Https://www.openstreetmap.org/copyright</w:t>
        </w:r>
      </w:hyperlink>
      <w:r>
        <w:rPr>
          <w:rFonts w:ascii="Times New Roman" w:hAnsi="Times New Roman" w:eastAsia="Times New Roman"/>
          <w:sz w:val="20"/>
        </w:rPr>
        <w:t xml:space="preserve">.</w:t>
      </w:r>
    </w:p>
    <w:bookmarkEnd w:id="85"/>
    <w:bookmarkStart w:id="87" w:name="ref-sajjad2024assessing"/>
    <w:p>
      <w:pPr>
        <w:pStyle w:val="Bibliography"/>
        <w:spacing w:after="0" w:line="240" w:lineRule="auto"/>
      </w:pPr>
      <w:r>
        <w:rPr>
          <w:rFonts w:ascii="Times New Roman" w:hAnsi="Times New Roman" w:eastAsia="Times New Roman"/>
          <w:sz w:val="20"/>
        </w:rPr>
        <w:t xml:space="preserve">Sajjad, Meer Muhammad, Juanle Wang, Daqing Ge, Rehan Khan, Izhar Ahmed, and Khan Zada. 2024.</w:t>
      </w:r>
      <w:r>
        <w:rPr>
          <w:rFonts w:ascii="Times New Roman" w:hAnsi="Times New Roman" w:eastAsia="Times New Roman"/>
          <w:sz w:val="20"/>
        </w:rPr>
        <w:t xml:space="preserve"> </w:t>
      </w:r>
      <w:r>
        <w:rPr>
          <w:rFonts w:ascii="Times New Roman" w:hAnsi="Times New Roman" w:eastAsia="Times New Roman"/>
          <w:sz w:val="20"/>
        </w:rPr>
        <w:t xml:space="preserve">“Assessing the Potential Landslide Risk Identification in the Northern Section of</w:t>
      </w:r>
      <w:r>
        <w:rPr>
          <w:rFonts w:ascii="Times New Roman" w:hAnsi="Times New Roman" w:eastAsia="Times New Roman"/>
          <w:sz w:val="20"/>
        </w:rPr>
        <w:t xml:space="preserve"> </w:t>
      </w:r>
      <w:r>
        <w:rPr>
          <w:rFonts w:ascii="Times New Roman" w:hAnsi="Times New Roman" w:eastAsia="Times New Roman"/>
          <w:sz w:val="20"/>
        </w:rPr>
        <w:t xml:space="preserve">CPEC</w:t>
      </w:r>
      <w:r>
        <w:rPr>
          <w:rFonts w:ascii="Times New Roman" w:hAnsi="Times New Roman" w:eastAsia="Times New Roman"/>
          <w:sz w:val="20"/>
        </w:rPr>
        <w:t xml:space="preserve"> </w:t>
      </w:r>
      <w:r>
        <w:rPr>
          <w:rFonts w:ascii="Times New Roman" w:hAnsi="Times New Roman" w:eastAsia="Times New Roman"/>
          <w:sz w:val="20"/>
        </w:rPr>
        <w:t xml:space="preserve">Route</w:t>
      </w:r>
      <w:r>
        <w:rPr>
          <w:rFonts w:ascii="Times New Roman" w:hAnsi="Times New Roman" w:eastAsia="Times New Roman"/>
          <w:sz w:val="20"/>
        </w:rPr>
        <w:t xml:space="preserve"> </w:t>
      </w:r>
      <w:r>
        <w:rPr>
          <w:rFonts w:ascii="Times New Roman" w:hAnsi="Times New Roman" w:eastAsia="Times New Roman"/>
          <w:sz w:val="20"/>
        </w:rPr>
        <w:t xml:space="preserve">Pakistan</w:t>
      </w:r>
      <w:r>
        <w:rPr>
          <w:rFonts w:ascii="Times New Roman" w:hAnsi="Times New Roman" w:eastAsia="Times New Roman"/>
          <w:sz w:val="20"/>
        </w:rPr>
        <w:t xml:space="preserve"> </w:t>
      </w:r>
      <w:r>
        <w:rPr>
          <w:rFonts w:ascii="Times New Roman" w:hAnsi="Times New Roman" w:eastAsia="Times New Roman"/>
          <w:sz w:val="20"/>
        </w:rPr>
        <w:t xml:space="preserve">Based on Multi-Temporal</w:t>
      </w:r>
      <w:r>
        <w:rPr>
          <w:rFonts w:ascii="Times New Roman" w:hAnsi="Times New Roman" w:eastAsia="Times New Roman"/>
          <w:sz w:val="20"/>
        </w:rPr>
        <w:t xml:space="preserve"> </w:t>
      </w:r>
      <w:r>
        <w:rPr>
          <w:rFonts w:ascii="Times New Roman" w:hAnsi="Times New Roman" w:eastAsia="Times New Roman"/>
          <w:sz w:val="20"/>
        </w:rPr>
        <w:t xml:space="preserve">InSAR</w:t>
      </w:r>
      <w:r>
        <w:rPr>
          <w:rFonts w:ascii="Times New Roman" w:hAnsi="Times New Roman" w:eastAsia="Times New Roman"/>
          <w:sz w:val="20"/>
        </w:rPr>
        <w:t xml:space="preserve"> </w:t>
      </w:r>
      <w:r>
        <w:rPr>
          <w:rFonts w:ascii="Times New Roman" w:hAnsi="Times New Roman" w:eastAsia="Times New Roman"/>
          <w:sz w:val="20"/>
        </w:rPr>
        <w:t xml:space="preserve">Approaches.”</w:t>
      </w:r>
      <w:r>
        <w:rPr>
          <w:rFonts w:ascii="Times New Roman" w:hAnsi="Times New Roman" w:eastAsia="Times New Roman"/>
          <w:sz w:val="20"/>
        </w:rPr>
        <w:t xml:space="preserve"> </w:t>
      </w:r>
      <w:r>
        <w:rPr>
          <w:rFonts w:ascii="Times New Roman" w:hAnsi="Times New Roman" w:eastAsia="Times New Roman"/>
          <w:i/>
          <w:iCs/>
          <w:sz w:val="20"/>
        </w:rPr>
        <w:t xml:space="preserve">Journal of Mountain Science</w:t>
      </w:r>
      <w:r>
        <w:rPr>
          <w:rFonts w:ascii="Times New Roman" w:hAnsi="Times New Roman" w:eastAsia="Times New Roman"/>
          <w:sz w:val="20"/>
        </w:rPr>
        <w:t xml:space="preserve"> </w:t>
      </w:r>
      <w:r>
        <w:rPr>
          <w:rFonts w:ascii="Times New Roman" w:hAnsi="Times New Roman" w:eastAsia="Times New Roman"/>
          <w:sz w:val="20"/>
        </w:rPr>
        <w:t xml:space="preserve">21 (12): 4131–48.</w:t>
      </w:r>
      <w:r>
        <w:rPr>
          <w:rFonts w:ascii="Times New Roman" w:hAnsi="Times New Roman" w:eastAsia="Times New Roman"/>
          <w:sz w:val="20"/>
        </w:rPr>
        <w:t xml:space="preserve"> </w:t>
      </w:r>
      <w:hyperlink r:id="rId86">
        <w:r>
          <w:rPr>
            <w:rStyle w:val="Hyperlink"/>
          </w:rPr>
          <w:t xml:space="preserve">https://doi.org/10.1007/s11629-024-8871-x</w:t>
        </w:r>
      </w:hyperlink>
      <w:r>
        <w:rPr>
          <w:rFonts w:ascii="Times New Roman" w:hAnsi="Times New Roman" w:eastAsia="Times New Roman"/>
          <w:sz w:val="20"/>
        </w:rPr>
        <w:t xml:space="preserve">.</w:t>
      </w:r>
    </w:p>
    <w:bookmarkEnd w:id="87"/>
    <w:bookmarkStart w:id="89" w:name="ref-small2011flattening"/>
    <w:p>
      <w:pPr>
        <w:pStyle w:val="Bibliography"/>
        <w:spacing w:after="0" w:line="240" w:lineRule="auto"/>
      </w:pPr>
      <w:r>
        <w:rPr>
          <w:rFonts w:ascii="Times New Roman" w:hAnsi="Times New Roman" w:eastAsia="Times New Roman"/>
          <w:sz w:val="20"/>
        </w:rPr>
        <w:t xml:space="preserve">Small, David. 2011.</w:t>
      </w:r>
      <w:r>
        <w:rPr>
          <w:rFonts w:ascii="Times New Roman" w:hAnsi="Times New Roman" w:eastAsia="Times New Roman"/>
          <w:sz w:val="20"/>
        </w:rPr>
        <w:t xml:space="preserve"> </w:t>
      </w:r>
      <w:r>
        <w:rPr>
          <w:rFonts w:ascii="Times New Roman" w:hAnsi="Times New Roman" w:eastAsia="Times New Roman"/>
          <w:sz w:val="20"/>
        </w:rPr>
        <w:t xml:space="preserve">“Flattening</w:t>
      </w:r>
      <w:r>
        <w:rPr>
          <w:rFonts w:ascii="Times New Roman" w:hAnsi="Times New Roman" w:eastAsia="Times New Roman"/>
          <w:sz w:val="20"/>
        </w:rPr>
        <w:t xml:space="preserve"> </w:t>
      </w:r>
      <w:r>
        <w:rPr>
          <w:rFonts w:ascii="Times New Roman" w:hAnsi="Times New Roman" w:eastAsia="Times New Roman"/>
          <w:sz w:val="20"/>
        </w:rPr>
        <w:t xml:space="preserve">Gamma</w:t>
      </w:r>
      <w:r>
        <w:rPr>
          <w:rFonts w:ascii="Times New Roman" w:hAnsi="Times New Roman" w:eastAsia="Times New Roman"/>
          <w:sz w:val="20"/>
        </w:rPr>
        <w:t xml:space="preserve">: Radiometric Terrain Correction for</w:t>
      </w:r>
      <w:r>
        <w:rPr>
          <w:rFonts w:ascii="Times New Roman" w:hAnsi="Times New Roman" w:eastAsia="Times New Roman"/>
          <w:sz w:val="20"/>
        </w:rPr>
        <w:t xml:space="preserve"> </w:t>
      </w:r>
      <w:r>
        <w:rPr>
          <w:rFonts w:ascii="Times New Roman" w:hAnsi="Times New Roman" w:eastAsia="Times New Roman"/>
          <w:sz w:val="20"/>
        </w:rPr>
        <w:t xml:space="preserve">SAR</w:t>
      </w:r>
      <w:r>
        <w:rPr>
          <w:rFonts w:ascii="Times New Roman" w:hAnsi="Times New Roman" w:eastAsia="Times New Roman"/>
          <w:sz w:val="20"/>
        </w:rPr>
        <w:t xml:space="preserve"> </w:t>
      </w:r>
      <w:r>
        <w:rPr>
          <w:rFonts w:ascii="Times New Roman" w:hAnsi="Times New Roman" w:eastAsia="Times New Roman"/>
          <w:sz w:val="20"/>
        </w:rPr>
        <w:t xml:space="preserve">Imagery.”</w:t>
      </w:r>
      <w:r>
        <w:rPr>
          <w:rFonts w:ascii="Times New Roman" w:hAnsi="Times New Roman" w:eastAsia="Times New Roman"/>
          <w:sz w:val="20"/>
        </w:rPr>
        <w:t xml:space="preserve"> </w:t>
      </w:r>
      <w:r>
        <w:rPr>
          <w:rFonts w:ascii="Times New Roman" w:hAnsi="Times New Roman" w:eastAsia="Times New Roman"/>
          <w:i/>
          <w:iCs/>
          <w:sz w:val="20"/>
        </w:rPr>
        <w:t xml:space="preserve">IEEE Transactions on Geoscience and Remote Sensing</w:t>
      </w:r>
      <w:r>
        <w:rPr>
          <w:rFonts w:ascii="Times New Roman" w:hAnsi="Times New Roman" w:eastAsia="Times New Roman"/>
          <w:sz w:val="20"/>
        </w:rPr>
        <w:t xml:space="preserve"> </w:t>
      </w:r>
      <w:r>
        <w:rPr>
          <w:rFonts w:ascii="Times New Roman" w:hAnsi="Times New Roman" w:eastAsia="Times New Roman"/>
          <w:sz w:val="20"/>
        </w:rPr>
        <w:t xml:space="preserve">49 (8): 3081–93.</w:t>
      </w:r>
      <w:r>
        <w:rPr>
          <w:rFonts w:ascii="Times New Roman" w:hAnsi="Times New Roman" w:eastAsia="Times New Roman"/>
          <w:sz w:val="20"/>
        </w:rPr>
        <w:t xml:space="preserve"> </w:t>
      </w:r>
      <w:hyperlink r:id="rId88">
        <w:r>
          <w:rPr>
            <w:rStyle w:val="Hyperlink"/>
          </w:rPr>
          <w:t xml:space="preserve">https://doi.org/10.1109/TGRS.2011.2120616</w:t>
        </w:r>
      </w:hyperlink>
      <w:r>
        <w:rPr>
          <w:rFonts w:ascii="Times New Roman" w:hAnsi="Times New Roman" w:eastAsia="Times New Roman"/>
          <w:sz w:val="20"/>
        </w:rPr>
        <w:t xml:space="preserve">.</w:t>
      </w:r>
    </w:p>
    <w:bookmarkEnd w:id="89"/>
    <w:bookmarkStart w:id="91" w:name="ref-techel2018spatial"/>
    <w:p>
      <w:pPr>
        <w:pStyle w:val="Bibliography"/>
        <w:spacing w:after="0" w:line="240" w:lineRule="auto"/>
      </w:pPr>
      <w:r>
        <w:rPr>
          <w:rFonts w:ascii="Times New Roman" w:hAnsi="Times New Roman" w:eastAsia="Times New Roman"/>
          <w:sz w:val="20"/>
        </w:rPr>
        <w:t xml:space="preserve">Techel, Frank, Christoph Mitterer, Elisabetta Ceaglio, et al. 2018.</w:t>
      </w:r>
      <w:r>
        <w:rPr>
          <w:rFonts w:ascii="Times New Roman" w:hAnsi="Times New Roman" w:eastAsia="Times New Roman"/>
          <w:sz w:val="20"/>
        </w:rPr>
        <w:t xml:space="preserve"> </w:t>
      </w:r>
      <w:r>
        <w:rPr>
          <w:rFonts w:ascii="Times New Roman" w:hAnsi="Times New Roman" w:eastAsia="Times New Roman"/>
          <w:sz w:val="20"/>
        </w:rPr>
        <w:t xml:space="preserve">“Spatial Consistency and Bias in Avalanche Forecasts—a Case Study in the</w:t>
      </w:r>
      <w:r>
        <w:rPr>
          <w:rFonts w:ascii="Times New Roman" w:hAnsi="Times New Roman" w:eastAsia="Times New Roman"/>
          <w:sz w:val="20"/>
        </w:rPr>
        <w:t xml:space="preserve"> </w:t>
      </w:r>
      <w:r>
        <w:rPr>
          <w:rFonts w:ascii="Times New Roman" w:hAnsi="Times New Roman" w:eastAsia="Times New Roman"/>
          <w:sz w:val="20"/>
        </w:rPr>
        <w:t xml:space="preserve">European Alps</w:t>
      </w:r>
      <w:r>
        <w:rPr>
          <w:rFonts w:ascii="Times New Roman" w:hAnsi="Times New Roman" w:eastAsia="Times New Roman"/>
          <w:sz w:val="20"/>
        </w:rPr>
        <w:t xml:space="preserve">.”</w:t>
      </w:r>
      <w:r>
        <w:rPr>
          <w:rFonts w:ascii="Times New Roman" w:hAnsi="Times New Roman" w:eastAsia="Times New Roman"/>
          <w:sz w:val="20"/>
        </w:rPr>
        <w:t xml:space="preserve"> </w:t>
      </w:r>
      <w:r>
        <w:rPr>
          <w:rFonts w:ascii="Times New Roman" w:hAnsi="Times New Roman" w:eastAsia="Times New Roman"/>
          <w:i/>
          <w:iCs/>
          <w:sz w:val="20"/>
        </w:rPr>
        <w:t xml:space="preserve">Natural Hazards and Earth System Sciences</w:t>
      </w:r>
      <w:r>
        <w:rPr>
          <w:rFonts w:ascii="Times New Roman" w:hAnsi="Times New Roman" w:eastAsia="Times New Roman"/>
          <w:sz w:val="20"/>
        </w:rPr>
        <w:t xml:space="preserve"> </w:t>
      </w:r>
      <w:r>
        <w:rPr>
          <w:rFonts w:ascii="Times New Roman" w:hAnsi="Times New Roman" w:eastAsia="Times New Roman"/>
          <w:sz w:val="20"/>
        </w:rPr>
        <w:t xml:space="preserve">18 (10): 2697–716.</w:t>
      </w:r>
      <w:r>
        <w:rPr>
          <w:rFonts w:ascii="Times New Roman" w:hAnsi="Times New Roman" w:eastAsia="Times New Roman"/>
          <w:sz w:val="20"/>
        </w:rPr>
        <w:t xml:space="preserve"> </w:t>
      </w:r>
      <w:hyperlink r:id="rId90">
        <w:r>
          <w:rPr>
            <w:rStyle w:val="Hyperlink"/>
          </w:rPr>
          <w:t xml:space="preserve">https://doi.org/10.5194/nhess-18-2697-2018</w:t>
        </w:r>
      </w:hyperlink>
      <w:r>
        <w:rPr>
          <w:rFonts w:ascii="Times New Roman" w:hAnsi="Times New Roman" w:eastAsia="Times New Roman"/>
          <w:sz w:val="20"/>
        </w:rPr>
        <w:t xml:space="preserve">.</w:t>
      </w:r>
    </w:p>
    <w:bookmarkEnd w:id="91"/>
    <w:bookmarkStart w:id="93" w:name="ref-tompkin2021backscatter"/>
    <w:p>
      <w:pPr>
        <w:pStyle w:val="Bibliography"/>
        <w:spacing w:after="0" w:line="240" w:lineRule="auto"/>
      </w:pPr>
      <w:r>
        <w:rPr>
          <w:rFonts w:ascii="Times New Roman" w:hAnsi="Times New Roman" w:eastAsia="Times New Roman"/>
          <w:sz w:val="20"/>
        </w:rPr>
        <w:t xml:space="preserve">Tompkin, Cedric, and Silvan Leinss. 2021.</w:t>
      </w:r>
      <w:r>
        <w:rPr>
          <w:rFonts w:ascii="Times New Roman" w:hAnsi="Times New Roman" w:eastAsia="Times New Roman"/>
          <w:sz w:val="20"/>
        </w:rPr>
        <w:t xml:space="preserve"> </w:t>
      </w:r>
      <w:r>
        <w:rPr>
          <w:rFonts w:ascii="Times New Roman" w:hAnsi="Times New Roman" w:eastAsia="Times New Roman"/>
          <w:sz w:val="20"/>
        </w:rPr>
        <w:t xml:space="preserve">“Backscatter Characteristics of Snow Avalanches for Mapping with Local Resolution Weighting.”</w:t>
      </w:r>
      <w:r>
        <w:rPr>
          <w:rFonts w:ascii="Times New Roman" w:hAnsi="Times New Roman" w:eastAsia="Times New Roman"/>
          <w:sz w:val="20"/>
        </w:rPr>
        <w:t xml:space="preserve"> </w:t>
      </w:r>
      <w:r>
        <w:rPr>
          <w:rFonts w:ascii="Times New Roman" w:hAnsi="Times New Roman" w:eastAsia="Times New Roman"/>
          <w:i/>
          <w:iCs/>
          <w:sz w:val="20"/>
        </w:rPr>
        <w:t xml:space="preserve">IEEE Journal of Selected Topics in Applied Earth Observations and Remote Sensing</w:t>
      </w:r>
      <w:r>
        <w:rPr>
          <w:rFonts w:ascii="Times New Roman" w:hAnsi="Times New Roman" w:eastAsia="Times New Roman"/>
          <w:sz w:val="20"/>
        </w:rPr>
        <w:t xml:space="preserve"> </w:t>
      </w:r>
      <w:r>
        <w:rPr>
          <w:rFonts w:ascii="Times New Roman" w:hAnsi="Times New Roman" w:eastAsia="Times New Roman"/>
          <w:sz w:val="20"/>
        </w:rPr>
        <w:t xml:space="preserve">14: 4452–64.</w:t>
      </w:r>
      <w:r>
        <w:rPr>
          <w:rFonts w:ascii="Times New Roman" w:hAnsi="Times New Roman" w:eastAsia="Times New Roman"/>
          <w:sz w:val="20"/>
        </w:rPr>
        <w:t xml:space="preserve"> </w:t>
      </w:r>
      <w:hyperlink r:id="rId92">
        <w:r>
          <w:rPr>
            <w:rStyle w:val="Hyperlink"/>
          </w:rPr>
          <w:t xml:space="preserve">https://doi.org/10.1109/JSTARS.2021.3074418</w:t>
        </w:r>
      </w:hyperlink>
      <w:r>
        <w:rPr>
          <w:rFonts w:ascii="Times New Roman" w:hAnsi="Times New Roman" w:eastAsia="Times New Roman"/>
          <w:sz w:val="20"/>
        </w:rPr>
        <w:t xml:space="preserve">.</w:t>
      </w:r>
    </w:p>
    <w:bookmarkEnd w:id="93"/>
    <w:bookmarkStart w:id="95" w:name="ref-veitinger2014large"/>
    <w:p>
      <w:pPr>
        <w:pStyle w:val="Bibliography"/>
        <w:spacing w:after="0" w:line="240" w:lineRule="auto"/>
      </w:pPr>
      <w:r>
        <w:rPr>
          <w:rFonts w:ascii="Times New Roman" w:hAnsi="Times New Roman" w:eastAsia="Times New Roman"/>
          <w:sz w:val="20"/>
        </w:rPr>
        <w:t xml:space="preserve">Veitinger, J., B. Sovilla, and R. S. Purves. 2014.</w:t>
      </w:r>
      <w:r>
        <w:rPr>
          <w:rFonts w:ascii="Times New Roman" w:hAnsi="Times New Roman" w:eastAsia="Times New Roman"/>
          <w:sz w:val="20"/>
        </w:rPr>
        <w:t xml:space="preserve"> </w:t>
      </w:r>
      <w:r>
        <w:rPr>
          <w:rFonts w:ascii="Times New Roman" w:hAnsi="Times New Roman" w:eastAsia="Times New Roman"/>
          <w:sz w:val="20"/>
        </w:rPr>
        <w:t xml:space="preserve">“Influence of Snow Depth Distribution on Surface Roughness in Alpine Terrain: A Multi-Scale Approach.”</w:t>
      </w:r>
      <w:r>
        <w:rPr>
          <w:rFonts w:ascii="Times New Roman" w:hAnsi="Times New Roman" w:eastAsia="Times New Roman"/>
          <w:sz w:val="20"/>
        </w:rPr>
        <w:t xml:space="preserve"> </w:t>
      </w:r>
      <w:r>
        <w:rPr>
          <w:rFonts w:ascii="Times New Roman" w:hAnsi="Times New Roman" w:eastAsia="Times New Roman"/>
          <w:i/>
          <w:iCs/>
          <w:sz w:val="20"/>
        </w:rPr>
        <w:t xml:space="preserve">The Cryosphere</w:t>
      </w:r>
      <w:r>
        <w:rPr>
          <w:rFonts w:ascii="Times New Roman" w:hAnsi="Times New Roman" w:eastAsia="Times New Roman"/>
          <w:sz w:val="20"/>
        </w:rPr>
        <w:t xml:space="preserve"> </w:t>
      </w:r>
      <w:r>
        <w:rPr>
          <w:rFonts w:ascii="Times New Roman" w:hAnsi="Times New Roman" w:eastAsia="Times New Roman"/>
          <w:sz w:val="20"/>
        </w:rPr>
        <w:t xml:space="preserve">8 (2): 547–69.</w:t>
      </w:r>
      <w:r>
        <w:rPr>
          <w:rFonts w:ascii="Times New Roman" w:hAnsi="Times New Roman" w:eastAsia="Times New Roman"/>
          <w:sz w:val="20"/>
        </w:rPr>
        <w:t xml:space="preserve"> </w:t>
      </w:r>
      <w:hyperlink r:id="rId94">
        <w:r>
          <w:rPr>
            <w:rStyle w:val="Hyperlink"/>
          </w:rPr>
          <w:t xml:space="preserve">https://doi.org/10.5194/tc-8-547-2014</w:t>
        </w:r>
      </w:hyperlink>
      <w:r>
        <w:rPr>
          <w:rFonts w:ascii="Times New Roman" w:hAnsi="Times New Roman" w:eastAsia="Times New Roman"/>
          <w:sz w:val="20"/>
        </w:rPr>
        <w:t xml:space="preserve">.</w:t>
      </w:r>
    </w:p>
    <w:bookmarkEnd w:id="95"/>
    <w:bookmarkStart w:id="97" w:name="ref-vickers2016method"/>
    <w:p>
      <w:pPr>
        <w:pStyle w:val="Bibliography"/>
        <w:spacing w:after="0" w:line="240" w:lineRule="auto"/>
      </w:pPr>
      <w:r>
        <w:rPr>
          <w:rFonts w:ascii="Times New Roman" w:hAnsi="Times New Roman" w:eastAsia="Times New Roman"/>
          <w:sz w:val="20"/>
        </w:rPr>
        <w:t xml:space="preserve">Vickers, Hannah, Markus Eckerstorfer, Eirik Malnes, Yngvar Larsen, and Heidi Hindberg. 2016.</w:t>
      </w:r>
      <w:r>
        <w:rPr>
          <w:rFonts w:ascii="Times New Roman" w:hAnsi="Times New Roman" w:eastAsia="Times New Roman"/>
          <w:sz w:val="20"/>
        </w:rPr>
        <w:t xml:space="preserve"> </w:t>
      </w:r>
      <w:r>
        <w:rPr>
          <w:rFonts w:ascii="Times New Roman" w:hAnsi="Times New Roman" w:eastAsia="Times New Roman"/>
          <w:sz w:val="20"/>
        </w:rPr>
        <w:t xml:space="preserve">“A Method for Automated Snow Avalanche Debris Detection Through Use of Synthetic Aperture Radar (</w:t>
      </w:r>
      <w:r>
        <w:rPr>
          <w:rFonts w:ascii="Times New Roman" w:hAnsi="Times New Roman" w:eastAsia="Times New Roman"/>
          <w:sz w:val="20"/>
        </w:rPr>
        <w:t xml:space="preserve">SAR</w:t>
      </w:r>
      <w:r>
        <w:rPr>
          <w:rFonts w:ascii="Times New Roman" w:hAnsi="Times New Roman" w:eastAsia="Times New Roman"/>
          <w:sz w:val="20"/>
        </w:rPr>
        <w:t xml:space="preserve">) Imaging.”</w:t>
      </w:r>
      <w:r>
        <w:rPr>
          <w:rFonts w:ascii="Times New Roman" w:hAnsi="Times New Roman" w:eastAsia="Times New Roman"/>
          <w:sz w:val="20"/>
        </w:rPr>
        <w:t xml:space="preserve"> </w:t>
      </w:r>
      <w:r>
        <w:rPr>
          <w:rFonts w:ascii="Times New Roman" w:hAnsi="Times New Roman" w:eastAsia="Times New Roman"/>
          <w:i/>
          <w:iCs/>
          <w:sz w:val="20"/>
        </w:rPr>
        <w:t xml:space="preserve">Earth and Space Science</w:t>
      </w:r>
      <w:r>
        <w:rPr>
          <w:rFonts w:ascii="Times New Roman" w:hAnsi="Times New Roman" w:eastAsia="Times New Roman"/>
          <w:sz w:val="20"/>
        </w:rPr>
        <w:t xml:space="preserve"> </w:t>
      </w:r>
      <w:r>
        <w:rPr>
          <w:rFonts w:ascii="Times New Roman" w:hAnsi="Times New Roman" w:eastAsia="Times New Roman"/>
          <w:sz w:val="20"/>
        </w:rPr>
        <w:t xml:space="preserve">3 (11): 446–62.</w:t>
      </w:r>
      <w:r>
        <w:rPr>
          <w:rFonts w:ascii="Times New Roman" w:hAnsi="Times New Roman" w:eastAsia="Times New Roman"/>
          <w:sz w:val="20"/>
        </w:rPr>
        <w:t xml:space="preserve"> </w:t>
      </w:r>
      <w:hyperlink r:id="rId96">
        <w:r>
          <w:rPr>
            <w:rStyle w:val="Hyperlink"/>
          </w:rPr>
          <w:t xml:space="preserve">https://doi.org/10.1002/2016EA000168</w:t>
        </w:r>
      </w:hyperlink>
      <w:r>
        <w:rPr>
          <w:rFonts w:ascii="Times New Roman" w:hAnsi="Times New Roman" w:eastAsia="Times New Roman"/>
          <w:sz w:val="20"/>
        </w:rPr>
        <w:t xml:space="preserve">.</w:t>
      </w:r>
    </w:p>
    <w:bookmarkEnd w:id="97"/>
    <w:bookmarkStart w:id="99" w:name="ref-wang2023evaluation"/>
    <w:p>
      <w:pPr>
        <w:pStyle w:val="Bibliography"/>
        <w:spacing w:after="0" w:line="240" w:lineRule="auto"/>
      </w:pPr>
      <w:r>
        <w:rPr>
          <w:rFonts w:ascii="Times New Roman" w:hAnsi="Times New Roman" w:eastAsia="Times New Roman"/>
          <w:sz w:val="20"/>
        </w:rPr>
        <w:t xml:space="preserve">Wang, Di, Rong-hao Yang, Xiao Wang, et al. 2023.</w:t>
      </w:r>
      <w:r>
        <w:rPr>
          <w:rFonts w:ascii="Times New Roman" w:hAnsi="Times New Roman" w:eastAsia="Times New Roman"/>
          <w:sz w:val="20"/>
        </w:rPr>
        <w:t xml:space="preserve"> </w:t>
      </w:r>
      <w:r>
        <w:rPr>
          <w:rFonts w:ascii="Times New Roman" w:hAnsi="Times New Roman" w:eastAsia="Times New Roman"/>
          <w:sz w:val="20"/>
        </w:rPr>
        <w:t xml:space="preserve">“Evaluation of Deep Learning Algorithms for Landslide Susceptibility Mapping in an Alpine-Gorge Area: A Case Study in</w:t>
      </w:r>
      <w:r>
        <w:rPr>
          <w:rFonts w:ascii="Times New Roman" w:hAnsi="Times New Roman" w:eastAsia="Times New Roman"/>
          <w:sz w:val="20"/>
        </w:rPr>
        <w:t xml:space="preserve"> </w:t>
      </w:r>
      <w:r>
        <w:rPr>
          <w:rFonts w:ascii="Times New Roman" w:hAnsi="Times New Roman" w:eastAsia="Times New Roman"/>
          <w:sz w:val="20"/>
        </w:rPr>
        <w:t xml:space="preserve">Jiuzhaigou County</w:t>
      </w:r>
      <w:r>
        <w:rPr>
          <w:rFonts w:ascii="Times New Roman" w:hAnsi="Times New Roman" w:eastAsia="Times New Roman"/>
          <w:sz w:val="20"/>
        </w:rPr>
        <w:t xml:space="preserve">.”</w:t>
      </w:r>
      <w:r>
        <w:rPr>
          <w:rFonts w:ascii="Times New Roman" w:hAnsi="Times New Roman" w:eastAsia="Times New Roman"/>
          <w:sz w:val="20"/>
        </w:rPr>
        <w:t xml:space="preserve"> </w:t>
      </w:r>
      <w:r>
        <w:rPr>
          <w:rFonts w:ascii="Times New Roman" w:hAnsi="Times New Roman" w:eastAsia="Times New Roman"/>
          <w:i/>
          <w:iCs/>
          <w:sz w:val="20"/>
        </w:rPr>
        <w:t xml:space="preserve">Journal of Mountain Science</w:t>
      </w:r>
      <w:r>
        <w:rPr>
          <w:rFonts w:ascii="Times New Roman" w:hAnsi="Times New Roman" w:eastAsia="Times New Roman"/>
          <w:sz w:val="20"/>
        </w:rPr>
        <w:t xml:space="preserve"> </w:t>
      </w:r>
      <w:r>
        <w:rPr>
          <w:rFonts w:ascii="Times New Roman" w:hAnsi="Times New Roman" w:eastAsia="Times New Roman"/>
          <w:sz w:val="20"/>
        </w:rPr>
        <w:t xml:space="preserve">20 (2): 484–500.</w:t>
      </w:r>
      <w:r>
        <w:rPr>
          <w:rFonts w:ascii="Times New Roman" w:hAnsi="Times New Roman" w:eastAsia="Times New Roman"/>
          <w:sz w:val="20"/>
        </w:rPr>
        <w:t xml:space="preserve"> </w:t>
      </w:r>
      <w:hyperlink r:id="rId98">
        <w:r>
          <w:rPr>
            <w:rStyle w:val="Hyperlink"/>
          </w:rPr>
          <w:t xml:space="preserve">https://doi.org/10.1007/s11629-022-7326-5</w:t>
        </w:r>
      </w:hyperlink>
      <w:r>
        <w:rPr>
          <w:rFonts w:ascii="Times New Roman" w:hAnsi="Times New Roman" w:eastAsia="Times New Roman"/>
          <w:sz w:val="20"/>
        </w:rPr>
        <w:t xml:space="preserve">.</w:t>
      </w:r>
    </w:p>
    <w:bookmarkEnd w:id="99"/>
    <w:bookmarkStart w:id="101" w:name="ref-zhang2018road"/>
    <w:p>
      <w:pPr>
        <w:pStyle w:val="Bibliography"/>
        <w:spacing w:after="0" w:line="240" w:lineRule="auto"/>
      </w:pPr>
      <w:r>
        <w:rPr>
          <w:rFonts w:ascii="Times New Roman" w:hAnsi="Times New Roman" w:eastAsia="Times New Roman"/>
          <w:sz w:val="20"/>
        </w:rPr>
        <w:t xml:space="preserve">Zhang, Zhengxin, Qingjie Liu, and Yunhong Wang. 2018.</w:t>
      </w:r>
      <w:r>
        <w:rPr>
          <w:rFonts w:ascii="Times New Roman" w:hAnsi="Times New Roman" w:eastAsia="Times New Roman"/>
          <w:sz w:val="20"/>
        </w:rPr>
        <w:t xml:space="preserve"> </w:t>
      </w:r>
      <w:r>
        <w:rPr>
          <w:rFonts w:ascii="Times New Roman" w:hAnsi="Times New Roman" w:eastAsia="Times New Roman"/>
          <w:sz w:val="20"/>
        </w:rPr>
        <w:t xml:space="preserve">“Road Extraction by Deep Residual</w:t>
      </w:r>
      <w:r>
        <w:rPr>
          <w:rFonts w:ascii="Times New Roman" w:hAnsi="Times New Roman" w:eastAsia="Times New Roman"/>
          <w:sz w:val="20"/>
        </w:rPr>
        <w:t xml:space="preserve"> </w:t>
      </w:r>
      <w:r>
        <w:rPr>
          <w:rFonts w:ascii="Times New Roman" w:hAnsi="Times New Roman" w:eastAsia="Times New Roman"/>
          <w:sz w:val="20"/>
        </w:rPr>
        <w:t xml:space="preserve">U-Net</w:t>
      </w:r>
      <w:r>
        <w:rPr>
          <w:rFonts w:ascii="Times New Roman" w:hAnsi="Times New Roman" w:eastAsia="Times New Roman"/>
          <w:sz w:val="20"/>
        </w:rPr>
        <w:t xml:space="preserve">.”</w:t>
      </w:r>
      <w:r>
        <w:rPr>
          <w:rFonts w:ascii="Times New Roman" w:hAnsi="Times New Roman" w:eastAsia="Times New Roman"/>
          <w:sz w:val="20"/>
        </w:rPr>
        <w:t xml:space="preserve"> </w:t>
      </w:r>
      <w:r>
        <w:rPr>
          <w:rFonts w:ascii="Times New Roman" w:hAnsi="Times New Roman" w:eastAsia="Times New Roman"/>
          <w:i/>
          <w:iCs/>
          <w:sz w:val="20"/>
        </w:rPr>
        <w:t xml:space="preserve">IEEE Geoscience and Remote Sensing Letters</w:t>
      </w:r>
      <w:r>
        <w:rPr>
          <w:rFonts w:ascii="Times New Roman" w:hAnsi="Times New Roman" w:eastAsia="Times New Roman"/>
          <w:sz w:val="20"/>
        </w:rPr>
        <w:t xml:space="preserve"> </w:t>
      </w:r>
      <w:r>
        <w:rPr>
          <w:rFonts w:ascii="Times New Roman" w:hAnsi="Times New Roman" w:eastAsia="Times New Roman"/>
          <w:sz w:val="20"/>
        </w:rPr>
        <w:t xml:space="preserve">15 (5): 749–53.</w:t>
      </w:r>
      <w:r>
        <w:rPr>
          <w:rFonts w:ascii="Times New Roman" w:hAnsi="Times New Roman" w:eastAsia="Times New Roman"/>
          <w:sz w:val="20"/>
        </w:rPr>
        <w:t xml:space="preserve"> </w:t>
      </w:r>
      <w:hyperlink r:id="rId100">
        <w:r>
          <w:rPr>
            <w:rStyle w:val="Hyperlink"/>
          </w:rPr>
          <w:t xml:space="preserve">https://doi.org/10.1109/LGRS.2018.2802944</w:t>
        </w:r>
      </w:hyperlink>
      <w:r>
        <w:rPr>
          <w:rFonts w:ascii="Times New Roman" w:hAnsi="Times New Roman" w:eastAsia="Times New Roman"/>
          <w:sz w:val="20"/>
        </w:rPr>
        <w:t xml:space="preserve">.</w:t>
      </w:r>
    </w:p>
    <w:bookmarkEnd w:id="101"/>
    <w:bookmarkStart w:id="103" w:name="ref-zhou2023deformation"/>
    <w:p>
      <w:pPr>
        <w:pStyle w:val="Bibliography"/>
        <w:spacing w:after="0" w:line="240" w:lineRule="auto"/>
      </w:pPr>
      <w:r>
        <w:rPr>
          <w:rFonts w:ascii="Times New Roman" w:hAnsi="Times New Roman" w:eastAsia="Times New Roman"/>
          <w:sz w:val="20"/>
        </w:rPr>
        <w:t xml:space="preserve">Zhou, Zhen-kai, Xin Yao, Ren-jiang Li, et al. 2023.</w:t>
      </w:r>
      <w:r>
        <w:rPr>
          <w:rFonts w:ascii="Times New Roman" w:hAnsi="Times New Roman" w:eastAsia="Times New Roman"/>
          <w:sz w:val="20"/>
        </w:rPr>
        <w:t xml:space="preserve"> </w:t>
      </w:r>
      <w:r>
        <w:rPr>
          <w:rFonts w:ascii="Times New Roman" w:hAnsi="Times New Roman" w:eastAsia="Times New Roman"/>
          <w:sz w:val="20"/>
        </w:rPr>
        <w:t xml:space="preserve">“Deformation Characteristics and Mechanism of an Impoundment-Induced Toppling Landslide in</w:t>
      </w:r>
      <w:r>
        <w:rPr>
          <w:rFonts w:ascii="Times New Roman" w:hAnsi="Times New Roman" w:eastAsia="Times New Roman"/>
          <w:sz w:val="20"/>
        </w:rPr>
        <w:t xml:space="preserve"> </w:t>
      </w:r>
      <w:r>
        <w:rPr>
          <w:rFonts w:ascii="Times New Roman" w:hAnsi="Times New Roman" w:eastAsia="Times New Roman"/>
          <w:sz w:val="20"/>
        </w:rPr>
        <w:t xml:space="preserve">Baihetan Reservoir</w:t>
      </w:r>
      <w:r>
        <w:rPr>
          <w:rFonts w:ascii="Times New Roman" w:hAnsi="Times New Roman" w:eastAsia="Times New Roman"/>
          <w:sz w:val="20"/>
        </w:rPr>
        <w:t xml:space="preserve"> </w:t>
      </w:r>
      <w:r>
        <w:rPr>
          <w:rFonts w:ascii="Times New Roman" w:hAnsi="Times New Roman" w:eastAsia="Times New Roman"/>
          <w:sz w:val="20"/>
        </w:rPr>
        <w:t xml:space="preserve">Based on Multi-Source Remote Sensing.”</w:t>
      </w:r>
      <w:r>
        <w:rPr>
          <w:rFonts w:ascii="Times New Roman" w:hAnsi="Times New Roman" w:eastAsia="Times New Roman"/>
          <w:sz w:val="20"/>
        </w:rPr>
        <w:t xml:space="preserve"> </w:t>
      </w:r>
      <w:r>
        <w:rPr>
          <w:rFonts w:ascii="Times New Roman" w:hAnsi="Times New Roman" w:eastAsia="Times New Roman"/>
          <w:i/>
          <w:iCs/>
          <w:sz w:val="20"/>
        </w:rPr>
        <w:t xml:space="preserve">Journal of Mountain Science</w:t>
      </w:r>
      <w:r>
        <w:rPr>
          <w:rFonts w:ascii="Times New Roman" w:hAnsi="Times New Roman" w:eastAsia="Times New Roman"/>
          <w:sz w:val="20"/>
        </w:rPr>
        <w:t xml:space="preserve"> </w:t>
      </w:r>
      <w:r>
        <w:rPr>
          <w:rFonts w:ascii="Times New Roman" w:hAnsi="Times New Roman" w:eastAsia="Times New Roman"/>
          <w:sz w:val="20"/>
        </w:rPr>
        <w:t xml:space="preserve">20 (12): 3614–30.</w:t>
      </w:r>
      <w:r>
        <w:rPr>
          <w:rFonts w:ascii="Times New Roman" w:hAnsi="Times New Roman" w:eastAsia="Times New Roman"/>
          <w:sz w:val="20"/>
        </w:rPr>
        <w:t xml:space="preserve"> </w:t>
      </w:r>
      <w:hyperlink r:id="rId102">
        <w:r>
          <w:rPr>
            <w:rStyle w:val="Hyperlink"/>
          </w:rPr>
          <w:t xml:space="preserve">https://doi.org/10.1007/s11629-023-7903-2</w:t>
        </w:r>
      </w:hyperlink>
      <w:r>
        <w:rPr>
          <w:rFonts w:ascii="Times New Roman" w:hAnsi="Times New Roman" w:eastAsia="Times New Roman"/>
          <w:sz w:val="20"/>
        </w:rPr>
        <w:t xml:space="preserve">.</w:t>
      </w:r>
    </w:p>
    <w:bookmarkEnd w:id="103"/>
    <w:bookmarkEnd w:id="104"/>
    <w:bookmarkEnd w:id="105"/>
    <w:sectPr>
      <w:footnotePr>
        <w:numRestart w:val="eachSect"/>
      </w:footnotePr>
      <w:pgSz w:w="11906" w:h="16838"/>
      <w:pgMar w:top="1440" w:bottom="1440" w:left="1440" w:right="1440" w:header="720" w:footer="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240" w:lineRule="auto"/>
    </w:pPr>
    <w:rPr>
      <w:rFonts w:ascii="Times New Roman" w:hAnsi="Times New Roman" w:eastAsia="Times New Roman"/>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0" w:line="240" w:lineRule="auto" w:before="120"/>
      <w:contextualSpacing/>
      <w:jc w:val="center"/>
    </w:pPr>
    <w:rPr>
      <w:rFonts w:asciiTheme="majorHAnsi" w:cstheme="majorBidi" w:eastAsiaTheme="majorEastAsia" w:hAnsiTheme="majorHAnsi" w:ascii="Times New Roman" w:hAnsi="Times New Roman" w:eastAsia="Times New Roman"/>
      <w:b/>
      <w:sz w:val="2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0" w:before="120" w:line="240" w:lineRule="auto"/>
      <w:outlineLvl w:val="0"/>
    </w:pPr>
    <w:rPr>
      <w:rFonts w:asciiTheme="majorHAnsi" w:cstheme="majorBidi" w:eastAsiaTheme="majorEastAsia" w:hAnsiTheme="majorHAnsi" w:ascii="Times New Roman" w:hAnsi="Times New Roman" w:eastAsia="Times New Roman"/>
      <w:b/>
      <w:color w:themeColor="accent1" w:themeShade="BF" w:val="0F4761"/>
      <w:sz w:val="20"/>
      <w:szCs w:val="40"/>
    </w:rPr>
  </w:style>
  <w:style w:styleId="Heading2" w:type="paragraph">
    <w:name w:val="heading 2"/>
    <w:basedOn w:val="Normal"/>
    <w:next w:val="BodyText"/>
    <w:link w:val="Heading2Char"/>
    <w:uiPriority w:val="9"/>
    <w:semiHidden/>
    <w:unhideWhenUsed/>
    <w:qFormat/>
    <w:rsid w:val="00A10FD9"/>
    <w:pPr>
      <w:keepNext/>
      <w:keepLines/>
      <w:spacing w:after="0" w:before="120" w:line="240" w:lineRule="auto"/>
      <w:outlineLvl w:val="1"/>
    </w:pPr>
    <w:rPr>
      <w:rFonts w:asciiTheme="majorHAnsi" w:cstheme="majorBidi" w:eastAsiaTheme="majorEastAsia" w:hAnsiTheme="majorHAnsi" w:ascii="Times New Roman" w:hAnsi="Times New Roman" w:eastAsia="Times New Roman"/>
      <w:b/>
      <w:color w:themeColor="accent1" w:themeShade="BF" w:val="0F4761"/>
      <w:sz w:val="20"/>
      <w:szCs w:val="32"/>
    </w:rPr>
  </w:style>
  <w:style w:styleId="Heading3" w:type="paragraph">
    <w:name w:val="heading 3"/>
    <w:basedOn w:val="Normal"/>
    <w:next w:val="BodyText"/>
    <w:link w:val="Heading3Char"/>
    <w:uiPriority w:val="9"/>
    <w:semiHidden/>
    <w:unhideWhenUsed/>
    <w:qFormat/>
    <w:rsid w:val="00A10FD9"/>
    <w:pPr>
      <w:keepNext/>
      <w:keepLines/>
      <w:spacing w:after="0" w:before="120" w:line="240" w:lineRule="auto"/>
      <w:outlineLvl w:val="2"/>
    </w:pPr>
    <w:rPr>
      <w:rFonts w:cstheme="majorBidi" w:eastAsiaTheme="majorEastAsia" w:ascii="Times New Roman" w:hAnsi="Times New Roman" w:eastAsia="Times New Roman"/>
      <w:b/>
      <w:color w:themeColor="accent1" w:themeShade="BF" w:val="0F4761"/>
      <w:sz w:val="20"/>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image" Target="media/rId35.png"/><Relationship Id="rId16" Type="http://schemas.openxmlformats.org/officeDocument/2006/relationships/image" Target="media/rId16.png"/><Relationship Id="rId31" Type="http://schemas.openxmlformats.org/officeDocument/2006/relationships/image" Target="media/rId31.png"/><Relationship Id="rId26" Type="http://schemas.openxmlformats.org/officeDocument/2006/relationships/image" Target="media/rId26.png"/><Relationship Id="rId74" Type="http://schemas.openxmlformats.org/officeDocument/2006/relationships/hyperlink" Target="https://arxiv.org/abs/2603.22658" TargetMode="External"/><Relationship Id="rId96" Type="http://schemas.openxmlformats.org/officeDocument/2006/relationships/hyperlink" Target="https://doi.org/10.1002/2016EA000168" TargetMode="External"/><Relationship Id="rId98" Type="http://schemas.openxmlformats.org/officeDocument/2006/relationships/hyperlink" Target="https://doi.org/10.1007/s11629-022-7326-5" TargetMode="External"/><Relationship Id="rId102" Type="http://schemas.openxmlformats.org/officeDocument/2006/relationships/hyperlink" Target="https://doi.org/10.1007/s11629-023-7903-2" TargetMode="External"/><Relationship Id="rId80" Type="http://schemas.openxmlformats.org/officeDocument/2006/relationships/hyperlink" Target="https://doi.org/10.1007/s11629-023-8083-9" TargetMode="External"/><Relationship Id="rId86" Type="http://schemas.openxmlformats.org/officeDocument/2006/relationships/hyperlink" Target="https://doi.org/10.1007/s11629-024-8871-x" TargetMode="External"/><Relationship Id="rId78" Type="http://schemas.openxmlformats.org/officeDocument/2006/relationships/hyperlink" Target="https://doi.org/10.1007/s11629-024-9064-3" TargetMode="External"/><Relationship Id="rId70" Type="http://schemas.openxmlformats.org/officeDocument/2006/relationships/hyperlink" Target="https://doi.org/10.1007/s11629-024-9096-8" TargetMode="External"/><Relationship Id="rId54" Type="http://schemas.openxmlformats.org/officeDocument/2006/relationships/hyperlink" Target="https://doi.org/10.1007/s11629-025-9805-y" TargetMode="External"/><Relationship Id="rId82" Type="http://schemas.openxmlformats.org/officeDocument/2006/relationships/hyperlink" Target="https://doi.org/10.1016/j.catena.2021.105559" TargetMode="External"/><Relationship Id="rId60" Type="http://schemas.openxmlformats.org/officeDocument/2006/relationships/hyperlink" Target="https://doi.org/10.1016/j.coldregions.2017.08.004" TargetMode="External"/><Relationship Id="rId56" Type="http://schemas.openxmlformats.org/officeDocument/2006/relationships/hyperlink" Target="https://doi.org/10.1109/ICIP.2018.8451652" TargetMode="External"/><Relationship Id="rId48" Type="http://schemas.openxmlformats.org/officeDocument/2006/relationships/hyperlink" Target="https://doi.org/10.1109/IGARSS46834.2022.9883686" TargetMode="External"/><Relationship Id="rId62" Type="http://schemas.openxmlformats.org/officeDocument/2006/relationships/hyperlink" Target="https://doi.org/10.1109/IGARSS47720.2021.9554370" TargetMode="External"/><Relationship Id="rId50" Type="http://schemas.openxmlformats.org/officeDocument/2006/relationships/hyperlink" Target="https://doi.org/10.1109/JSTARS.2020.3036914" TargetMode="External"/><Relationship Id="rId92" Type="http://schemas.openxmlformats.org/officeDocument/2006/relationships/hyperlink" Target="https://doi.org/10.1109/JSTARS.2021.3074418" TargetMode="External"/><Relationship Id="rId100" Type="http://schemas.openxmlformats.org/officeDocument/2006/relationships/hyperlink" Target="https://doi.org/10.1109/LGRS.2018.2802944" TargetMode="External"/><Relationship Id="rId88" Type="http://schemas.openxmlformats.org/officeDocument/2006/relationships/hyperlink" Target="https://doi.org/10.1109/TGRS.2011.2120616" TargetMode="External"/><Relationship Id="rId58" Type="http://schemas.openxmlformats.org/officeDocument/2006/relationships/hyperlink" Target="https://doi.org/10.1109/TGRS.2021.3095166" TargetMode="External"/><Relationship Id="rId64" Type="http://schemas.openxmlformats.org/officeDocument/2006/relationships/hyperlink" Target="https://doi.org/10.3390/rs11232863" TargetMode="External"/><Relationship Id="rId76" Type="http://schemas.openxmlformats.org/officeDocument/2006/relationships/hyperlink" Target="https://doi.org/10.3390/rs18030519" TargetMode="External"/><Relationship Id="rId90" Type="http://schemas.openxmlformats.org/officeDocument/2006/relationships/hyperlink" Target="https://doi.org/10.5194/nhess-18-2697-2018" TargetMode="External"/><Relationship Id="rId52" Type="http://schemas.openxmlformats.org/officeDocument/2006/relationships/hyperlink" Target="https://doi.org/10.5194/tc-13-3225-2019" TargetMode="External"/><Relationship Id="rId94" Type="http://schemas.openxmlformats.org/officeDocument/2006/relationships/hyperlink" Target="https://doi.org/10.5194/tc-8-547-2014" TargetMode="External"/><Relationship Id="rId72" Type="http://schemas.openxmlformats.org/officeDocument/2006/relationships/hyperlink" Target="https://doi.org/10.5281/zenodo.15863589" TargetMode="External"/><Relationship Id="rId66" Type="http://schemas.openxmlformats.org/officeDocument/2006/relationships/hyperlink" Target="https://www.avalanches.org/standards/avalanche-size/" TargetMode="External"/><Relationship Id="rId68" Type="http://schemas.openxmlformats.org/officeDocument/2006/relationships/hyperlink" Target="https://www.esa.int/Applications/Observing_the_Earth/Copernicus/Sentinel-1" TargetMode="External"/><Relationship Id="rId84" Type="http://schemas.openxmlformats.org/officeDocument/2006/relationships/hyperlink" Target="https://www.openstreetmap.org/copyright" TargetMode="External"/></Relationships>
</file>

<file path=word/_rels/footnotes.xml.rels><?xml version='1.0' encoding='UTF-8' standalone='yes'?>
<Relationships xmlns="http://schemas.openxmlformats.org/package/2006/relationships"><Relationship Id="rId74" Type="http://schemas.openxmlformats.org/officeDocument/2006/relationships/hyperlink" Target="https://arxiv.org/abs/2603.22658" TargetMode="External"/><Relationship Id="rId96" Type="http://schemas.openxmlformats.org/officeDocument/2006/relationships/hyperlink" Target="https://doi.org/10.1002/2016EA000168" TargetMode="External"/><Relationship Id="rId98" Type="http://schemas.openxmlformats.org/officeDocument/2006/relationships/hyperlink" Target="https://doi.org/10.1007/s11629-022-7326-5" TargetMode="External"/><Relationship Id="rId102" Type="http://schemas.openxmlformats.org/officeDocument/2006/relationships/hyperlink" Target="https://doi.org/10.1007/s11629-023-7903-2" TargetMode="External"/><Relationship Id="rId80" Type="http://schemas.openxmlformats.org/officeDocument/2006/relationships/hyperlink" Target="https://doi.org/10.1007/s11629-023-8083-9" TargetMode="External"/><Relationship Id="rId86" Type="http://schemas.openxmlformats.org/officeDocument/2006/relationships/hyperlink" Target="https://doi.org/10.1007/s11629-024-8871-x" TargetMode="External"/><Relationship Id="rId78" Type="http://schemas.openxmlformats.org/officeDocument/2006/relationships/hyperlink" Target="https://doi.org/10.1007/s11629-024-9064-3" TargetMode="External"/><Relationship Id="rId70" Type="http://schemas.openxmlformats.org/officeDocument/2006/relationships/hyperlink" Target="https://doi.org/10.1007/s11629-024-9096-8" TargetMode="External"/><Relationship Id="rId54" Type="http://schemas.openxmlformats.org/officeDocument/2006/relationships/hyperlink" Target="https://doi.org/10.1007/s11629-025-9805-y" TargetMode="External"/><Relationship Id="rId82" Type="http://schemas.openxmlformats.org/officeDocument/2006/relationships/hyperlink" Target="https://doi.org/10.1016/j.catena.2021.105559" TargetMode="External"/><Relationship Id="rId60" Type="http://schemas.openxmlformats.org/officeDocument/2006/relationships/hyperlink" Target="https://doi.org/10.1016/j.coldregions.2017.08.004" TargetMode="External"/><Relationship Id="rId56" Type="http://schemas.openxmlformats.org/officeDocument/2006/relationships/hyperlink" Target="https://doi.org/10.1109/ICIP.2018.8451652" TargetMode="External"/><Relationship Id="rId48" Type="http://schemas.openxmlformats.org/officeDocument/2006/relationships/hyperlink" Target="https://doi.org/10.1109/IGARSS46834.2022.9883686" TargetMode="External"/><Relationship Id="rId62" Type="http://schemas.openxmlformats.org/officeDocument/2006/relationships/hyperlink" Target="https://doi.org/10.1109/IGARSS47720.2021.9554370" TargetMode="External"/><Relationship Id="rId50" Type="http://schemas.openxmlformats.org/officeDocument/2006/relationships/hyperlink" Target="https://doi.org/10.1109/JSTARS.2020.3036914" TargetMode="External"/><Relationship Id="rId92" Type="http://schemas.openxmlformats.org/officeDocument/2006/relationships/hyperlink" Target="https://doi.org/10.1109/JSTARS.2021.3074418" TargetMode="External"/><Relationship Id="rId100" Type="http://schemas.openxmlformats.org/officeDocument/2006/relationships/hyperlink" Target="https://doi.org/10.1109/LGRS.2018.2802944" TargetMode="External"/><Relationship Id="rId88" Type="http://schemas.openxmlformats.org/officeDocument/2006/relationships/hyperlink" Target="https://doi.org/10.1109/TGRS.2011.2120616" TargetMode="External"/><Relationship Id="rId58" Type="http://schemas.openxmlformats.org/officeDocument/2006/relationships/hyperlink" Target="https://doi.org/10.1109/TGRS.2021.3095166" TargetMode="External"/><Relationship Id="rId64" Type="http://schemas.openxmlformats.org/officeDocument/2006/relationships/hyperlink" Target="https://doi.org/10.3390/rs11232863" TargetMode="External"/><Relationship Id="rId76" Type="http://schemas.openxmlformats.org/officeDocument/2006/relationships/hyperlink" Target="https://doi.org/10.3390/rs18030519" TargetMode="External"/><Relationship Id="rId90" Type="http://schemas.openxmlformats.org/officeDocument/2006/relationships/hyperlink" Target="https://doi.org/10.5194/nhess-18-2697-2018" TargetMode="External"/><Relationship Id="rId52" Type="http://schemas.openxmlformats.org/officeDocument/2006/relationships/hyperlink" Target="https://doi.org/10.5194/tc-13-3225-2019" TargetMode="External"/><Relationship Id="rId94" Type="http://schemas.openxmlformats.org/officeDocument/2006/relationships/hyperlink" Target="https://doi.org/10.5194/tc-8-547-2014" TargetMode="External"/><Relationship Id="rId72" Type="http://schemas.openxmlformats.org/officeDocument/2006/relationships/hyperlink" Target="https://doi.org/10.5281/zenodo.15863589" TargetMode="External"/><Relationship Id="rId66" Type="http://schemas.openxmlformats.org/officeDocument/2006/relationships/hyperlink" Target="https://www.avalanches.org/standards/avalanche-size/" TargetMode="External"/><Relationship Id="rId68" Type="http://schemas.openxmlformats.org/officeDocument/2006/relationships/hyperlink" Target="https://www.esa.int/Applications/Observing_the_Earth/Copernicus/Sentinel-1" TargetMode="External"/><Relationship Id="rId84" Type="http://schemas.openxmlformats.org/officeDocument/2006/relationships/hyperlink" Target="https://www.openstreetmap.org/copyr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Topographic Radar Geometry-Guided Cross-Attention for Alpine Avalanche Debris Mapping in Sentinel-1 SAR: Cross-System Generalization Across the Alps, Pamirs, and Arctic</dc:title>
  <dc:creator/>
  <cp:keywords/>
  <dcterms:created xsi:type="dcterms:W3CDTF">2026-09-19T21:03:56Z</dcterms:created>
  <dcterms:modified xsi:type="dcterms:W3CDTF">2026-09-19T21:03:56Z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Rapid, all-weather mapping of snow avalanche debris across rugged mountain terrain is critical for alpine civil protection, emergency response, and search-and-rescue operations. Synthetic Aperture Radar (SAR) sensors such as Sentinel-1 provide cloud-penetrating day-and-night winter monitoring, but bitemporal change detection in steep terrain suffers from foreshortening, layover, and radar shadow. We propose TopoRadar-Net, coupling bitemporal Sentinel-1 C-band SAR with local radar-topographic geometry through: (1) an analytical characterization of shift-invariant linear-convolution limits under non-stationary terrain projection; (2) multi-scale Radar-Topographic Cross-Attention Blocks; (3) a heuristic slope-prior loss audited for positive-label conflict; and (4) calibrated component- and corridor-level operational proxies. On AvalCD (7 events, 4 mountain systems, 993 polygons), TopoRadar-Net reaches 63.79\% \pm 1.88\% pooled macro F1, compared with Attention U-Net (63.41\%), SiamUNet-conc (63.13\%), ResU-Net (62.92\%), and SiamUNet-diff (54.87\%). Across three seeds, only the margin over SiamUNet-diff is significant (+8.92\%, p=0.021); the Attention U-Net difference is +0.38\% (p=0.869). Seed-42 backslope differences do not persist as stable three-seed effects (Tromsø: -0.34\% \pm 6.28\%; Pamir: +1.20\% \pm 7.73\%). In Pamir, the false-alarm footprint is 30.0\% lower than Attention U-Net (72.9\text{ ha} nominal-grid equivalent; 55.6\text{ ha} affine physical difference). The slope-prior mask overlaps 18.47\% of training positives and lowers held-out positive recall inside that mask relative to No-GeoLoss. Validation-calibrated Pamir road-corridor alerts achieve 83.0\% precision and 62.5\% recall, but the single Tromsø road-intersecting avalanche is missed in all seeds. These results establish competitive pixel performance and explicit operational failure boundaries, not a component-isolated mechanism or deployment-ready system.</vt:lpwstr>
  </property>
  <property fmtid="{D5CDD505-2E9C-101B-9397-08002B2CF9AE}" pid="3" name="bibliography">
    <vt:lpwstr/>
  </property>
  <property fmtid="{D5CDD505-2E9C-101B-9397-08002B2CF9AE}" pid="4" name="date">
    <vt:lpwstr/>
  </property>
</Properties>
</file>