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after="0" w:line="240" w:lineRule="auto"/>
      </w:pPr>
      <w:r>
        <w:rPr>
          <w:rFonts w:ascii="Times New Roman" w:hAnsi="Times New Roman" w:eastAsia="Times New Roman"/>
          <w:sz w:val="20"/>
        </w:rPr>
        <w:t xml:space="preserve">Topographic Radar Geometry-Guided Cross-Attention for Alpine Avalanche Debris Mapping in Sentinel-1 SAR: Cross-System Generalization Across the Alps, Pamirs, and Arctic</w:t>
      </w:r>
    </w:p>
    <w:p>
      <w:pPr>
        <w:pStyle w:val="AbstractTitle"/>
        <w:spacing w:after="0" w:line="240" w:lineRule="auto"/>
      </w:pPr>
      <w:r>
        <w:rPr>
          <w:rFonts w:ascii="Times New Roman" w:hAnsi="Times New Roman" w:eastAsia="Times New Roman"/>
          <w:sz w:val="20"/>
        </w:rPr>
        <w:t xml:space="preserve">Abstract</w:t>
      </w:r>
    </w:p>
    <w:p>
      <w:pPr>
        <w:pStyle w:val="Abstract"/>
        <w:spacing w:after="0" w:line="240" w:lineRule="auto"/>
      </w:pPr>
      <w:r>
        <w:rPr>
          <w:rFonts w:ascii="Times New Roman" w:hAnsi="Times New Roman" w:eastAsia="Times New Roman"/>
          <w:sz w:val="20"/>
        </w:rPr>
        <w:t xml:space="preserve">Rapid, all-weather mapping of snow avalanche debris across rugged mountain terrain is critical for alpine civil protection, emergency response, and search-and-rescue operations. Synthetic Aperture Radar (SAR) sensors such as Sentinel-1 provide cloud-penetrating day-and-night winter monitoring, but bitemporal change detection in steep terrain suffers from foreshortening, layover, and radar shadow. We propose</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coupling bitemporal Sentinel-1 C-band SAR with local radar-topographic geometry through: (1) an analytical characterization of shift-invariant linear-convolution limits under non-stationary terrain projection; (2) multi-scale Radar-Topographic Cross-Attention Blocks; (3) a heuristic slope-prior loss audited for positive-label conflict; and (4) calibrated component- and corridor-level operational proxies. On AvalCD (7 events, 4 mountain systems, 993 polygons), TopoRadar-Net reaches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pooled macro F1, compared with Attention U-Net (</w:t>
      </w:r>
      <m:oMath>
        <m:r>
          <m:t>63.41</m:t>
        </m:r>
        <m:r>
          <m:rPr>
            <m:sty m:val="p"/>
          </m:rPr>
          <m:t>%</m:t>
        </m:r>
      </m:oMath>
      <w:r>
        <w:rPr>
          <w:rFonts w:ascii="Times New Roman" w:hAnsi="Times New Roman" w:eastAsia="Times New Roman"/>
          <w:sz w:val="20"/>
        </w:rPr>
        <w:t xml:space="preserve">), SiamUNet-conc (</w:t>
      </w:r>
      <m:oMath>
        <m:r>
          <m:t>63.13</m:t>
        </m:r>
        <m:r>
          <m:rPr>
            <m:sty m:val="p"/>
          </m:rPr>
          <m:t>%</m:t>
        </m:r>
      </m:oMath>
      <w:r>
        <w:rPr>
          <w:rFonts w:ascii="Times New Roman" w:hAnsi="Times New Roman" w:eastAsia="Times New Roman"/>
          <w:sz w:val="20"/>
        </w:rPr>
        <w:t xml:space="preserve">), ResU-Net (</w:t>
      </w:r>
      <m:oMath>
        <m:r>
          <m:t>62.92</m:t>
        </m:r>
        <m:r>
          <m:rPr>
            <m:sty m:val="p"/>
          </m:rPr>
          <m:t>%</m:t>
        </m:r>
      </m:oMath>
      <w:r>
        <w:rPr>
          <w:rFonts w:ascii="Times New Roman" w:hAnsi="Times New Roman" w:eastAsia="Times New Roman"/>
          <w:sz w:val="20"/>
        </w:rPr>
        <w:t xml:space="preserve">), and SiamUNet-diff (</w:t>
      </w:r>
      <m:oMath>
        <m:r>
          <m:t>54.87</m:t>
        </m:r>
        <m:r>
          <m:rPr>
            <m:sty m:val="p"/>
          </m:rPr>
          <m:t>%</m:t>
        </m:r>
      </m:oMath>
      <w:r>
        <w:rPr>
          <w:rFonts w:ascii="Times New Roman" w:hAnsi="Times New Roman" w:eastAsia="Times New Roman"/>
          <w:sz w:val="20"/>
        </w:rPr>
        <w:t xml:space="preserve">). Across three seeds, only the margin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the Attention U-Net difference is</w:t>
      </w:r>
      <w:r>
        <w:rPr>
          <w:rFonts w:ascii="Times New Roman" w:hAnsi="Times New Roman" w:eastAsia="Times New Roman"/>
          <w:sz w:val="20"/>
        </w:rPr>
        <w:t xml:space="preserve"> </w:t>
      </w:r>
      <m:oMath>
        <m:r>
          <m:rPr>
            <m:sty m:val="p"/>
          </m:rPr>
          <m:t>+</m:t>
        </m:r>
        <m:r>
          <m:t>0.38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0.869</m:t>
        </m:r>
      </m:oMath>
      <w:r>
        <w:rPr>
          <w:rFonts w:ascii="Times New Roman" w:hAnsi="Times New Roman" w:eastAsia="Times New Roman"/>
          <w:sz w:val="20"/>
        </w:rPr>
        <w:t xml:space="preserve">). Seed-42 backslope differences do not persist as stable three-seed effects (Troms</w:t>
      </w:r>
      <w:r>
        <w:rPr>
          <w:rFonts w:ascii="Times New Roman" w:hAnsi="Times New Roman" w:eastAsia="Times New Roman"/>
          <w:sz w:val="20"/>
        </w:rPr>
        <w:t xml:space="preserve">ø</w:t>
      </w:r>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Pamir:</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In Pamir, the false-alarm footprint is</w:t>
      </w:r>
      <w:r>
        <w:rPr>
          <w:rFonts w:ascii="Times New Roman" w:hAnsi="Times New Roman" w:eastAsia="Times New Roman"/>
          <w:sz w:val="20"/>
        </w:rPr>
        <w:t xml:space="preserve"> </w:t>
      </w:r>
      <m:oMath>
        <m:r>
          <m:t>30.0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lower than Attention U-Net (</w:t>
      </w:r>
      <m:oMath>
        <m:r>
          <m:t>72.9</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nominal-grid equivalent;</w:t>
      </w:r>
      <w:r>
        <w:rPr>
          <w:rFonts w:ascii="Times New Roman" w:hAnsi="Times New Roman" w:eastAsia="Times New Roman"/>
          <w:sz w:val="20"/>
        </w:rPr>
        <w:t xml:space="preserve"> </w:t>
      </w:r>
      <m:oMath>
        <m:r>
          <m:t>55.6</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affine physical difference). The slope-prior mask overlaps</w:t>
      </w:r>
      <w:r>
        <w:rPr>
          <w:rFonts w:ascii="Times New Roman" w:hAnsi="Times New Roman" w:eastAsia="Times New Roman"/>
          <w:sz w:val="20"/>
        </w:rPr>
        <w:t xml:space="preserve"> </w:t>
      </w:r>
      <m:oMath>
        <m:r>
          <m:t>18.47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of training positives and lowers held-out positive recall inside that mask relative to No-GeoLoss. Validation-calibrated Pamir road-corridor alerts achieve</w:t>
      </w:r>
      <w:r>
        <w:rPr>
          <w:rFonts w:ascii="Times New Roman" w:hAnsi="Times New Roman" w:eastAsia="Times New Roman"/>
          <w:sz w:val="20"/>
        </w:rPr>
        <w:t xml:space="preserve"> </w:t>
      </w:r>
      <m:oMath>
        <m:r>
          <m:t>83.0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and</w:t>
      </w:r>
      <w:r>
        <w:rPr>
          <w:rFonts w:ascii="Times New Roman" w:hAnsi="Times New Roman" w:eastAsia="Times New Roman"/>
          <w:sz w:val="20"/>
        </w:rPr>
        <w:t xml:space="preserve"> </w:t>
      </w:r>
      <m:oMath>
        <m:r>
          <m:t>62.5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but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road-intersecting avalanche is missed in all seeds. These results establish competitive pixel performance and explicit operational failure boundaries, not a component-isolated mechanism or deployment-ready system.</w:t>
      </w:r>
    </w:p>
    <w:p>
      <w:pPr>
        <w:pStyle w:val="FirstParagraph"/>
        <w:spacing w:after="0" w:line="240" w:lineRule="auto"/>
      </w:pPr>
      <w:r>
        <w:rPr>
          <w:rFonts w:ascii="Times New Roman" w:hAnsi="Times New Roman" w:eastAsia="Times New Roman"/>
          <w:b/>
          <w:bCs/>
          <w:sz w:val="20"/>
        </w:rPr>
        <w:t xml:space="preserve">Keywords:</w:t>
      </w:r>
      <w:r>
        <w:rPr>
          <w:rFonts w:ascii="Times New Roman" w:hAnsi="Times New Roman" w:eastAsia="Times New Roman"/>
          <w:sz w:val="20"/>
        </w:rPr>
        <w:t xml:space="preserve"> </w:t>
      </w:r>
      <w:r>
        <w:rPr>
          <w:rFonts w:ascii="Times New Roman" w:hAnsi="Times New Roman" w:eastAsia="Times New Roman"/>
          <w:sz w:val="20"/>
        </w:rPr>
        <w:t xml:space="preserve">Snow avalanche mapping; Sentinel-1 SAR; Mountain hazards; Radar-topographic geometry; Cross-attention network; Cross-system generalization; Disaster response</w:t>
      </w:r>
    </w:p>
    <w:bookmarkStart w:id="9" w:name="introduction"/>
    <w:p>
      <w:pPr>
        <w:pStyle w:val="Heading1"/>
        <w:spacing w:after="0" w:line="240" w:lineRule="auto"/>
      </w:pPr>
      <w:r>
        <w:rPr>
          <w:rFonts w:ascii="Times New Roman" w:hAnsi="Times New Roman" w:eastAsia="Times New Roman"/>
          <w:sz w:val="20"/>
        </w:rPr>
        <w:t xml:space="preserve">Introduction</w:t>
      </w:r>
    </w:p>
    <w:p>
      <w:pPr>
        <w:pStyle w:val="FirstParagraph"/>
        <w:spacing w:after="0" w:line="240" w:lineRule="auto"/>
      </w:pPr>
      <w:r>
        <w:rPr>
          <w:rFonts w:ascii="Times New Roman" w:hAnsi="Times New Roman" w:eastAsia="Times New Roman"/>
          <w:sz w:val="20"/>
        </w:rPr>
        <w:t xml:space="preserve">Snow avalanches represent one of the most destructive natural hazards in alpine and high-mountain environments worldwide, posing severe threats to human life, critical transportation corridors, hydropower infrastructure, and mountain settlements across major mountain systems such as the European Alps, the Pamirs, the Himalayas, and Arctic mountain belts</w:t>
      </w:r>
      <w:r>
        <w:rPr>
          <w:rFonts w:ascii="Times New Roman" w:hAnsi="Times New Roman" w:eastAsia="Times New Roman"/>
          <w:sz w:val="20"/>
        </w:rPr>
        <w:t xml:space="preserve"> </w:t>
      </w:r>
      <w:r>
        <w:rPr>
          <w:rFonts w:ascii="Times New Roman" w:hAnsi="Times New Roman" w:eastAsia="Times New Roman"/>
          <w:sz w:val="20"/>
        </w:rPr>
        <w:t xml:space="preserve">(Bühler et al. 2019; Eckerstorfer et al. 2017; European Avalanche Warning Services 2022; Techel et al. 2018)</w:t>
      </w:r>
      <w:r>
        <w:rPr>
          <w:rFonts w:ascii="Times New Roman" w:hAnsi="Times New Roman" w:eastAsia="Times New Roman"/>
          <w:sz w:val="20"/>
        </w:rPr>
        <w:t xml:space="preserve">. Rapid, systematic, and regional-scale mapping of avalanche release zones and debris deposits is vital for emergency search-and-rescue operations, hazard index updating, and retrospective validation of numerical avalanche dynamics models</w:t>
      </w:r>
      <w:r>
        <w:rPr>
          <w:rFonts w:ascii="Times New Roman" w:hAnsi="Times New Roman" w:eastAsia="Times New Roman"/>
          <w:sz w:val="20"/>
        </w:rPr>
        <w:t xml:space="preserve"> </w:t>
      </w:r>
      <w:r>
        <w:rPr>
          <w:rFonts w:ascii="Times New Roman" w:hAnsi="Times New Roman" w:eastAsia="Times New Roman"/>
          <w:sz w:val="20"/>
        </w:rPr>
        <w:t xml:space="preserve">(Tompkin and Leinss 2021; Eckerstorfer et al. 2021)</w:t>
      </w:r>
      <w:r>
        <w:rPr>
          <w:rFonts w:ascii="Times New Roman" w:hAnsi="Times New Roman" w:eastAsia="Times New Roman"/>
          <w:sz w:val="20"/>
        </w:rPr>
        <w:t xml:space="preserve">. However, conventional ground-based observations and optical satellite platforms (e.g., Sentinel-2, Landsat-8/9, PlanetScope) are frequently incapacitated during major avalanche cycles due to persistent cloud cover, winter blizzards, and polar night in high-latitude mountain regimes</w:t>
      </w:r>
      <w:r>
        <w:rPr>
          <w:rFonts w:ascii="Times New Roman" w:hAnsi="Times New Roman" w:eastAsia="Times New Roman"/>
          <w:sz w:val="20"/>
        </w:rPr>
        <w:t xml:space="preserve"> </w:t>
      </w:r>
      <w:r>
        <w:rPr>
          <w:rFonts w:ascii="Times New Roman" w:hAnsi="Times New Roman" w:eastAsia="Times New Roman"/>
          <w:sz w:val="20"/>
        </w:rPr>
        <w:t xml:space="preserve">(Eckerstorfer et al. 2019; Vickers et al. 2016)</w:t>
      </w:r>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Synthetic Aperture Radar (SAR), particularly spaceborne C-band radar operating on the European Space Agency’s (ESA) Sentinel-1 constellation, provides an indispensable all-weather, day-and-night observation system with a regular 6- to 12-day repeat cycle</w:t>
      </w:r>
      <w:r>
        <w:rPr>
          <w:rFonts w:ascii="Times New Roman" w:hAnsi="Times New Roman" w:eastAsia="Times New Roman"/>
          <w:sz w:val="20"/>
        </w:rPr>
        <w:t xml:space="preserve"> </w:t>
      </w:r>
      <w:r>
        <w:rPr>
          <w:rFonts w:ascii="Times New Roman" w:hAnsi="Times New Roman" w:eastAsia="Times New Roman"/>
          <w:sz w:val="20"/>
        </w:rPr>
        <w:t xml:space="preserve">(Eckerstorfer et al. 2017; Small 2011)</w:t>
      </w:r>
      <w:r>
        <w:rPr>
          <w:rFonts w:ascii="Times New Roman" w:hAnsi="Times New Roman" w:eastAsia="Times New Roman"/>
          <w:sz w:val="20"/>
        </w:rPr>
        <w:t xml:space="preserve">. When snow avalanches release, dense slab flow and turbulent powder snow transport heavy snow masses down mountain chutes, depositing rough, granulated debris mounds in runout fans. This mechanical deposition alters the snowpack surface from smooth, undisturbed snow into rough, blocky debris, markedly increasing surface and volume backscatter (</w:t>
      </w:r>
      <m:oMath>
        <m:r>
          <m:rPr>
            <m:sty m:val="p"/>
          </m:rPr>
          <m:t>Δ</m:t>
        </m:r>
        <m:sSup>
          <m:e>
            <m:r>
              <m:t>σ</m:t>
            </m:r>
          </m:e>
          <m:sup>
            <m:r>
              <m:t>0</m:t>
            </m:r>
          </m:sup>
        </m:sSup>
        <m:r>
          <m:rPr>
            <m:sty m:val="p"/>
          </m:rPr>
          <m:t>=</m:t>
        </m:r>
        <m:sSubSup>
          <m:e>
            <m:r>
              <m:t>σ</m:t>
            </m:r>
          </m:e>
          <m:sub>
            <m:r>
              <m:rPr>
                <m:nor/>
                <m:sty m:val="p"/>
              </m:rPr>
              <m:t>post</m:t>
            </m:r>
          </m:sub>
          <m:sup>
            <m:r>
              <m:t>0</m:t>
            </m:r>
          </m:sup>
        </m:sSubSup>
        <m:r>
          <m:rPr>
            <m:sty m:val="p"/>
          </m:rPr>
          <m:t>−</m:t>
        </m:r>
        <m:sSubSup>
          <m:e>
            <m:r>
              <m:t>σ</m:t>
            </m:r>
          </m:e>
          <m:sub>
            <m:r>
              <m:rPr>
                <m:nor/>
                <m:sty m:val="p"/>
              </m:rPr>
              <m:t>pre</m:t>
            </m:r>
          </m:sub>
          <m:sup>
            <m:r>
              <m:t>0</m:t>
            </m:r>
          </m:sup>
        </m:sSubSup>
        <m:r>
          <m:rPr>
            <m:sty m:val="p"/>
          </m:rPr>
          <m:t>&gt;</m:t>
        </m:r>
        <m:r>
          <m:t>0</m:t>
        </m:r>
      </m:oMath>
      <w:r>
        <w:rPr>
          <w:rFonts w:ascii="Times New Roman" w:hAnsi="Times New Roman" w:eastAsia="Times New Roman"/>
          <w:sz w:val="20"/>
        </w:rPr>
        <w:t xml:space="preserve">) in both cross-polarization (VH) and co-polarization (VV) channels</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Despite these promising physical principles, automated SAR change detection in rugged alpine terrain has historically suffered from acute false alarm rates and severe geometric distortions</w:t>
      </w:r>
      <w:r>
        <w:rPr>
          <w:rFonts w:ascii="Times New Roman" w:hAnsi="Times New Roman" w:eastAsia="Times New Roman"/>
          <w:sz w:val="20"/>
        </w:rPr>
        <w:t xml:space="preserve"> </w:t>
      </w:r>
      <w:r>
        <w:rPr>
          <w:rFonts w:ascii="Times New Roman" w:hAnsi="Times New Roman" w:eastAsia="Times New Roman"/>
          <w:sz w:val="20"/>
        </w:rPr>
        <w:t xml:space="preserve">(Bianchi et al. 2021; Gatti et al. 2026)</w:t>
      </w:r>
      <w:r>
        <w:rPr>
          <w:rFonts w:ascii="Times New Roman" w:hAnsi="Times New Roman" w:eastAsia="Times New Roman"/>
          <w:sz w:val="20"/>
        </w:rPr>
        <w:t xml:space="preserve">. In steep topography, the side-looking imaging geometry of SAR creates complex radiometric distortions:</w:t>
      </w:r>
    </w:p>
    <w:p>
      <w:pPr>
        <w:numPr>
          <w:ilvl w:val="0"/>
          <w:numId w:val="1001"/>
        </w:numPr>
        <w:spacing w:after="0" w:line="240" w:lineRule="auto"/>
      </w:pPr>
      <w:r>
        <w:rPr>
          <w:rFonts w:ascii="Times New Roman" w:hAnsi="Times New Roman" w:eastAsia="Times New Roman"/>
          <w:b/>
          <w:bCs/>
          <w:sz w:val="20"/>
        </w:rPr>
        <w:t xml:space="preserve">Local Incidence Angle (LIA) Compression:</w:t>
      </w:r>
      <w:r>
        <w:rPr>
          <w:rFonts w:ascii="Times New Roman" w:hAnsi="Times New Roman" w:eastAsia="Times New Roman"/>
          <w:sz w:val="20"/>
        </w:rPr>
        <w:t xml:space="preserve"> </w:t>
      </w:r>
      <w:r>
        <w:rPr>
          <w:rFonts w:ascii="Times New Roman" w:hAnsi="Times New Roman" w:eastAsia="Times New Roman"/>
          <w:sz w:val="20"/>
        </w:rPr>
        <w:t xml:space="preserve">Mountain slopes tilted directly toward the radar antenna experience extreme ground-range compression (foreshortening) and layover, resulting in artificially high backscatter values that mimic avalanche debris. Conversely, slopes tilted away from the sensor produce high incidence angles and radar shadow, where signal-to-noise ratios collapse</w:t>
      </w:r>
      <w:r>
        <w:rPr>
          <w:rFonts w:ascii="Times New Roman" w:hAnsi="Times New Roman" w:eastAsia="Times New Roman"/>
          <w:sz w:val="20"/>
        </w:rPr>
        <w:t xml:space="preserve"> </w:t>
      </w:r>
      <w:r>
        <w:rPr>
          <w:rFonts w:ascii="Times New Roman" w:hAnsi="Times New Roman" w:eastAsia="Times New Roman"/>
          <w:sz w:val="20"/>
        </w:rPr>
        <w:t xml:space="preserve">(Small 2011; Tompkin and Leinss 2021)</w:t>
      </w:r>
      <w:r>
        <w:rPr>
          <w:rFonts w:ascii="Times New Roman" w:hAnsi="Times New Roman" w:eastAsia="Times New Roman"/>
          <w:sz w:val="20"/>
        </w:rPr>
        <w:t xml:space="preserve">.</w:t>
      </w:r>
    </w:p>
    <w:p>
      <w:pPr>
        <w:numPr>
          <w:ilvl w:val="0"/>
          <w:numId w:val="1001"/>
        </w:numPr>
        <w:spacing w:after="0" w:line="240" w:lineRule="auto"/>
      </w:pPr>
      <w:r>
        <w:rPr>
          <w:rFonts w:ascii="Times New Roman" w:hAnsi="Times New Roman" w:eastAsia="Times New Roman"/>
          <w:b/>
          <w:bCs/>
          <w:sz w:val="20"/>
        </w:rPr>
        <w:t xml:space="preserve">Directional Slope-Aspect Alignment:</w:t>
      </w:r>
      <w:r>
        <w:rPr>
          <w:rFonts w:ascii="Times New Roman" w:hAnsi="Times New Roman" w:eastAsia="Times New Roman"/>
          <w:sz w:val="20"/>
        </w:rPr>
        <w:t xml:space="preserve"> </w:t>
      </w:r>
      <w:r>
        <w:rPr>
          <w:rFonts w:ascii="Times New Roman" w:hAnsi="Times New Roman" w:eastAsia="Times New Roman"/>
          <w:sz w:val="20"/>
        </w:rPr>
        <w:t xml:space="preserve">Sentinel-1 operates in near-polar orbits with fixed ascending (look azimuth</w:t>
      </w:r>
      <w:r>
        <w:rPr>
          <w:rFonts w:ascii="Times New Roman" w:hAnsi="Times New Roman" w:eastAsia="Times New Roman"/>
          <w:sz w:val="20"/>
        </w:rPr>
        <w:t xml:space="preserve"> </w:t>
      </w:r>
      <m:oMath>
        <m:sSub>
          <m:e>
            <m:r>
              <m:t>ϕ</m:t>
            </m:r>
          </m:e>
          <m:sub>
            <m:r>
              <m:rPr>
                <m:nor/>
                <m:sty m:val="p"/>
              </m:rPr>
              <m:t>look</m:t>
            </m:r>
          </m:sub>
        </m:sSub>
        <m:r>
          <m:rPr>
            <m:sty m:val="p"/>
          </m:rPr>
          <m:t>≈</m:t>
        </m:r>
        <m:sSup>
          <m:e>
            <m:r>
              <m:t>78</m:t>
            </m:r>
          </m:e>
          <m:sup>
            <m:r>
              <m:rPr>
                <m:sty m:val="p"/>
              </m:rPr>
              <m:t>∘</m:t>
            </m:r>
          </m:sup>
        </m:sSup>
      </m:oMath>
      <w:r>
        <w:rPr>
          <w:rFonts w:ascii="Times New Roman" w:hAnsi="Times New Roman" w:eastAsia="Times New Roman"/>
          <w:sz w:val="20"/>
        </w:rPr>
        <w:t xml:space="preserve">) and descending (</w:t>
      </w:r>
      <m:oMath>
        <m:sSub>
          <m:e>
            <m:r>
              <m:t>ϕ</m:t>
            </m:r>
          </m:e>
          <m:sub>
            <m:r>
              <m:rPr>
                <m:nor/>
                <m:sty m:val="p"/>
              </m:rPr>
              <m:t>look</m:t>
            </m:r>
          </m:sub>
        </m:sSub>
        <m:r>
          <m:rPr>
            <m:sty m:val="p"/>
          </m:rPr>
          <m:t>≈</m:t>
        </m:r>
        <m:sSup>
          <m:e>
            <m:r>
              <m:t>282</m:t>
            </m:r>
          </m:e>
          <m:sup>
            <m:r>
              <m:rPr>
                <m:sty m:val="p"/>
              </m:rPr>
              <m:t>∘</m:t>
            </m:r>
          </m:sup>
        </m:sSup>
      </m:oMath>
      <w:r>
        <w:rPr>
          <w:rFonts w:ascii="Times New Roman" w:hAnsi="Times New Roman" w:eastAsia="Times New Roman"/>
          <w:sz w:val="20"/>
        </w:rPr>
        <w:t xml:space="preserve">) lines of sight. As established by</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avalanche backscatter contrast is highly anisotropic with respect to the angle between slope aspect and radar look direction: slopes facing away from the radar exhibit the highest relative brightness anomalies (</w:t>
      </w:r>
      <m:oMath>
        <m:sSup>
          <m:e>
            <m:r>
              <m:t>55</m:t>
            </m:r>
          </m:e>
          <m:sup>
            <m:r>
              <m:rPr>
                <m:sty m:val="p"/>
              </m:rPr>
              <m:t>∘</m:t>
            </m:r>
          </m:sup>
        </m:sSup>
        <m:r>
          <m:rPr>
            <m:sty m:val="p"/>
          </m:rPr>
          <m:t>±</m:t>
        </m:r>
        <m:sSup>
          <m:e>
            <m:r>
              <m:t>20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LIA), while foreslopes generate severe topographic clutter. In complex alpine relief, steep topography also influences winter terrain roughness and snow drift accumulation</w:t>
      </w:r>
      <w:r>
        <w:rPr>
          <w:rFonts w:ascii="Times New Roman" w:hAnsi="Times New Roman" w:eastAsia="Times New Roman"/>
          <w:sz w:val="20"/>
        </w:rPr>
        <w:t xml:space="preserve"> </w:t>
      </w:r>
      <w:r>
        <w:rPr>
          <w:rFonts w:ascii="Times New Roman" w:hAnsi="Times New Roman" w:eastAsia="Times New Roman"/>
          <w:sz w:val="20"/>
        </w:rPr>
        <w:t xml:space="preserve">(Veitinger et al. 2014)</w:t>
      </w:r>
      <w:r>
        <w:rPr>
          <w:rFonts w:ascii="Times New Roman" w:hAnsi="Times New Roman" w:eastAsia="Times New Roman"/>
          <w:sz w:val="20"/>
        </w:rPr>
        <w:t xml:space="preserve">.</w:t>
      </w:r>
    </w:p>
    <w:p>
      <w:pPr>
        <w:numPr>
          <w:ilvl w:val="0"/>
          <w:numId w:val="1001"/>
        </w:numPr>
        <w:spacing w:after="0" w:line="240" w:lineRule="auto"/>
      </w:pPr>
      <w:r>
        <w:rPr>
          <w:rFonts w:ascii="Times New Roman" w:hAnsi="Times New Roman" w:eastAsia="Times New Roman"/>
          <w:b/>
          <w:bCs/>
          <w:sz w:val="20"/>
        </w:rPr>
        <w:t xml:space="preserve">Slope-Prior Sensitivity:</w:t>
      </w:r>
      <w:r>
        <w:rPr>
          <w:rFonts w:ascii="Times New Roman" w:hAnsi="Times New Roman" w:eastAsia="Times New Roman"/>
          <w:sz w:val="20"/>
        </w:rPr>
        <w:t xml:space="preserve"> </w:t>
      </w:r>
      <w:r>
        <w:rPr>
          <w:rFonts w:ascii="Times New Roman" w:hAnsi="Times New Roman" w:eastAsia="Times New Roman"/>
          <w:sz w:val="20"/>
        </w:rPr>
        <w:t xml:space="preserve">Flat valley bottoms (</w:t>
      </w:r>
      <m:oMath>
        <m:r>
          <m:rPr>
            <m:sty m:val="p"/>
          </m:rPr>
          <m:t>&lt;</m:t>
        </m:r>
        <m:sSup>
          <m:e>
            <m:r>
              <m:t>5</m:t>
            </m:r>
          </m:e>
          <m:sup>
            <m:r>
              <m:rPr>
                <m:sty m:val="p"/>
              </m:rPr>
              <m:t>∘</m:t>
            </m:r>
          </m:sup>
        </m:sSup>
      </m:oMath>
      <w:r>
        <w:rPr>
          <w:rFonts w:ascii="Times New Roman" w:hAnsi="Times New Roman" w:eastAsia="Times New Roman"/>
          <w:sz w:val="20"/>
        </w:rPr>
        <w:t xml:space="preserve">) and very steep rock faces (</w:t>
      </w:r>
      <m:oMath>
        <m:r>
          <m:rPr>
            <m:sty m:val="p"/>
          </m:rPr>
          <m:t>&gt;</m:t>
        </m:r>
        <m:sSup>
          <m:e>
            <m:r>
              <m:t>65</m:t>
            </m:r>
          </m:e>
          <m:sup>
            <m:r>
              <m:rPr>
                <m:sty m:val="p"/>
              </m:rPr>
              <m:t>∘</m:t>
            </m:r>
          </m:sup>
        </m:sSup>
      </m:oMath>
      <w:r>
        <w:rPr>
          <w:rFonts w:ascii="Times New Roman" w:hAnsi="Times New Roman" w:eastAsia="Times New Roman"/>
          <w:sz w:val="20"/>
        </w:rPr>
        <w:t xml:space="preserve">) can contain clutter, but they also contain genuine mapped debris through runout, terrain-model error, or geolocation effects. Any slope prior must therefore be treated as a heuristic rather than a physical-validity mask.</w:t>
      </w:r>
    </w:p>
    <w:p>
      <w:pPr>
        <w:pStyle w:val="FirstParagraph"/>
        <w:spacing w:after="0" w:line="240" w:lineRule="auto"/>
      </w:pPr>
      <w:r>
        <w:rPr>
          <w:rFonts w:ascii="Times New Roman" w:hAnsi="Times New Roman" w:eastAsia="Times New Roman"/>
          <w:sz w:val="20"/>
        </w:rPr>
        <w:t xml:space="preserve">Existing automated detection approaches have struggled to address these coupled physical mechanisms. Early methods relied on empirical thresholding of backscatter differences (</w:t>
      </w:r>
      <m:oMath>
        <m:r>
          <m:rPr>
            <m:sty m:val="p"/>
          </m:rPr>
          <m:t>Δ</m:t>
        </m:r>
        <m:sSup>
          <m:e>
            <m:r>
              <m:t>σ</m:t>
            </m:r>
          </m:e>
          <m:sup>
            <m:r>
              <m:t>0</m:t>
            </m:r>
          </m:sup>
        </m:sSup>
      </m:oMath>
      <w:r>
        <w:rPr>
          <w:rFonts w:ascii="Times New Roman" w:hAnsi="Times New Roman" w:eastAsia="Times New Roman"/>
          <w:sz w:val="20"/>
        </w:rPr>
        <w:t xml:space="preserve">) combined with heuristic slope filters</w:t>
      </w:r>
      <w:r>
        <w:rPr>
          <w:rFonts w:ascii="Times New Roman" w:hAnsi="Times New Roman" w:eastAsia="Times New Roman"/>
          <w:sz w:val="20"/>
        </w:rPr>
        <w:t xml:space="preserve"> </w:t>
      </w:r>
      <w:r>
        <w:rPr>
          <w:rFonts w:ascii="Times New Roman" w:hAnsi="Times New Roman" w:eastAsia="Times New Roman"/>
          <w:sz w:val="20"/>
        </w:rPr>
        <w:t xml:space="preserve">(Eckerstorfer et al. 2019; Vickers et al. 2016)</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Liu et al. (2021)</w:t>
      </w:r>
      <w:r>
        <w:rPr>
          <w:rFonts w:ascii="Times New Roman" w:hAnsi="Times New Roman" w:eastAsia="Times New Roman"/>
          <w:sz w:val="20"/>
        </w:rPr>
        <w:t xml:space="preserve"> </w:t>
      </w:r>
      <w:r>
        <w:rPr>
          <w:rFonts w:ascii="Times New Roman" w:hAnsi="Times New Roman" w:eastAsia="Times New Roman"/>
          <w:sz w:val="20"/>
        </w:rPr>
        <w:t xml:space="preserve">subsequently combined object-based Sentinel-1 classification with topographic causative indices using SVM and logistic-regression mapping. Recent deep-learning work introduced Siamese convolutional networks, attention-augmented change detection</w:t>
      </w:r>
      <w:r>
        <w:rPr>
          <w:rFonts w:ascii="Times New Roman" w:hAnsi="Times New Roman" w:eastAsia="Times New Roman"/>
          <w:sz w:val="20"/>
        </w:rPr>
        <w:t xml:space="preserve"> </w:t>
      </w:r>
      <w:r>
        <w:rPr>
          <w:rFonts w:ascii="Times New Roman" w:hAnsi="Times New Roman" w:eastAsia="Times New Roman"/>
          <w:sz w:val="20"/>
        </w:rPr>
        <w:t xml:space="preserve">(Caye Daudt et al. 2018; Zhang et al. 2018; Chen et al. 2022; Bandara and Patel 2022; Gatti et al. 2026)</w:t>
      </w:r>
      <w:r>
        <w:rPr>
          <w:rFonts w:ascii="Times New Roman" w:hAnsi="Times New Roman" w:eastAsia="Times New Roman"/>
          <w:sz w:val="20"/>
        </w:rPr>
        <w:t xml:space="preserve">, and promptable foundation models</w:t>
      </w:r>
      <w:r>
        <w:rPr>
          <w:rFonts w:ascii="Times New Roman" w:hAnsi="Times New Roman" w:eastAsia="Times New Roman"/>
          <w:sz w:val="20"/>
        </w:rPr>
        <w:t xml:space="preserve"> </w:t>
      </w:r>
      <w:r>
        <w:rPr>
          <w:rFonts w:ascii="Times New Roman" w:hAnsi="Times New Roman" w:eastAsia="Times New Roman"/>
          <w:sz w:val="20"/>
        </w:rPr>
        <w:t xml:space="preserve">(Gelato et al. 2026)</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Bianchi et al. (2021)</w:t>
      </w:r>
      <w:r>
        <w:rPr>
          <w:rFonts w:ascii="Times New Roman" w:hAnsi="Times New Roman" w:eastAsia="Times New Roman"/>
          <w:sz w:val="20"/>
        </w:rPr>
        <w:t xml:space="preserve"> </w:t>
      </w:r>
      <w:r>
        <w:rPr>
          <w:rFonts w:ascii="Times New Roman" w:hAnsi="Times New Roman" w:eastAsia="Times New Roman"/>
          <w:sz w:val="20"/>
        </w:rPr>
        <w:t xml:space="preserve">investigated convolutional segmentation with slope and potential-angle-of-reach masks, while</w:t>
      </w:r>
      <w:r>
        <w:rPr>
          <w:rFonts w:ascii="Times New Roman" w:hAnsi="Times New Roman" w:eastAsia="Times New Roman"/>
          <w:sz w:val="20"/>
        </w:rPr>
        <w:t xml:space="preserve"> </w:t>
      </w:r>
      <w:r>
        <w:rPr>
          <w:rFonts w:ascii="Times New Roman" w:hAnsi="Times New Roman" w:eastAsia="Times New Roman"/>
          <w:sz w:val="20"/>
        </w:rPr>
        <w:t xml:space="preserve">Gatti et al. (2026)</w:t>
      </w:r>
      <w:r>
        <w:rPr>
          <w:rFonts w:ascii="Times New Roman" w:hAnsi="Times New Roman" w:eastAsia="Times New Roman"/>
          <w:sz w:val="20"/>
        </w:rPr>
        <w:t xml:space="preserve"> </w:t>
      </w:r>
      <w:r>
        <w:rPr>
          <w:rFonts w:ascii="Times New Roman" w:hAnsi="Times New Roman" w:eastAsia="Times New Roman"/>
          <w:sz w:val="20"/>
        </w:rPr>
        <w:t xml:space="preserve">explored multimodal Swin Transformer concatenation on AvalCD. TopoRadar-Net differs from the object-based SVM/LR workflow of</w:t>
      </w:r>
      <w:r>
        <w:rPr>
          <w:rFonts w:ascii="Times New Roman" w:hAnsi="Times New Roman" w:eastAsia="Times New Roman"/>
          <w:sz w:val="20"/>
        </w:rPr>
        <w:t xml:space="preserve"> </w:t>
      </w:r>
      <w:r>
        <w:rPr>
          <w:rFonts w:ascii="Times New Roman" w:hAnsi="Times New Roman" w:eastAsia="Times New Roman"/>
          <w:sz w:val="20"/>
        </w:rPr>
        <w:t xml:space="preserve">Liu et al. (2021)</w:t>
      </w:r>
      <w:r>
        <w:rPr>
          <w:rFonts w:ascii="Times New Roman" w:hAnsi="Times New Roman" w:eastAsia="Times New Roman"/>
          <w:sz w:val="20"/>
        </w:rPr>
        <w:t xml:space="preserve"> </w:t>
      </w:r>
      <w:r>
        <w:rPr>
          <w:rFonts w:ascii="Times New Roman" w:hAnsi="Times New Roman" w:eastAsia="Times New Roman"/>
          <w:sz w:val="20"/>
        </w:rPr>
        <w:t xml:space="preserve">through learned SAR-query/topography-key-value fusion and differs from single-configuration studies through cross-system, multi-seed stability and negative-result characterization. In the wider natural-hazards literature, geomorphological assessment and deep-learning susceptibility studies show severe transfer hurdles across catchments</w:t>
      </w:r>
      <w:r>
        <w:rPr>
          <w:rFonts w:ascii="Times New Roman" w:hAnsi="Times New Roman" w:eastAsia="Times New Roman"/>
          <w:sz w:val="20"/>
        </w:rPr>
        <w:t xml:space="preserve"> </w:t>
      </w:r>
      <w:r>
        <w:rPr>
          <w:rFonts w:ascii="Times New Roman" w:hAnsi="Times New Roman" w:eastAsia="Times New Roman"/>
          <w:sz w:val="20"/>
        </w:rPr>
        <w:t xml:space="preserve">(Wang et al. 2023; Sajjad et al. 2024; Zhou et al. 2023; Guo et al. 2025; Guo et al. 2024; Garova et al. 2025; Cao et al. 2026)</w:t>
      </w:r>
      <w:r>
        <w:rPr>
          <w:rFonts w:ascii="Times New Roman" w:hAnsi="Times New Roman" w:eastAsia="Times New Roman"/>
          <w:sz w:val="20"/>
        </w:rPr>
        <w:t xml:space="preserve">. Our controlled comparisons evaluate whether auxiliary radar-topographic cross-attention and continuous aspect-look coordinates provide measurable advantages over standard architectures.</w:t>
      </w:r>
    </w:p>
    <w:p>
      <w:pPr>
        <w:pStyle w:val="BodyText"/>
        <w:spacing w:after="0" w:line="240" w:lineRule="auto"/>
      </w:pPr>
      <w:r>
        <w:rPr>
          <w:rFonts w:ascii="Times New Roman" w:hAnsi="Times New Roman" w:eastAsia="Times New Roman"/>
          <w:sz w:val="20"/>
        </w:rPr>
        <w:t xml:space="preserve">To overcome these fundamental limitations, we propose</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a lightweight, physics-guided cross-attention architecture specifically engineered for alpine SAR change detection. Rather than relying on black-box concatenation, TopoRadar-Net introduces four methodological, theoretical, and operational innovations:</w:t>
      </w:r>
    </w:p>
    <w:p>
      <w:pPr>
        <w:numPr>
          <w:ilvl w:val="0"/>
          <w:numId w:val="1002"/>
        </w:numPr>
        <w:spacing w:after="0" w:line="240" w:lineRule="auto"/>
      </w:pPr>
      <w:r>
        <w:rPr>
          <w:rFonts w:ascii="Times New Roman" w:hAnsi="Times New Roman" w:eastAsia="Times New Roman"/>
          <w:b/>
          <w:bCs/>
          <w:sz w:val="20"/>
        </w:rPr>
        <w:t xml:space="preserve">Theoretical Formulation of 2D Convolutional Inadequacy:</w:t>
      </w:r>
      <w:r>
        <w:rPr>
          <w:rFonts w:ascii="Times New Roman" w:hAnsi="Times New Roman" w:eastAsia="Times New Roman"/>
          <w:sz w:val="20"/>
        </w:rPr>
        <w:t xml:space="preserve"> </w:t>
      </w:r>
      <w:r>
        <w:rPr>
          <w:rFonts w:ascii="Times New Roman" w:hAnsi="Times New Roman" w:eastAsia="Times New Roman"/>
          <w:sz w:val="20"/>
        </w:rPr>
        <w:t xml:space="preserve">We formulate the geometric limitations of shift-invariant 2D linear convolutions operating purely on SAR intensity space under the non-stationary radiometric projection field</w:t>
      </w:r>
      <w:r>
        <w:rPr>
          <w:rFonts w:ascii="Times New Roman" w:hAnsi="Times New Roman" w:eastAsia="Times New Roman"/>
          <w:sz w:val="20"/>
        </w:rPr>
        <w:t xml:space="preserve"> </w:t>
      </w:r>
      <m:oMath>
        <m:f>
          <m:fPr>
            <m:type m:val="bar"/>
          </m:fPr>
          <m:num>
            <m:r>
              <m:rPr>
                <m:sty m:val="p"/>
              </m:rPr>
              <m:t>cos</m:t>
            </m:r>
            <m:r>
              <m:t>ψ</m:t>
            </m:r>
          </m:num>
          <m:den>
            <m:r>
              <m:rPr>
                <m:sty m:val="p"/>
              </m:rPr>
              <m:t>sin</m:t>
            </m:r>
            <m:sSub>
              <m:e>
                <m:r>
                  <m:t>θ</m:t>
                </m:r>
              </m:e>
              <m:sub>
                <m:r>
                  <m:rPr>
                    <m:nor/>
                    <m:sty m:val="p"/>
                  </m:rPr>
                  <m:t>inc</m:t>
                </m:r>
              </m:sub>
            </m:sSub>
          </m:den>
        </m:f>
      </m:oMath>
      <w:r>
        <w:rPr>
          <w:rFonts w:ascii="Times New Roman" w:hAnsi="Times New Roman" w:eastAsia="Times New Roman"/>
          <w:sz w:val="20"/>
        </w:rPr>
        <w:t xml:space="preserve">. We show that projecting terrain into a continuous 4D aspect-look manifold</w:t>
      </w:r>
      <w:r>
        <w:rPr>
          <w:rFonts w:ascii="Times New Roman" w:hAnsi="Times New Roman" w:eastAsia="Times New Roman"/>
          <w:sz w:val="20"/>
        </w:rPr>
        <w:t xml:space="preserve"> </w:t>
      </w:r>
      <m:oMath>
        <m:r>
          <m:rPr>
            <m:scr m:val="script"/>
            <m:sty m:val="p"/>
          </m:rPr>
          <m:t>M</m:t>
        </m:r>
      </m:oMath>
      <w:r>
        <w:rPr>
          <w:rFonts w:ascii="Times New Roman" w:hAnsi="Times New Roman" w:eastAsia="Times New Roman"/>
          <w:sz w:val="20"/>
        </w:rPr>
        <w:t xml:space="preserve"> </w:t>
      </w:r>
      <w:r>
        <w:rPr>
          <w:rFonts w:ascii="Times New Roman" w:hAnsi="Times New Roman" w:eastAsia="Times New Roman"/>
          <w:sz w:val="20"/>
        </w:rPr>
        <w:t xml:space="preserve">provides continuous orientation coordinates to condition feature representations without circular angular branch-cut discontinuities.</w:t>
      </w:r>
    </w:p>
    <w:p>
      <w:pPr>
        <w:numPr>
          <w:ilvl w:val="0"/>
          <w:numId w:val="1002"/>
        </w:numPr>
        <w:spacing w:after="0" w:line="240" w:lineRule="auto"/>
      </w:pPr>
      <w:r>
        <w:rPr>
          <w:rFonts w:ascii="Times New Roman" w:hAnsi="Times New Roman" w:eastAsia="Times New Roman"/>
          <w:b/>
          <w:bCs/>
          <w:sz w:val="20"/>
        </w:rPr>
        <w:t xml:space="preserve">Multi-Scale Radar-Topographic Cross-Attention Block (RTCAB):</w:t>
      </w:r>
      <w:r>
        <w:rPr>
          <w:rFonts w:ascii="Times New Roman" w:hAnsi="Times New Roman" w:eastAsia="Times New Roman"/>
          <w:sz w:val="20"/>
        </w:rPr>
        <w:t xml:space="preserve"> </w:t>
      </w:r>
      <w:r>
        <w:rPr>
          <w:rFonts w:ascii="Times New Roman" w:hAnsi="Times New Roman" w:eastAsia="Times New Roman"/>
          <w:sz w:val="20"/>
        </w:rPr>
        <w:t xml:space="preserve">We design a cross-attention mechanism wherein multi-scale bitemporal SAR change features serve as queries to interrogate regionally-pooled topographic geometry keys and values, conditioning spatial feature representations on terrain context.</w:t>
      </w:r>
    </w:p>
    <w:p>
      <w:pPr>
        <w:numPr>
          <w:ilvl w:val="0"/>
          <w:numId w:val="1002"/>
        </w:numPr>
        <w:spacing w:after="0" w:line="240" w:lineRule="auto"/>
      </w:pPr>
      <w:r>
        <w:rPr>
          <w:rFonts w:ascii="Times New Roman" w:hAnsi="Times New Roman" w:eastAsia="Times New Roman"/>
          <w:b/>
          <w:bCs/>
          <w:sz w:val="20"/>
        </w:rPr>
        <w:t xml:space="preserve">Heuristic Geomorphic Slope Prior (Geo-Loss):</w:t>
      </w:r>
      <w:r>
        <w:rPr>
          <w:rFonts w:ascii="Times New Roman" w:hAnsi="Times New Roman" w:eastAsia="Times New Roman"/>
          <w:sz w:val="20"/>
        </w:rPr>
        <w:t xml:space="preserve"> </w:t>
      </w:r>
      <w:r>
        <w:rPr>
          <w:rFonts w:ascii="Times New Roman" w:hAnsi="Times New Roman" w:eastAsia="Times New Roman"/>
          <w:sz w:val="20"/>
        </w:rPr>
        <w:t xml:space="preserve">We evaluate a soft penalty on predictions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A construct audit shows that the mask also covers genuine positive labels, so its ablation is interpreted as component sensitivity and its subgroup trade-off is reported explicitly.</w:t>
      </w:r>
    </w:p>
    <w:p>
      <w:pPr>
        <w:numPr>
          <w:ilvl w:val="0"/>
          <w:numId w:val="1002"/>
        </w:numPr>
        <w:spacing w:after="0" w:line="240" w:lineRule="auto"/>
      </w:pPr>
      <w:r>
        <w:rPr>
          <w:rFonts w:ascii="Times New Roman" w:hAnsi="Times New Roman" w:eastAsia="Times New Roman"/>
          <w:b/>
          <w:bCs/>
          <w:sz w:val="20"/>
        </w:rPr>
        <w:t xml:space="preserve">Cross-System Generalization and Conceptual Decision Support:</w:t>
      </w:r>
      <w:r>
        <w:rPr>
          <w:rFonts w:ascii="Times New Roman" w:hAnsi="Times New Roman" w:eastAsia="Times New Roman"/>
          <w:sz w:val="20"/>
        </w:rPr>
        <w:t xml:space="preserve"> </w:t>
      </w:r>
      <w:r>
        <w:rPr>
          <w:rFonts w:ascii="Times New Roman" w:hAnsi="Times New Roman" w:eastAsia="Times New Roman"/>
          <w:sz w:val="20"/>
        </w:rPr>
        <w:t xml:space="preserve">We evaluate TopoRadar-Net across four mountain systems comprising 7 Sentinel-1 scenes and 993 avalanche polygons. Across three seeds, the pooled margin over Attention U-Net is</w:t>
      </w:r>
      <w:r>
        <w:rPr>
          <w:rFonts w:ascii="Times New Roman" w:hAnsi="Times New Roman" w:eastAsia="Times New Roman"/>
          <w:sz w:val="20"/>
        </w:rPr>
        <w:t xml:space="preserve"> </w:t>
      </w:r>
      <m:oMath>
        <m:r>
          <m:rPr>
            <m:sty m:val="p"/>
          </m:rPr>
          <m:t>+</m:t>
        </m:r>
        <m:r>
          <m:t>0.38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0.869</m:t>
        </m:r>
      </m:oMath>
      <w:r>
        <w:rPr>
          <w:rFonts w:ascii="Times New Roman" w:hAnsi="Times New Roman" w:eastAsia="Times New Roman"/>
          <w:sz w:val="20"/>
        </w:rPr>
        <w:t xml:space="preserve">), while the margin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Exploratory Seed-42 backslope differences do not persist as stable three-seed effects (Troms</w:t>
      </w:r>
      <w:r>
        <w:rPr>
          <w:rFonts w:ascii="Times New Roman" w:hAnsi="Times New Roman" w:eastAsia="Times New Roman"/>
          <w:sz w:val="20"/>
        </w:rPr>
        <w:t xml:space="preserve">ø</w:t>
      </w:r>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Pamir:</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delimiting the evidence for directional conditioning. An explicitly unvalidated triage framework accompanies a</w:t>
      </w:r>
      <w:r>
        <w:rPr>
          <w:rFonts w:ascii="Times New Roman" w:hAnsi="Times New Roman" w:eastAsia="Times New Roman"/>
          <w:sz w:val="20"/>
        </w:rPr>
        <w:t xml:space="preserve"> </w:t>
      </w:r>
      <m:oMath>
        <m:r>
          <m:t>30.0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Pamir false-alarm difference (</w:t>
      </w:r>
      <m:oMath>
        <m:r>
          <m:t>72.9</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nominal-grid equivalent;</w:t>
      </w:r>
      <w:r>
        <w:rPr>
          <w:rFonts w:ascii="Times New Roman" w:hAnsi="Times New Roman" w:eastAsia="Times New Roman"/>
          <w:sz w:val="20"/>
        </w:rPr>
        <w:t xml:space="preserve"> </w:t>
      </w:r>
      <m:oMath>
        <m:r>
          <m:t>55.6</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affine physical difference) and</w:t>
      </w:r>
      <w:r>
        <w:rPr>
          <w:rFonts w:ascii="Times New Roman" w:hAnsi="Times New Roman" w:eastAsia="Times New Roman"/>
          <w:sz w:val="20"/>
        </w:rPr>
        <w:t xml:space="preserve"> </w:t>
      </w:r>
      <m:oMath>
        <m:r>
          <m:t>1.80</m:t>
        </m:r>
        <m:r>
          <m:rPr>
            <m:nor/>
            <m:sty m:val="p"/>
          </m:rPr>
          <m:t> s</m:t>
        </m:r>
      </m:oMath>
      <w:r>
        <w:rPr>
          <w:rFonts w:ascii="Times New Roman" w:hAnsi="Times New Roman" w:eastAsia="Times New Roman"/>
          <w:sz w:val="20"/>
        </w:rPr>
        <w:t xml:space="preserve"> </w:t>
      </w:r>
      <w:r>
        <w:rPr>
          <w:rFonts w:ascii="Times New Roman" w:hAnsi="Times New Roman" w:eastAsia="Times New Roman"/>
          <w:sz w:val="20"/>
        </w:rPr>
        <w:t xml:space="preserve">model-forward latency.</w:t>
      </w:r>
    </w:p>
    <w:p>
      <w:pPr>
        <w:pStyle w:val="FirstParagraph"/>
        <w:spacing w:after="0" w:line="240" w:lineRule="auto"/>
      </w:pPr>
      <w:r>
        <w:rPr>
          <w:rFonts w:ascii="Times New Roman" w:hAnsi="Times New Roman" w:eastAsia="Times New Roman"/>
          <w:sz w:val="20"/>
        </w:rPr>
        <w:t xml:space="preserve">The remainder of this article is organized as follows: Section 2 describes the regional settings, the AvalCD benchmark dataset, and data preprocessing. Section 3 details the radar-topographic physics, the TopoRadar-Net architecture, and the loss formulation. Section 4 presents comparative baseline performance, cross-region zero-shot evaluations, instance-level EAWS detection, and ablation studies. Section 5 discusses physical mechanisms, operational mountain safety implications, and study limitations. Section 6 concludes the paper.</w:t>
      </w:r>
    </w:p>
    <w:bookmarkEnd w:id="9"/>
    <w:bookmarkStart w:id="13" w:name="study-areas-and-dataset"/>
    <w:p>
      <w:pPr>
        <w:pStyle w:val="Heading1"/>
        <w:spacing w:after="0" w:line="240" w:lineRule="auto"/>
      </w:pPr>
      <w:r>
        <w:rPr>
          <w:rFonts w:ascii="Times New Roman" w:hAnsi="Times New Roman" w:eastAsia="Times New Roman"/>
          <w:sz w:val="20"/>
        </w:rPr>
        <w:t xml:space="preserve">Study Areas and Dataset</w:t>
      </w:r>
    </w:p>
    <w:bookmarkStart w:id="10" w:name="X8e0d66792647e7723d46b9cf9164d3919378076"/>
    <w:p>
      <w:pPr>
        <w:pStyle w:val="Heading2"/>
        <w:spacing w:after="0" w:line="240" w:lineRule="auto"/>
      </w:pPr>
      <w:r>
        <w:rPr>
          <w:rFonts w:ascii="Times New Roman" w:hAnsi="Times New Roman" w:eastAsia="Times New Roman"/>
          <w:sz w:val="20"/>
        </w:rPr>
        <w:t xml:space="preserve">Geographic and Climatic Characteristics of the Four Mountain Systems</w:t>
      </w:r>
    </w:p>
    <w:p>
      <w:pPr>
        <w:pStyle w:val="FirstParagraph"/>
        <w:spacing w:after="0" w:line="240" w:lineRule="auto"/>
      </w:pPr>
      <w:r>
        <w:rPr>
          <w:rFonts w:ascii="Times New Roman" w:hAnsi="Times New Roman" w:eastAsia="Times New Roman"/>
          <w:sz w:val="20"/>
        </w:rPr>
        <w:t xml:space="preserve">To rigorously assess the generalizability of deep change detection models across diverse mountain environments, this study leverages the open-access</w:t>
      </w:r>
      <w:r>
        <w:rPr>
          <w:rFonts w:ascii="Times New Roman" w:hAnsi="Times New Roman" w:eastAsia="Times New Roman"/>
          <w:sz w:val="20"/>
        </w:rPr>
        <w:t xml:space="preserve"> </w:t>
      </w:r>
      <w:r>
        <w:rPr>
          <w:rFonts w:ascii="Times New Roman" w:hAnsi="Times New Roman" w:eastAsia="Times New Roman"/>
          <w:b/>
          <w:bCs/>
          <w:sz w:val="20"/>
        </w:rPr>
        <w:t xml:space="preserve">AvalCD</w:t>
      </w:r>
      <w:r>
        <w:rPr>
          <w:rFonts w:ascii="Times New Roman" w:hAnsi="Times New Roman" w:eastAsia="Times New Roman"/>
          <w:sz w:val="20"/>
        </w:rPr>
        <w:t xml:space="preserve"> </w:t>
      </w:r>
      <w:r>
        <w:rPr>
          <w:rFonts w:ascii="Times New Roman" w:hAnsi="Times New Roman" w:eastAsia="Times New Roman"/>
          <w:sz w:val="20"/>
        </w:rPr>
        <w:t xml:space="preserve">benchmark</w:t>
      </w:r>
      <w:r>
        <w:rPr>
          <w:rFonts w:ascii="Times New Roman" w:hAnsi="Times New Roman" w:eastAsia="Times New Roman"/>
          <w:sz w:val="20"/>
        </w:rPr>
        <w:t xml:space="preserve"> </w:t>
      </w:r>
      <w:r>
        <w:rPr>
          <w:rFonts w:ascii="Times New Roman" w:hAnsi="Times New Roman" w:eastAsia="Times New Roman"/>
          <w:sz w:val="20"/>
        </w:rPr>
        <w:t xml:space="preserve">(Gatti 2026; Gatti et al. 2026)</w:t>
      </w:r>
      <w:r>
        <w:rPr>
          <w:rFonts w:ascii="Times New Roman" w:hAnsi="Times New Roman" w:eastAsia="Times New Roman"/>
          <w:sz w:val="20"/>
        </w:rPr>
        <w:t xml:space="preserve">. The benchmark spans four prominent, geographically disparate mountain ranges across Europe, Central Asia, and the Arctic (Table 1):</w:t>
      </w:r>
    </w:p>
    <w:p>
      <w:pPr>
        <w:pStyle w:val="BodyText"/>
        <w:spacing w:after="0" w:line="240" w:lineRule="auto"/>
      </w:pPr>
      <w:r>
        <w:rPr>
          <w:rFonts w:ascii="Times New Roman" w:hAnsi="Times New Roman" w:eastAsia="Times New Roman"/>
          <w:b/>
          <w:bCs/>
          <w:sz w:val="20"/>
        </w:rPr>
        <w:t xml:space="preserve">Table 1.</w:t>
      </w:r>
      <w:r>
        <w:rPr>
          <w:rFonts w:ascii="Times New Roman" w:hAnsi="Times New Roman" w:eastAsia="Times New Roman"/>
          <w:sz w:val="20"/>
        </w:rPr>
        <w:t xml:space="preserve"> </w:t>
      </w:r>
      <w:r>
        <w:rPr>
          <w:rFonts w:ascii="Times New Roman" w:hAnsi="Times New Roman" w:eastAsia="Times New Roman"/>
          <w:sz w:val="20"/>
        </w:rPr>
        <w:t xml:space="preserve">Summary of the AvalCD benchmark across four global mountain systems and seven avalanche events.</w:t>
      </w:r>
    </w:p>
    <w:tbl>
      <w:tblPr>
        <w:tblStyle w:val="Table"/>
        <w:tblW w:type="auto" w:w="0"/>
        <w:tblLayout w:type="autofit"/>
        <w:tblLook w:firstRow="1" w:lastRow="0" w:firstColumn="0" w:lastColumn="0" w:noHBand="0" w:noVBand="0" w:val="0020"/>
      </w:tblPr>
      <w:tblGrid>
        <w:gridCol w:w="1131"/>
        <w:gridCol w:w="1131"/>
        <w:gridCol w:w="1131"/>
        <w:gridCol w:w="1131"/>
        <w:gridCol w:w="1131"/>
        <w:gridCol w:w="1131"/>
        <w:gridCol w:w="1131"/>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Mountain System</w:t>
            </w:r>
          </w:p>
        </w:tc>
        <w:tc>
          <w:tcPr>
            <w:vAlign w:val="center"/>
          </w:tcPr>
          <w:p>
            <w:pPr>
              <w:pStyle w:val="Compact"/>
              <w:spacing w:before="0" w:after="0" w:line="240" w:lineRule="auto"/>
              <w:jc w:val="left"/>
            </w:pPr>
            <w:r>
              <w:rPr>
                <w:rFonts w:ascii="Times New Roman" w:hAnsi="Times New Roman" w:eastAsia="Times New Roman"/>
                <w:b/>
                <w:bCs/>
                <w:sz w:val="17"/>
              </w:rPr>
              <w:t xml:space="preserve">Event Name</w:t>
            </w:r>
          </w:p>
        </w:tc>
        <w:tc>
          <w:tcPr>
            <w:vAlign w:val="center"/>
          </w:tcPr>
          <w:p>
            <w:pPr>
              <w:pStyle w:val="Compact"/>
              <w:spacing w:before="0" w:after="0" w:line="240" w:lineRule="auto"/>
              <w:jc w:val="left"/>
            </w:pPr>
            <w:r>
              <w:rPr>
                <w:rFonts w:ascii="Times New Roman" w:hAnsi="Times New Roman" w:eastAsia="Times New Roman"/>
                <w:b/>
                <w:bCs/>
                <w:sz w:val="17"/>
              </w:rPr>
              <w:t xml:space="preserve">Region / Country</w:t>
            </w:r>
          </w:p>
        </w:tc>
        <w:tc>
          <w:tcPr>
            <w:vAlign w:val="center"/>
          </w:tcPr>
          <w:p>
            <w:pPr>
              <w:pStyle w:val="Compact"/>
              <w:spacing w:before="0" w:after="0" w:line="240" w:lineRule="auto"/>
              <w:jc w:val="center"/>
            </w:pPr>
            <w:r>
              <w:rPr>
                <w:rFonts w:ascii="Times New Roman" w:hAnsi="Times New Roman" w:eastAsia="Times New Roman"/>
                <w:b/>
                <w:bCs/>
                <w:sz w:val="17"/>
              </w:rPr>
              <w:t xml:space="preserve">Elevation (m)</w:t>
            </w:r>
          </w:p>
        </w:tc>
        <w:tc>
          <w:tcPr>
            <w:vAlign w:val="center"/>
          </w:tcPr>
          <w:p>
            <w:pPr>
              <w:pStyle w:val="Compact"/>
              <w:spacing w:before="0" w:after="0" w:line="240" w:lineRule="auto"/>
              <w:jc w:val="right"/>
            </w:pPr>
            <w:r>
              <w:rPr>
                <w:rFonts w:ascii="Times New Roman" w:hAnsi="Times New Roman" w:eastAsia="Times New Roman"/>
                <w:b/>
                <w:bCs/>
                <w:sz w:val="17"/>
              </w:rPr>
              <w:t xml:space="preserve">Grid Size (px)</w:t>
            </w:r>
          </w:p>
        </w:tc>
        <w:tc>
          <w:tcPr>
            <w:vAlign w:val="center"/>
          </w:tcPr>
          <w:p>
            <w:pPr>
              <w:pStyle w:val="Compact"/>
              <w:spacing w:before="0" w:after="0" w:line="240" w:lineRule="auto"/>
              <w:jc w:val="right"/>
            </w:pPr>
            <w:r>
              <w:rPr>
                <w:rFonts w:ascii="Times New Roman" w:hAnsi="Times New Roman" w:eastAsia="Times New Roman"/>
                <w:b/>
                <w:bCs/>
                <w:sz w:val="17"/>
              </w:rPr>
              <w:t xml:space="preserve">Polygons</w:t>
            </w:r>
          </w:p>
        </w:tc>
        <w:tc>
          <w:tcPr>
            <w:vAlign w:val="center"/>
          </w:tcPr>
          <w:p>
            <w:pPr>
              <w:pStyle w:val="Compact"/>
              <w:spacing w:before="0" w:after="0" w:line="240" w:lineRule="auto"/>
              <w:jc w:val="right"/>
            </w:pPr>
            <w:r>
              <w:rPr>
                <w:rFonts w:ascii="Times New Roman" w:hAnsi="Times New Roman" w:eastAsia="Times New Roman"/>
                <w:b/>
                <w:bCs/>
                <w:sz w:val="17"/>
              </w:rPr>
              <w:t xml:space="preserve">Debris (px)</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European Alps</w:t>
            </w:r>
          </w:p>
        </w:tc>
        <w:tc>
          <w:tcPr>
            <w:vAlign w:val="center"/>
          </w:tcPr>
          <w:p>
            <w:pPr>
              <w:pStyle w:val="Compact"/>
              <w:spacing w:before="0" w:after="0" w:line="240" w:lineRule="auto"/>
              <w:jc w:val="left"/>
            </w:pPr>
            <w:r>
              <w:rPr>
                <w:rFonts w:ascii="Times New Roman" w:hAnsi="Times New Roman" w:eastAsia="Times New Roman"/>
                <w:sz w:val="17"/>
              </w:rPr>
              <w:t xml:space="preserve">Livigno_20240403</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1,250–3,890</w:t>
            </w:r>
          </w:p>
        </w:tc>
        <w:tc>
          <w:tcPr>
            <w:vAlign w:val="center"/>
          </w:tcPr>
          <w:p>
            <w:pPr>
              <w:pStyle w:val="Compact"/>
              <w:spacing w:before="0" w:after="0" w:line="240" w:lineRule="auto"/>
              <w:jc w:val="right"/>
            </w:pPr>
            <w:r>
              <w:rPr>
                <w:rFonts w:ascii="Times New Roman" w:hAnsi="Times New Roman" w:eastAsia="Times New Roman"/>
                <w:sz w:val="17"/>
              </w:rPr>
              <w:t xml:space="preserve">2462 × 2091</w:t>
            </w:r>
          </w:p>
        </w:tc>
        <w:tc>
          <w:tcPr>
            <w:vAlign w:val="center"/>
          </w:tcPr>
          <w:p>
            <w:pPr>
              <w:pStyle w:val="Compact"/>
              <w:spacing w:before="0" w:after="0" w:line="240" w:lineRule="auto"/>
              <w:jc w:val="right"/>
            </w:pPr>
            <w:r>
              <w:rPr>
                <w:rFonts w:ascii="Times New Roman" w:hAnsi="Times New Roman" w:eastAsia="Times New Roman"/>
                <w:sz w:val="17"/>
              </w:rPr>
              <w:t xml:space="preserve">231</w:t>
            </w:r>
          </w:p>
        </w:tc>
        <w:tc>
          <w:tcPr>
            <w:vAlign w:val="center"/>
          </w:tcPr>
          <w:p>
            <w:pPr>
              <w:pStyle w:val="Compact"/>
              <w:spacing w:before="0" w:after="0" w:line="240" w:lineRule="auto"/>
              <w:jc w:val="right"/>
            </w:pPr>
            <w:r>
              <w:rPr>
                <w:rFonts w:ascii="Times New Roman" w:hAnsi="Times New Roman" w:eastAsia="Times New Roman"/>
                <w:sz w:val="17"/>
              </w:rPr>
              <w:t xml:space="preserve">32,606</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Livigno_20250129</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1,310–3,890</w:t>
            </w:r>
          </w:p>
        </w:tc>
        <w:tc>
          <w:tcPr>
            <w:vAlign w:val="center"/>
          </w:tcPr>
          <w:p>
            <w:pPr>
              <w:pStyle w:val="Compact"/>
              <w:spacing w:before="0" w:after="0" w:line="240" w:lineRule="auto"/>
              <w:jc w:val="right"/>
            </w:pPr>
            <w:r>
              <w:rPr>
                <w:rFonts w:ascii="Times New Roman" w:hAnsi="Times New Roman" w:eastAsia="Times New Roman"/>
                <w:sz w:val="17"/>
              </w:rPr>
              <w:t xml:space="preserve">2388 × 1629</w:t>
            </w:r>
          </w:p>
        </w:tc>
        <w:tc>
          <w:tcPr>
            <w:vAlign w:val="center"/>
          </w:tcPr>
          <w:p>
            <w:pPr>
              <w:pStyle w:val="Compact"/>
              <w:spacing w:before="0" w:after="0" w:line="240" w:lineRule="auto"/>
              <w:jc w:val="right"/>
            </w:pPr>
            <w:r>
              <w:rPr>
                <w:rFonts w:ascii="Times New Roman" w:hAnsi="Times New Roman" w:eastAsia="Times New Roman"/>
                <w:sz w:val="17"/>
              </w:rPr>
              <w:t xml:space="preserve">207</w:t>
            </w:r>
          </w:p>
        </w:tc>
        <w:tc>
          <w:tcPr>
            <w:vAlign w:val="center"/>
          </w:tcPr>
          <w:p>
            <w:pPr>
              <w:pStyle w:val="Compact"/>
              <w:spacing w:before="0" w:after="0" w:line="240" w:lineRule="auto"/>
              <w:jc w:val="right"/>
            </w:pPr>
            <w:r>
              <w:rPr>
                <w:rFonts w:ascii="Times New Roman" w:hAnsi="Times New Roman" w:eastAsia="Times New Roman"/>
                <w:sz w:val="17"/>
              </w:rPr>
              <w:t xml:space="preserve">11,438</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Livigno_20250318</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1,210–3,890</w:t>
            </w:r>
          </w:p>
        </w:tc>
        <w:tc>
          <w:tcPr>
            <w:vAlign w:val="center"/>
          </w:tcPr>
          <w:p>
            <w:pPr>
              <w:pStyle w:val="Compact"/>
              <w:spacing w:before="0" w:after="0" w:line="240" w:lineRule="auto"/>
              <w:jc w:val="right"/>
            </w:pPr>
            <w:r>
              <w:rPr>
                <w:rFonts w:ascii="Times New Roman" w:hAnsi="Times New Roman" w:eastAsia="Times New Roman"/>
                <w:sz w:val="17"/>
              </w:rPr>
              <w:t xml:space="preserve">3069 × 2814</w:t>
            </w:r>
          </w:p>
        </w:tc>
        <w:tc>
          <w:tcPr>
            <w:vAlign w:val="center"/>
          </w:tcPr>
          <w:p>
            <w:pPr>
              <w:pStyle w:val="Compact"/>
              <w:spacing w:before="0" w:after="0" w:line="240" w:lineRule="auto"/>
              <w:jc w:val="right"/>
            </w:pPr>
            <w:r>
              <w:rPr>
                <w:rFonts w:ascii="Times New Roman" w:hAnsi="Times New Roman" w:eastAsia="Times New Roman"/>
                <w:sz w:val="17"/>
              </w:rPr>
              <w:t xml:space="preserve">79</w:t>
            </w:r>
          </w:p>
        </w:tc>
        <w:tc>
          <w:tcPr>
            <w:vAlign w:val="center"/>
          </w:tcPr>
          <w:p>
            <w:pPr>
              <w:pStyle w:val="Compact"/>
              <w:spacing w:before="0" w:after="0" w:line="240" w:lineRule="auto"/>
              <w:jc w:val="right"/>
            </w:pPr>
            <w:r>
              <w:rPr>
                <w:rFonts w:ascii="Times New Roman" w:hAnsi="Times New Roman" w:eastAsia="Times New Roman"/>
                <w:sz w:val="17"/>
              </w:rPr>
              <w:t xml:space="preserve">7,392</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Greenland Arctic</w:t>
            </w:r>
          </w:p>
        </w:tc>
        <w:tc>
          <w:tcPr>
            <w:vAlign w:val="center"/>
          </w:tcPr>
          <w:p>
            <w:pPr>
              <w:pStyle w:val="Compact"/>
              <w:spacing w:before="0" w:after="0" w:line="240" w:lineRule="auto"/>
              <w:jc w:val="left"/>
            </w:pPr>
            <w:r>
              <w:rPr>
                <w:rFonts w:ascii="Times New Roman" w:hAnsi="Times New Roman" w:eastAsia="Times New Roman"/>
                <w:sz w:val="17"/>
              </w:rPr>
              <w:t xml:space="preserve">Nuuk_20160413</w:t>
            </w:r>
          </w:p>
        </w:tc>
        <w:tc>
          <w:tcPr>
            <w:vAlign w:val="center"/>
          </w:tcPr>
          <w:p>
            <w:pPr>
              <w:pStyle w:val="Compact"/>
              <w:spacing w:before="0" w:after="0" w:line="240" w:lineRule="auto"/>
              <w:jc w:val="left"/>
            </w:pPr>
            <w:r>
              <w:rPr>
                <w:rFonts w:ascii="Times New Roman" w:hAnsi="Times New Roman" w:eastAsia="Times New Roman"/>
                <w:sz w:val="17"/>
              </w:rPr>
              <w:t xml:space="preserve">Southwest Greenland</w:t>
            </w:r>
          </w:p>
        </w:tc>
        <w:tc>
          <w:tcPr>
            <w:vAlign w:val="center"/>
          </w:tcPr>
          <w:p>
            <w:pPr>
              <w:pStyle w:val="Compact"/>
              <w:spacing w:before="0" w:after="0" w:line="240" w:lineRule="auto"/>
              <w:jc w:val="center"/>
            </w:pPr>
            <w:r>
              <w:rPr>
                <w:rFonts w:ascii="Times New Roman" w:hAnsi="Times New Roman" w:eastAsia="Times New Roman"/>
                <w:sz w:val="17"/>
              </w:rPr>
              <w:t xml:space="preserve">0–1,620</w:t>
            </w:r>
          </w:p>
        </w:tc>
        <w:tc>
          <w:tcPr>
            <w:vAlign w:val="center"/>
          </w:tcPr>
          <w:p>
            <w:pPr>
              <w:pStyle w:val="Compact"/>
              <w:spacing w:before="0" w:after="0" w:line="240" w:lineRule="auto"/>
              <w:jc w:val="right"/>
            </w:pPr>
            <w:r>
              <w:rPr>
                <w:rFonts w:ascii="Times New Roman" w:hAnsi="Times New Roman" w:eastAsia="Times New Roman"/>
                <w:sz w:val="17"/>
              </w:rPr>
              <w:t xml:space="preserve">2387 × 4619</w:t>
            </w:r>
          </w:p>
        </w:tc>
        <w:tc>
          <w:tcPr>
            <w:vAlign w:val="center"/>
          </w:tcPr>
          <w:p>
            <w:pPr>
              <w:pStyle w:val="Compact"/>
              <w:spacing w:before="0" w:after="0" w:line="240" w:lineRule="auto"/>
              <w:jc w:val="right"/>
            </w:pPr>
            <w:r>
              <w:rPr>
                <w:rFonts w:ascii="Times New Roman" w:hAnsi="Times New Roman" w:eastAsia="Times New Roman"/>
                <w:sz w:val="17"/>
              </w:rPr>
              <w:t xml:space="preserve">117</w:t>
            </w:r>
          </w:p>
        </w:tc>
        <w:tc>
          <w:tcPr>
            <w:vAlign w:val="center"/>
          </w:tcPr>
          <w:p>
            <w:pPr>
              <w:pStyle w:val="Compact"/>
              <w:spacing w:before="0" w:after="0" w:line="240" w:lineRule="auto"/>
              <w:jc w:val="right"/>
            </w:pPr>
            <w:r>
              <w:rPr>
                <w:rFonts w:ascii="Times New Roman" w:hAnsi="Times New Roman" w:eastAsia="Times New Roman"/>
                <w:sz w:val="17"/>
              </w:rPr>
              <w:t xml:space="preserve">64,822</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Nuuk_20210411</w:t>
            </w:r>
          </w:p>
        </w:tc>
        <w:tc>
          <w:tcPr>
            <w:vAlign w:val="center"/>
          </w:tcPr>
          <w:p>
            <w:pPr>
              <w:pStyle w:val="Compact"/>
              <w:spacing w:before="0" w:after="0" w:line="240" w:lineRule="auto"/>
              <w:jc w:val="left"/>
            </w:pPr>
            <w:r>
              <w:rPr>
                <w:rFonts w:ascii="Times New Roman" w:hAnsi="Times New Roman" w:eastAsia="Times New Roman"/>
                <w:sz w:val="17"/>
              </w:rPr>
              <w:t xml:space="preserve">Southwest Greenland</w:t>
            </w:r>
          </w:p>
        </w:tc>
        <w:tc>
          <w:tcPr>
            <w:vAlign w:val="center"/>
          </w:tcPr>
          <w:p>
            <w:pPr>
              <w:pStyle w:val="Compact"/>
              <w:spacing w:before="0" w:after="0" w:line="240" w:lineRule="auto"/>
              <w:jc w:val="center"/>
            </w:pPr>
            <w:r>
              <w:rPr>
                <w:rFonts w:ascii="Times New Roman" w:hAnsi="Times New Roman" w:eastAsia="Times New Roman"/>
                <w:sz w:val="17"/>
              </w:rPr>
              <w:t xml:space="preserve">0–1,740</w:t>
            </w:r>
          </w:p>
        </w:tc>
        <w:tc>
          <w:tcPr>
            <w:vAlign w:val="center"/>
          </w:tcPr>
          <w:p>
            <w:pPr>
              <w:pStyle w:val="Compact"/>
              <w:spacing w:before="0" w:after="0" w:line="240" w:lineRule="auto"/>
              <w:jc w:val="right"/>
            </w:pPr>
            <w:r>
              <w:rPr>
                <w:rFonts w:ascii="Times New Roman" w:hAnsi="Times New Roman" w:eastAsia="Times New Roman"/>
                <w:sz w:val="17"/>
              </w:rPr>
              <w:t xml:space="preserve">2836 × 4931</w:t>
            </w:r>
          </w:p>
        </w:tc>
        <w:tc>
          <w:tcPr>
            <w:vAlign w:val="center"/>
          </w:tcPr>
          <w:p>
            <w:pPr>
              <w:pStyle w:val="Compact"/>
              <w:spacing w:before="0" w:after="0" w:line="240" w:lineRule="auto"/>
              <w:jc w:val="right"/>
            </w:pPr>
            <w:r>
              <w:rPr>
                <w:rFonts w:ascii="Times New Roman" w:hAnsi="Times New Roman" w:eastAsia="Times New Roman"/>
                <w:sz w:val="17"/>
              </w:rPr>
              <w:t xml:space="preserve">129</w:t>
            </w:r>
          </w:p>
        </w:tc>
        <w:tc>
          <w:tcPr>
            <w:vAlign w:val="center"/>
          </w:tcPr>
          <w:p>
            <w:pPr>
              <w:pStyle w:val="Compact"/>
              <w:spacing w:before="0" w:after="0" w:line="240" w:lineRule="auto"/>
              <w:jc w:val="right"/>
            </w:pPr>
            <w:r>
              <w:rPr>
                <w:rFonts w:ascii="Times New Roman" w:hAnsi="Times New Roman" w:eastAsia="Times New Roman"/>
                <w:sz w:val="17"/>
              </w:rPr>
              <w:t xml:space="preserve">81,595</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Pamir Mountains</w:t>
            </w:r>
          </w:p>
        </w:tc>
        <w:tc>
          <w:tcPr>
            <w:vAlign w:val="center"/>
          </w:tcPr>
          <w:p>
            <w:pPr>
              <w:pStyle w:val="Compact"/>
              <w:spacing w:before="0" w:after="0" w:line="240" w:lineRule="auto"/>
              <w:jc w:val="left"/>
            </w:pPr>
            <w:r>
              <w:rPr>
                <w:rFonts w:ascii="Times New Roman" w:hAnsi="Times New Roman" w:eastAsia="Times New Roman"/>
                <w:sz w:val="17"/>
              </w:rPr>
              <w:t xml:space="preserve">Pish_20230221</w:t>
            </w:r>
          </w:p>
        </w:tc>
        <w:tc>
          <w:tcPr>
            <w:vAlign w:val="center"/>
          </w:tcPr>
          <w:p>
            <w:pPr>
              <w:pStyle w:val="Compact"/>
              <w:spacing w:before="0" w:after="0" w:line="240" w:lineRule="auto"/>
              <w:jc w:val="left"/>
            </w:pPr>
            <w:r>
              <w:rPr>
                <w:rFonts w:ascii="Times New Roman" w:hAnsi="Times New Roman" w:eastAsia="Times New Roman"/>
                <w:sz w:val="17"/>
              </w:rPr>
              <w:t xml:space="preserve">Shughnon, Tajikistan</w:t>
            </w:r>
          </w:p>
        </w:tc>
        <w:tc>
          <w:tcPr>
            <w:vAlign w:val="center"/>
          </w:tcPr>
          <w:p>
            <w:pPr>
              <w:pStyle w:val="Compact"/>
              <w:spacing w:before="0" w:after="0" w:line="240" w:lineRule="auto"/>
              <w:jc w:val="center"/>
            </w:pPr>
            <w:r>
              <w:rPr>
                <w:rFonts w:ascii="Times New Roman" w:hAnsi="Times New Roman" w:eastAsia="Times New Roman"/>
                <w:sz w:val="17"/>
              </w:rPr>
              <w:t xml:space="preserve">2,100–5,420</w:t>
            </w:r>
          </w:p>
        </w:tc>
        <w:tc>
          <w:tcPr>
            <w:vAlign w:val="center"/>
          </w:tcPr>
          <w:p>
            <w:pPr>
              <w:pStyle w:val="Compact"/>
              <w:spacing w:before="0" w:after="0" w:line="240" w:lineRule="auto"/>
              <w:jc w:val="right"/>
            </w:pPr>
            <w:r>
              <w:rPr>
                <w:rFonts w:ascii="Times New Roman" w:hAnsi="Times New Roman" w:eastAsia="Times New Roman"/>
                <w:sz w:val="17"/>
              </w:rPr>
              <w:t xml:space="preserve">1894 × 1896</w:t>
            </w:r>
          </w:p>
        </w:tc>
        <w:tc>
          <w:tcPr>
            <w:vAlign w:val="center"/>
          </w:tcPr>
          <w:p>
            <w:pPr>
              <w:pStyle w:val="Compact"/>
              <w:spacing w:before="0" w:after="0" w:line="240" w:lineRule="auto"/>
              <w:jc w:val="right"/>
            </w:pPr>
            <w:r>
              <w:rPr>
                <w:rFonts w:ascii="Times New Roman" w:hAnsi="Times New Roman" w:eastAsia="Times New Roman"/>
                <w:sz w:val="17"/>
              </w:rPr>
              <w:t xml:space="preserve">113</w:t>
            </w:r>
          </w:p>
        </w:tc>
        <w:tc>
          <w:tcPr>
            <w:vAlign w:val="center"/>
          </w:tcPr>
          <w:p>
            <w:pPr>
              <w:pStyle w:val="Compact"/>
              <w:spacing w:before="0" w:after="0" w:line="240" w:lineRule="auto"/>
              <w:jc w:val="right"/>
            </w:pPr>
            <w:r>
              <w:rPr>
                <w:rFonts w:ascii="Times New Roman" w:hAnsi="Times New Roman" w:eastAsia="Times New Roman"/>
                <w:sz w:val="17"/>
              </w:rPr>
              <w:t xml:space="preserve">22,579</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Scandinavian Arctic</w:t>
            </w:r>
          </w:p>
        </w:tc>
        <w:tc>
          <w:tcPr>
            <w:vAlign w:val="center"/>
          </w:tcPr>
          <w:p>
            <w:pPr>
              <w:pStyle w:val="Compact"/>
              <w:spacing w:before="0" w:after="0" w:line="240" w:lineRule="auto"/>
              <w:jc w:val="left"/>
            </w:pPr>
            <w:r>
              <w:rPr>
                <w:rFonts w:ascii="Times New Roman" w:hAnsi="Times New Roman" w:eastAsia="Times New Roman"/>
                <w:sz w:val="17"/>
              </w:rPr>
              <w:t xml:space="preserve">Tromso_20241220</w:t>
            </w:r>
          </w:p>
        </w:tc>
        <w:tc>
          <w:tcPr>
            <w:vAlign w:val="center"/>
          </w:tcPr>
          <w:p>
            <w:pPr>
              <w:pStyle w:val="Compact"/>
              <w:spacing w:before="0" w:after="0" w:line="240" w:lineRule="auto"/>
              <w:jc w:val="left"/>
            </w:pPr>
            <w:r>
              <w:rPr>
                <w:rFonts w:ascii="Times New Roman" w:hAnsi="Times New Roman" w:eastAsia="Times New Roman"/>
                <w:sz w:val="17"/>
              </w:rPr>
              <w:t xml:space="preserve">Troms, Norway</w:t>
            </w:r>
          </w:p>
        </w:tc>
        <w:tc>
          <w:tcPr>
            <w:vAlign w:val="center"/>
          </w:tcPr>
          <w:p>
            <w:pPr>
              <w:pStyle w:val="Compact"/>
              <w:spacing w:before="0" w:after="0" w:line="240" w:lineRule="auto"/>
              <w:jc w:val="center"/>
            </w:pPr>
            <w:r>
              <w:rPr>
                <w:rFonts w:ascii="Times New Roman" w:hAnsi="Times New Roman" w:eastAsia="Times New Roman"/>
                <w:sz w:val="17"/>
              </w:rPr>
              <w:t xml:space="preserve">0–1,830</w:t>
            </w:r>
          </w:p>
        </w:tc>
        <w:tc>
          <w:tcPr>
            <w:vAlign w:val="center"/>
          </w:tcPr>
          <w:p>
            <w:pPr>
              <w:pStyle w:val="Compact"/>
              <w:spacing w:before="0" w:after="0" w:line="240" w:lineRule="auto"/>
              <w:jc w:val="right"/>
            </w:pPr>
            <w:r>
              <w:rPr>
                <w:rFonts w:ascii="Times New Roman" w:hAnsi="Times New Roman" w:eastAsia="Times New Roman"/>
                <w:sz w:val="17"/>
              </w:rPr>
              <w:t xml:space="preserve">1691 × 1454</w:t>
            </w:r>
          </w:p>
        </w:tc>
        <w:tc>
          <w:tcPr>
            <w:vAlign w:val="center"/>
          </w:tcPr>
          <w:p>
            <w:pPr>
              <w:pStyle w:val="Compact"/>
              <w:spacing w:before="0" w:after="0" w:line="240" w:lineRule="auto"/>
              <w:jc w:val="right"/>
            </w:pPr>
            <w:r>
              <w:rPr>
                <w:rFonts w:ascii="Times New Roman" w:hAnsi="Times New Roman" w:eastAsia="Times New Roman"/>
                <w:sz w:val="17"/>
              </w:rPr>
              <w:t xml:space="preserve">117</w:t>
            </w:r>
          </w:p>
        </w:tc>
        <w:tc>
          <w:tcPr>
            <w:vAlign w:val="center"/>
          </w:tcPr>
          <w:p>
            <w:pPr>
              <w:pStyle w:val="Compact"/>
              <w:spacing w:before="0" w:after="0" w:line="240" w:lineRule="auto"/>
              <w:jc w:val="right"/>
            </w:pPr>
            <w:r>
              <w:rPr>
                <w:rFonts w:ascii="Times New Roman" w:hAnsi="Times New Roman" w:eastAsia="Times New Roman"/>
                <w:sz w:val="17"/>
              </w:rPr>
              <w:t xml:space="preserve">33,972</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Total / Benchmark</w:t>
            </w:r>
          </w:p>
        </w:tc>
        <w:tc>
          <w:tcPr>
            <w:vAlign w:val="center"/>
          </w:tcPr>
          <w:p>
            <w:pPr>
              <w:pStyle w:val="Compact"/>
              <w:spacing w:before="0" w:after="0" w:line="240" w:lineRule="auto"/>
              <w:jc w:val="left"/>
            </w:pPr>
            <w:r>
              <w:rPr>
                <w:rFonts w:ascii="Times New Roman" w:hAnsi="Times New Roman" w:eastAsia="Times New Roman"/>
                <w:b/>
                <w:bCs/>
                <w:sz w:val="17"/>
              </w:rPr>
              <w:t xml:space="preserve">7 Events</w:t>
            </w:r>
          </w:p>
        </w:tc>
        <w:tc>
          <w:tcPr>
            <w:vAlign w:val="center"/>
          </w:tcPr>
          <w:p>
            <w:pPr>
              <w:pStyle w:val="Compact"/>
              <w:spacing w:before="0" w:after="0" w:line="240" w:lineRule="auto"/>
              <w:jc w:val="left"/>
            </w:pPr>
            <w:r>
              <w:rPr>
                <w:rFonts w:ascii="Times New Roman" w:hAnsi="Times New Roman" w:eastAsia="Times New Roman"/>
                <w:b/>
                <w:bCs/>
                <w:sz w:val="17"/>
              </w:rPr>
              <w:t xml:space="preserve">4 Ranges</w:t>
            </w:r>
          </w:p>
        </w:tc>
        <w:tc>
          <w:tcPr>
            <w:vAlign w:val="center"/>
          </w:tcPr>
          <w:p>
            <w:pPr>
              <w:pStyle w:val="Compact"/>
              <w:spacing w:before="0" w:after="0" w:line="240" w:lineRule="auto"/>
              <w:jc w:val="center"/>
            </w:pPr>
            <w:r>
              <w:rPr>
                <w:rFonts w:ascii="Times New Roman" w:hAnsi="Times New Roman" w:eastAsia="Times New Roman"/>
                <w:b/>
                <w:bCs/>
                <w:sz w:val="17"/>
              </w:rPr>
              <w:t xml:space="preserve">0–5,420</w:t>
            </w:r>
          </w:p>
        </w:tc>
        <w:tc>
          <w:tcPr>
            <w:vAlign w:val="center"/>
          </w:tcPr>
          <w:p>
            <w:pPr>
              <w:pStyle w:val="Compact"/>
              <w:spacing w:before="0" w:after="0" w:line="240" w:lineRule="auto"/>
              <w:jc w:val="right"/>
            </w:pPr>
            <w:r>
              <w:rPr>
                <w:rFonts w:ascii="Times New Roman" w:hAnsi="Times New Roman" w:eastAsia="Times New Roman"/>
                <w:b/>
                <w:bCs/>
                <w:sz w:val="17"/>
              </w:rPr>
              <w:t xml:space="preserve">48.7M px</w:t>
            </w:r>
          </w:p>
        </w:tc>
        <w:tc>
          <w:tcPr>
            <w:vAlign w:val="center"/>
          </w:tcPr>
          <w:p>
            <w:pPr>
              <w:pStyle w:val="Compact"/>
              <w:spacing w:before="0" w:after="0" w:line="240" w:lineRule="auto"/>
              <w:jc w:val="right"/>
            </w:pPr>
            <w:r>
              <w:rPr>
                <w:rFonts w:ascii="Times New Roman" w:hAnsi="Times New Roman" w:eastAsia="Times New Roman"/>
                <w:b/>
                <w:bCs/>
                <w:sz w:val="17"/>
              </w:rPr>
              <w:t xml:space="preserve">993</w:t>
            </w:r>
          </w:p>
        </w:tc>
        <w:tc>
          <w:tcPr>
            <w:vAlign w:val="center"/>
          </w:tcPr>
          <w:p>
            <w:pPr>
              <w:pStyle w:val="Compact"/>
              <w:spacing w:before="0" w:after="0" w:line="240" w:lineRule="auto"/>
              <w:jc w:val="right"/>
            </w:pPr>
            <w:r>
              <w:rPr>
                <w:rFonts w:ascii="Times New Roman" w:hAnsi="Times New Roman" w:eastAsia="Times New Roman"/>
                <w:b/>
                <w:bCs/>
                <w:sz w:val="17"/>
              </w:rPr>
              <w:t xml:space="preserve">254,404</w:t>
            </w:r>
          </w:p>
        </w:tc>
      </w:tr>
    </w:tbl>
    <w:p>
      <w:pPr>
        <w:numPr>
          <w:ilvl w:val="0"/>
          <w:numId w:val="1003"/>
        </w:numPr>
        <w:spacing w:after="0" w:line="240" w:lineRule="auto"/>
      </w:pPr>
      <w:r>
        <w:rPr>
          <w:rFonts w:ascii="Times New Roman" w:hAnsi="Times New Roman" w:eastAsia="Times New Roman"/>
          <w:b/>
          <w:bCs/>
          <w:sz w:val="20"/>
        </w:rPr>
        <w:t xml:space="preserve">European Alps (Livigno, Italy):</w:t>
      </w:r>
      <w:r>
        <w:rPr>
          <w:rFonts w:ascii="Times New Roman" w:hAnsi="Times New Roman" w:eastAsia="Times New Roman"/>
          <w:sz w:val="20"/>
        </w:rPr>
        <w:t xml:space="preserve"> </w:t>
      </w:r>
      <w:r>
        <w:rPr>
          <w:rFonts w:ascii="Times New Roman" w:hAnsi="Times New Roman" w:eastAsia="Times New Roman"/>
          <w:sz w:val="20"/>
        </w:rPr>
        <w:t xml:space="preserve">Located in the central Italian Alps near the Swiss border (</w:t>
      </w:r>
      <m:oMath>
        <m:sSup>
          <m:e>
            <m:r>
              <m:t>46</m:t>
            </m:r>
          </m:e>
          <m:sup>
            <m:r>
              <m:rPr>
                <m:sty m:val="p"/>
              </m:rPr>
              <m:t>∘</m:t>
            </m:r>
          </m:sup>
        </m:sSup>
        <m:sSup>
          <m:e>
            <m:r>
              <m:t>32</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10</m:t>
            </m:r>
          </m:e>
          <m:sup>
            <m:r>
              <m:rPr>
                <m:sty m:val="p"/>
              </m:rPr>
              <m:t>∘</m:t>
            </m:r>
          </m:sup>
        </m:sSup>
        <m:sSup>
          <m:e>
            <m:r>
              <m:t>08</m:t>
            </m:r>
          </m:e>
          <m:sup>
            <m:r>
              <m:rPr>
                <m:sty m:val="p"/>
              </m:rPr>
              <m:t>′</m:t>
            </m:r>
          </m:sup>
        </m:sSup>
        <m:r>
          <m:rPr>
            <m:nor/>
            <m:sty m:val="p"/>
          </m:rPr>
          <m:t>E</m:t>
        </m:r>
      </m:oMath>
      <w:r>
        <w:rPr>
          <w:rFonts w:ascii="Times New Roman" w:hAnsi="Times New Roman" w:eastAsia="Times New Roman"/>
          <w:sz w:val="20"/>
        </w:rPr>
        <w:t xml:space="preserve">), the Livigno region represents a temperate alpine mountain system characterized by steep glacial troughs, U-shaped valleys, and elevations ranging from 1,250 m to over 3,890 m. The region features intensive human recreation, ski infrastructure, and transportation corridors. The dataset encompasses three distinct avalanche cycles: a spring slab cycle in April 2024, a mid-winter powder cycle in January 2025, and a complex wet-snow avalanche cycle in March 2025.</w:t>
      </w:r>
    </w:p>
    <w:p>
      <w:pPr>
        <w:numPr>
          <w:ilvl w:val="0"/>
          <w:numId w:val="1003"/>
        </w:numPr>
        <w:spacing w:after="0" w:line="240" w:lineRule="auto"/>
      </w:pPr>
      <w:r>
        <w:rPr>
          <w:rFonts w:ascii="Times New Roman" w:hAnsi="Times New Roman" w:eastAsia="Times New Roman"/>
          <w:b/>
          <w:bCs/>
          <w:sz w:val="20"/>
        </w:rPr>
        <w:t xml:space="preserve">Pamir Mountains (Pish, Tajikistan):</w:t>
      </w:r>
      <w:r>
        <w:rPr>
          <w:rFonts w:ascii="Times New Roman" w:hAnsi="Times New Roman" w:eastAsia="Times New Roman"/>
          <w:sz w:val="20"/>
        </w:rPr>
        <w:t xml:space="preserve"> </w:t>
      </w:r>
      <w:r>
        <w:rPr>
          <w:rFonts w:ascii="Times New Roman" w:hAnsi="Times New Roman" w:eastAsia="Times New Roman"/>
          <w:sz w:val="20"/>
        </w:rPr>
        <w:t xml:space="preserve">The Pamir knot in Central Asia (</w:t>
      </w:r>
      <m:oMath>
        <m:sSup>
          <m:e>
            <m:r>
              <m:t>37</m:t>
            </m:r>
          </m:e>
          <m:sup>
            <m:r>
              <m:rPr>
                <m:sty m:val="p"/>
              </m:rPr>
              <m:t>∘</m:t>
            </m:r>
          </m:sup>
        </m:sSup>
        <m:sSup>
          <m:e>
            <m:r>
              <m:t>35</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71</m:t>
            </m:r>
          </m:e>
          <m:sup>
            <m:r>
              <m:rPr>
                <m:sty m:val="p"/>
              </m:rPr>
              <m:t>∘</m:t>
            </m:r>
          </m:sup>
        </m:sSup>
        <m:sSup>
          <m:e>
            <m:r>
              <m:t>39</m:t>
            </m:r>
          </m:e>
          <m:sup>
            <m:r>
              <m:rPr>
                <m:sty m:val="p"/>
              </m:rPr>
              <m:t>′</m:t>
            </m:r>
          </m:sup>
        </m:sSup>
        <m:r>
          <m:rPr>
            <m:nor/>
            <m:sty m:val="p"/>
          </m:rPr>
          <m:t>E</m:t>
        </m:r>
      </m:oMath>
      <w:r>
        <w:rPr>
          <w:rFonts w:ascii="Times New Roman" w:hAnsi="Times New Roman" w:eastAsia="Times New Roman"/>
          <w:sz w:val="20"/>
        </w:rPr>
        <w:t xml:space="preserve">) represents an extreme high-altitude, continental mountain regime characterized by deep arid valleys, narrow gorges, and rugged peaks exceeding 5,400 m in relief. In February 2023, extreme anomalous snowfall triggered a catastrophic avalanche cycle across the Shughnon District, resulting in severe infrastructure destruction and humanitarian emergencies. The snowpack is continental and facetted, with avalanche paths spanning massive vertical descents (</w:t>
      </w:r>
      <m:oMath>
        <m:r>
          <m:rPr>
            <m:sty m:val="p"/>
          </m:rPr>
          <m:t>&gt;</m:t>
        </m:r>
        <m:r>
          <m:t>2</m:t>
        </m:r>
        <m:r>
          <m:rPr>
            <m:sty m:val="p"/>
          </m:rPr>
          <m:t>,</m:t>
        </m:r>
        <m:r>
          <m:t>000</m:t>
        </m:r>
      </m:oMath>
      <w:r>
        <w:rPr>
          <w:rFonts w:ascii="Times New Roman" w:hAnsi="Times New Roman" w:eastAsia="Times New Roman"/>
          <w:sz w:val="20"/>
        </w:rPr>
        <w:t xml:space="preserve"> m).</w:t>
      </w:r>
    </w:p>
    <w:p>
      <w:pPr>
        <w:numPr>
          <w:ilvl w:val="0"/>
          <w:numId w:val="1003"/>
        </w:numPr>
        <w:spacing w:after="0" w:line="240" w:lineRule="auto"/>
      </w:pPr>
      <w:r>
        <w:rPr>
          <w:rFonts w:ascii="Times New Roman" w:hAnsi="Times New Roman" w:eastAsia="Times New Roman"/>
          <w:b/>
          <w:bCs/>
          <w:sz w:val="20"/>
        </w:rPr>
        <w:t xml:space="preserve">Scandinavian Arctic (Troms</w:t>
      </w:r>
      <w:r>
        <w:rPr>
          <w:rFonts w:ascii="Times New Roman" w:hAnsi="Times New Roman" w:eastAsia="Times New Roman"/>
          <w:b/>
          <w:bCs/>
          <w:sz w:val="20"/>
        </w:rPr>
        <w:t xml:space="preserve">ø</w:t>
      </w:r>
      <w:r>
        <w:rPr>
          <w:rFonts w:ascii="Times New Roman" w:hAnsi="Times New Roman" w:eastAsia="Times New Roman"/>
          <w:b/>
          <w:bCs/>
          <w:sz w:val="20"/>
        </w:rPr>
        <w:t xml:space="preserve">, Norway):</w:t>
      </w:r>
      <w:r>
        <w:rPr>
          <w:rFonts w:ascii="Times New Roman" w:hAnsi="Times New Roman" w:eastAsia="Times New Roman"/>
          <w:sz w:val="20"/>
        </w:rPr>
        <w:t xml:space="preserve"> </w:t>
      </w:r>
      <w:r>
        <w:rPr>
          <w:rFonts w:ascii="Times New Roman" w:hAnsi="Times New Roman" w:eastAsia="Times New Roman"/>
          <w:sz w:val="20"/>
        </w:rPr>
        <w:t xml:space="preserve">Situated at</w:t>
      </w:r>
      <w:r>
        <w:rPr>
          <w:rFonts w:ascii="Times New Roman" w:hAnsi="Times New Roman" w:eastAsia="Times New Roman"/>
          <w:sz w:val="20"/>
        </w:rPr>
        <w:t xml:space="preserve"> </w:t>
      </w:r>
      <m:oMath>
        <m:sSup>
          <m:e>
            <m:r>
              <m:t>69</m:t>
            </m:r>
          </m:e>
          <m:sup>
            <m:r>
              <m:rPr>
                <m:sty m:val="p"/>
              </m:rPr>
              <m:t>∘</m:t>
            </m:r>
          </m:sup>
        </m:sSup>
        <m:sSup>
          <m:e>
            <m:r>
              <m:t>39</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18</m:t>
            </m:r>
          </m:e>
          <m:sup>
            <m:r>
              <m:rPr>
                <m:sty m:val="p"/>
              </m:rPr>
              <m:t>∘</m:t>
            </m:r>
          </m:sup>
        </m:sSup>
        <m:sSup>
          <m:e>
            <m:r>
              <m:t>57</m:t>
            </m:r>
          </m:e>
          <m:sup>
            <m:r>
              <m:rPr>
                <m:sty m:val="p"/>
              </m:rPr>
              <m:t>′</m:t>
            </m:r>
          </m:sup>
        </m:sSup>
        <m:r>
          <m:rPr>
            <m:nor/>
            <m:sty m:val="p"/>
          </m:rPr>
          <m:t>E</m:t>
        </m:r>
      </m:oMath>
      <w:r>
        <w:rPr>
          <w:rFonts w:ascii="Times New Roman" w:hAnsi="Times New Roman" w:eastAsia="Times New Roman"/>
          <w:sz w:val="20"/>
        </w:rPr>
        <w:t xml:space="preserve"> </w:t>
      </w:r>
      <w:r>
        <w:rPr>
          <w:rFonts w:ascii="Times New Roman" w:hAnsi="Times New Roman" w:eastAsia="Times New Roman"/>
          <w:sz w:val="20"/>
        </w:rPr>
        <w:t xml:space="preserve">in Northern Norway, this region features coastal maritime Arctic mountains rising directly from fjords to rugged alpine massifs. The snowpack is heavily influenced by cyclonic storms, freezing rain, and high winds, producing complex slab avalanches and wet debris.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provides detailed polygon annotations categorized according to the European Avalanche Warning Services (EAWS) destructive size scale (classes D1 through D4).</w:t>
      </w:r>
    </w:p>
    <w:p>
      <w:pPr>
        <w:numPr>
          <w:ilvl w:val="0"/>
          <w:numId w:val="1003"/>
        </w:numPr>
        <w:spacing w:after="0" w:line="240" w:lineRule="auto"/>
      </w:pPr>
      <w:r>
        <w:rPr>
          <w:rFonts w:ascii="Times New Roman" w:hAnsi="Times New Roman" w:eastAsia="Times New Roman"/>
          <w:b/>
          <w:bCs/>
          <w:sz w:val="20"/>
        </w:rPr>
        <w:t xml:space="preserve">Greenland Sub-Polar Alpine (Nuuk, Greenland):</w:t>
      </w:r>
      <w:r>
        <w:rPr>
          <w:rFonts w:ascii="Times New Roman" w:hAnsi="Times New Roman" w:eastAsia="Times New Roman"/>
          <w:sz w:val="20"/>
        </w:rPr>
        <w:t xml:space="preserve"> </w:t>
      </w:r>
      <w:r>
        <w:rPr>
          <w:rFonts w:ascii="Times New Roman" w:hAnsi="Times New Roman" w:eastAsia="Times New Roman"/>
          <w:sz w:val="20"/>
        </w:rPr>
        <w:t xml:space="preserve">Surrounding the capital region of Nuuk (</w:t>
      </w:r>
      <m:oMath>
        <m:sSup>
          <m:e>
            <m:r>
              <m:t>64</m:t>
            </m:r>
          </m:e>
          <m:sup>
            <m:r>
              <m:rPr>
                <m:sty m:val="p"/>
              </m:rPr>
              <m:t>∘</m:t>
            </m:r>
          </m:sup>
        </m:sSup>
        <m:sSup>
          <m:e>
            <m:r>
              <m:t>11</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51</m:t>
            </m:r>
          </m:e>
          <m:sup>
            <m:r>
              <m:rPr>
                <m:sty m:val="p"/>
              </m:rPr>
              <m:t>∘</m:t>
            </m:r>
          </m:sup>
        </m:sSup>
        <m:sSup>
          <m:e>
            <m:r>
              <m:t>44</m:t>
            </m:r>
          </m:e>
          <m:sup>
            <m:r>
              <m:rPr>
                <m:sty m:val="p"/>
              </m:rPr>
              <m:t>′</m:t>
            </m:r>
          </m:sup>
        </m:sSup>
        <m:r>
          <m:rPr>
            <m:nor/>
            <m:sty m:val="p"/>
          </m:rPr>
          <m:t>W</m:t>
        </m:r>
      </m:oMath>
      <w:r>
        <w:rPr>
          <w:rFonts w:ascii="Times New Roman" w:hAnsi="Times New Roman" w:eastAsia="Times New Roman"/>
          <w:sz w:val="20"/>
        </w:rPr>
        <w:t xml:space="preserve">), this coastal sub-polar environment consists of rugged coastal mountains, deep fjords, and permafrost terrain. Two events (April 2016 and April 2021) capture widespread avalanche releases in a polar maritime regime under intense wind-drift conditions.</w:t>
      </w:r>
    </w:p>
    <w:bookmarkEnd w:id="10"/>
    <w:bookmarkStart w:id="11" w:name="X63e668be9de61f69c3ea777ff53a023239bd62e"/>
    <w:p>
      <w:pPr>
        <w:pStyle w:val="Heading2"/>
        <w:spacing w:after="0" w:line="240" w:lineRule="auto"/>
      </w:pPr>
      <w:r>
        <w:rPr>
          <w:rFonts w:ascii="Times New Roman" w:hAnsi="Times New Roman" w:eastAsia="Times New Roman"/>
          <w:sz w:val="20"/>
        </w:rPr>
        <w:t xml:space="preserve">Remote Sensing and Topographic Data Modalities</w:t>
      </w:r>
    </w:p>
    <w:p>
      <w:pPr>
        <w:pStyle w:val="FirstParagraph"/>
        <w:spacing w:after="0" w:line="240" w:lineRule="auto"/>
      </w:pPr>
      <w:r>
        <w:rPr>
          <w:rFonts w:ascii="Times New Roman" w:hAnsi="Times New Roman" w:eastAsia="Times New Roman"/>
          <w:sz w:val="20"/>
        </w:rPr>
        <w:t xml:space="preserve">For each of the seven events, the benchmark provides co-registered, multi-modal geospatial rasters:</w:t>
      </w:r>
    </w:p>
    <w:p>
      <w:pPr>
        <w:numPr>
          <w:ilvl w:val="0"/>
          <w:numId w:val="1004"/>
        </w:numPr>
        <w:spacing w:after="0" w:line="240" w:lineRule="auto"/>
      </w:pPr>
      <w:r>
        <w:rPr>
          <w:rFonts w:ascii="Times New Roman" w:hAnsi="Times New Roman" w:eastAsia="Times New Roman"/>
          <w:b/>
          <w:bCs/>
          <w:sz w:val="20"/>
        </w:rPr>
        <w:t xml:space="preserve">Sentinel-1 C-band SAR Imagery:</w:t>
      </w:r>
      <w:r>
        <w:rPr>
          <w:rFonts w:ascii="Times New Roman" w:hAnsi="Times New Roman" w:eastAsia="Times New Roman"/>
          <w:sz w:val="20"/>
        </w:rPr>
        <w:t xml:space="preserve"> </w:t>
      </w:r>
      <w:r>
        <w:rPr>
          <w:rFonts w:ascii="Times New Roman" w:hAnsi="Times New Roman" w:eastAsia="Times New Roman"/>
          <w:sz w:val="20"/>
        </w:rPr>
        <w:t xml:space="preserve">Dual-polarization intensity data (co-polarization VV and cross-polarization VH) acquired in Interferometric Wide (IW) swath mode. For each event, a pre-event reference acquisition and a post-event acquisition are preprocessed via the ESA SNAP toolbox, applying orbit state vector updates, border noise removal, calibration to backscatter coefficient</w:t>
      </w:r>
      <w:r>
        <w:rPr>
          <w:rFonts w:ascii="Times New Roman" w:hAnsi="Times New Roman" w:eastAsia="Times New Roman"/>
          <w:sz w:val="20"/>
        </w:rPr>
        <w:t xml:space="preserve"> </w:t>
      </w:r>
      <m:oMath>
        <m:sSup>
          <m:e>
            <m:r>
              <m:t>σ</m:t>
            </m:r>
          </m:e>
          <m:sup>
            <m:r>
              <m:t>0</m:t>
            </m:r>
          </m:sup>
        </m:sSup>
      </m:oMath>
      <w:r>
        <w:rPr>
          <w:rFonts w:ascii="Times New Roman" w:hAnsi="Times New Roman" w:eastAsia="Times New Roman"/>
          <w:sz w:val="20"/>
        </w:rPr>
        <w:t xml:space="preserve"> </w:t>
      </w:r>
      <w:r>
        <w:rPr>
          <w:rFonts w:ascii="Times New Roman" w:hAnsi="Times New Roman" w:eastAsia="Times New Roman"/>
          <w:sz w:val="20"/>
        </w:rPr>
        <w:t xml:space="preserve">(in decibels, dB), and Range-Doppler terrain correction at 10 m spatial resolution.</w:t>
      </w:r>
    </w:p>
    <w:p>
      <w:pPr>
        <w:numPr>
          <w:ilvl w:val="0"/>
          <w:numId w:val="1004"/>
        </w:numPr>
        <w:spacing w:after="0" w:line="240" w:lineRule="auto"/>
      </w:pPr>
      <w:r>
        <w:rPr>
          <w:rFonts w:ascii="Times New Roman" w:hAnsi="Times New Roman" w:eastAsia="Times New Roman"/>
          <w:b/>
          <w:bCs/>
          <w:sz w:val="20"/>
        </w:rPr>
        <w:t xml:space="preserve">Local Incidence Angle (LIA):</w:t>
      </w:r>
      <w:r>
        <w:rPr>
          <w:rFonts w:ascii="Times New Roman" w:hAnsi="Times New Roman" w:eastAsia="Times New Roman"/>
          <w:sz w:val="20"/>
        </w:rPr>
        <w:t xml:space="preserve"> </w:t>
      </w:r>
      <w:r>
        <w:rPr>
          <w:rFonts w:ascii="Times New Roman" w:hAnsi="Times New Roman" w:eastAsia="Times New Roman"/>
          <w:sz w:val="20"/>
        </w:rPr>
        <w:t xml:space="preserve">Exact per-pixel local incidence angle rasters computed from satellite orbit geometry and the digital elevation model, quantifying the angle between the surface normal and the incoming radar wave.</w:t>
      </w:r>
    </w:p>
    <w:p>
      <w:pPr>
        <w:numPr>
          <w:ilvl w:val="0"/>
          <w:numId w:val="1004"/>
        </w:numPr>
        <w:spacing w:after="0" w:line="240" w:lineRule="auto"/>
      </w:pPr>
      <w:r>
        <w:rPr>
          <w:rFonts w:ascii="Times New Roman" w:hAnsi="Times New Roman" w:eastAsia="Times New Roman"/>
          <w:b/>
          <w:bCs/>
          <w:sz w:val="20"/>
        </w:rPr>
        <w:t xml:space="preserve">Copernicus DEM (GLO-30):</w:t>
      </w:r>
      <w:r>
        <w:rPr>
          <w:rFonts w:ascii="Times New Roman" w:hAnsi="Times New Roman" w:eastAsia="Times New Roman"/>
          <w:sz w:val="20"/>
        </w:rPr>
        <w:t xml:space="preserve"> </w:t>
      </w:r>
      <w:r>
        <w:rPr>
          <w:rFonts w:ascii="Times New Roman" w:hAnsi="Times New Roman" w:eastAsia="Times New Roman"/>
          <w:sz w:val="20"/>
        </w:rPr>
        <w:t xml:space="preserve">High-quality 30 m global digital elevation model resampled to the 10 m Sentinel-1 SAR grid, providing continuous elevation measurements across all alpine catchments.</w:t>
      </w:r>
    </w:p>
    <w:p>
      <w:pPr>
        <w:numPr>
          <w:ilvl w:val="0"/>
          <w:numId w:val="1004"/>
        </w:numPr>
        <w:spacing w:after="0" w:line="240" w:lineRule="auto"/>
      </w:pPr>
      <w:r>
        <w:rPr>
          <w:rFonts w:ascii="Times New Roman" w:hAnsi="Times New Roman" w:eastAsia="Times New Roman"/>
          <w:b/>
          <w:bCs/>
          <w:sz w:val="20"/>
        </w:rPr>
        <w:t xml:space="preserve">Terrain Slope and Aspect:</w:t>
      </w:r>
      <w:r>
        <w:rPr>
          <w:rFonts w:ascii="Times New Roman" w:hAnsi="Times New Roman" w:eastAsia="Times New Roman"/>
          <w:sz w:val="20"/>
        </w:rPr>
        <w:t xml:space="preserve"> </w:t>
      </w:r>
      <w:r>
        <w:rPr>
          <w:rFonts w:ascii="Times New Roman" w:hAnsi="Times New Roman" w:eastAsia="Times New Roman"/>
          <w:sz w:val="20"/>
        </w:rPr>
        <w:t xml:space="preserve">Derived terrain slope (</w:t>
      </w:r>
      <m:oMath>
        <m:sSub>
          <m:e>
            <m:r>
              <m:t>θ</m:t>
            </m:r>
          </m:e>
          <m:sub>
            <m:r>
              <m:rPr>
                <m:nor/>
                <m:sty m:val="p"/>
              </m:rPr>
              <m:t>slope</m:t>
            </m:r>
          </m:sub>
        </m:sSub>
        <m:r>
          <m:rPr>
            <m:sty m:val="p"/>
          </m:rPr>
          <m:t>∈</m:t>
        </m:r>
        <m:r>
          <m:rPr>
            <m:sty m:val="p"/>
          </m:rPr>
          <m:t>[</m:t>
        </m:r>
        <m:sSup>
          <m:e>
            <m:r>
              <m:t>0</m:t>
            </m:r>
          </m:e>
          <m:sup>
            <m:r>
              <m:rPr>
                <m:sty m:val="p"/>
              </m:rPr>
              <m:t>∘</m:t>
            </m:r>
          </m:sup>
        </m:sSup>
        <m:r>
          <m:rPr>
            <m:sty m:val="p"/>
          </m:rPr>
          <m:t>,</m:t>
        </m:r>
        <m:sSup>
          <m:e>
            <m:r>
              <m:t>90</m:t>
            </m:r>
          </m:e>
          <m:sup>
            <m:r>
              <m:rPr>
                <m:sty m:val="p"/>
              </m:rPr>
              <m:t>∘</m:t>
            </m:r>
          </m:sup>
        </m:sSup>
        <m:r>
          <m:rPr>
            <m:sty m:val="p"/>
          </m:rPr>
          <m:t>]</m:t>
        </m:r>
      </m:oMath>
      <w:r>
        <w:rPr>
          <w:rFonts w:ascii="Times New Roman" w:hAnsi="Times New Roman" w:eastAsia="Times New Roman"/>
          <w:sz w:val="20"/>
        </w:rPr>
        <w:t xml:space="preserve">) and aspect (</w:t>
      </w:r>
      <m:oMath>
        <m:r>
          <m:t>α</m:t>
        </m:r>
        <m:r>
          <m:rPr>
            <m:sty m:val="p"/>
          </m:rPr>
          <m:t>∈</m:t>
        </m:r>
        <m:r>
          <m:rPr>
            <m:sty m:val="p"/>
          </m:rPr>
          <m:t>[</m:t>
        </m:r>
        <m:sSup>
          <m:e>
            <m:r>
              <m:t>0</m:t>
            </m:r>
          </m:e>
          <m:sup>
            <m:r>
              <m:rPr>
                <m:sty m:val="p"/>
              </m:rPr>
              <m:t>∘</m:t>
            </m:r>
          </m:sup>
        </m:sSup>
        <m:r>
          <m:rPr>
            <m:sty m:val="p"/>
          </m:rPr>
          <m:t>,</m:t>
        </m:r>
        <m:sSup>
          <m:e>
            <m:r>
              <m:t>360</m:t>
            </m:r>
          </m:e>
          <m:sup>
            <m:r>
              <m:rPr>
                <m:sty m:val="p"/>
              </m:rPr>
              <m:t>∘</m:t>
            </m:r>
          </m:sup>
        </m:sSup>
        <m:r>
          <m:rPr>
            <m:sty m:val="p"/>
          </m:rPr>
          <m:t>]</m:t>
        </m:r>
      </m:oMath>
      <w:r>
        <w:rPr>
          <w:rFonts w:ascii="Times New Roman" w:hAnsi="Times New Roman" w:eastAsia="Times New Roman"/>
          <w:sz w:val="20"/>
        </w:rPr>
        <w:t xml:space="preserve">) rasters extracted using 2D spatial gradients from the Copernicus DEM.</w:t>
      </w:r>
    </w:p>
    <w:p>
      <w:pPr>
        <w:numPr>
          <w:ilvl w:val="0"/>
          <w:numId w:val="1004"/>
        </w:numPr>
        <w:spacing w:after="0" w:line="240" w:lineRule="auto"/>
      </w:pPr>
      <w:r>
        <w:rPr>
          <w:rFonts w:ascii="Times New Roman" w:hAnsi="Times New Roman" w:eastAsia="Times New Roman"/>
          <w:b/>
          <w:bCs/>
          <w:sz w:val="20"/>
        </w:rPr>
        <w:t xml:space="preserve">Ground Truth Validation Inventories:</w:t>
      </w:r>
      <w:r>
        <w:rPr>
          <w:rFonts w:ascii="Times New Roman" w:hAnsi="Times New Roman" w:eastAsia="Times New Roman"/>
          <w:sz w:val="20"/>
        </w:rPr>
        <w:t xml:space="preserve"> </w:t>
      </w:r>
      <w:r>
        <w:rPr>
          <w:rFonts w:ascii="Times New Roman" w:hAnsi="Times New Roman" w:eastAsia="Times New Roman"/>
          <w:sz w:val="20"/>
        </w:rPr>
        <w:t xml:space="preserve">Manual expert delineations combining optical satellite confirmation, field reports, and local avalanche bulletin records</w:t>
      </w:r>
      <w:r>
        <w:rPr>
          <w:rFonts w:ascii="Times New Roman" w:hAnsi="Times New Roman" w:eastAsia="Times New Roman"/>
          <w:sz w:val="20"/>
        </w:rPr>
        <w:t xml:space="preserve"> </w:t>
      </w:r>
      <w:r>
        <w:rPr>
          <w:rFonts w:ascii="Times New Roman" w:hAnsi="Times New Roman" w:eastAsia="Times New Roman"/>
          <w:sz w:val="20"/>
        </w:rPr>
        <w:t xml:space="preserve">(Gatti 2026)</w:t>
      </w:r>
      <w:r>
        <w:rPr>
          <w:rFonts w:ascii="Times New Roman" w:hAnsi="Times New Roman" w:eastAsia="Times New Roman"/>
          <w:sz w:val="20"/>
        </w:rPr>
        <w:t xml:space="preserve">, delivered both as raster masks (</w:t>
      </w:r>
      <m:oMath>
        <m:r>
          <m:rPr>
            <m:sty m:val="p"/>
          </m:rPr>
          <m:t>{</m:t>
        </m:r>
        <m:r>
          <m:t>0</m:t>
        </m:r>
        <m:r>
          <m:rPr>
            <m:sty m:val="p"/>
          </m:rPr>
          <m:t>,</m:t>
        </m:r>
        <m:r>
          <m:t>1</m:t>
        </m:r>
        <m:r>
          <m:rPr>
            <m:sty m:val="p"/>
          </m:rPr>
          <m:t>}</m:t>
        </m:r>
      </m:oMath>
      <w:r>
        <w:rPr>
          <w:rFonts w:ascii="Times New Roman" w:hAnsi="Times New Roman" w:eastAsia="Times New Roman"/>
          <w:sz w:val="20"/>
        </w:rPr>
        <w:t xml:space="preserve">) and vector GeoPackages containing exact polygon boundaries and metadata.</w:t>
      </w:r>
    </w:p>
    <w:bookmarkEnd w:id="11"/>
    <w:bookmarkStart w:id="12" w:name="X4f6f22e5607acb77bb7c33c9525553c36992490"/>
    <w:p>
      <w:pPr>
        <w:pStyle w:val="Heading2"/>
        <w:spacing w:after="0" w:line="240" w:lineRule="auto"/>
      </w:pPr>
      <w:r>
        <w:rPr>
          <w:rFonts w:ascii="Times New Roman" w:hAnsi="Times New Roman" w:eastAsia="Times New Roman"/>
          <w:sz w:val="20"/>
        </w:rPr>
        <w:t xml:space="preserve">Partitioning for Cross-System Generalization</w:t>
      </w:r>
    </w:p>
    <w:p>
      <w:pPr>
        <w:pStyle w:val="FirstParagraph"/>
        <w:spacing w:after="0" w:line="240" w:lineRule="auto"/>
      </w:pPr>
      <w:r>
        <w:rPr>
          <w:rFonts w:ascii="Times New Roman" w:hAnsi="Times New Roman" w:eastAsia="Times New Roman"/>
          <w:sz w:val="20"/>
        </w:rPr>
        <w:t xml:space="preserve">To limit spatial autocorrelation and characterize cross-system transfer, we partition the dataset at the regional mountain-system level. The European Alps (Livigno 2024 and Jan 2025) and Greenland (Nuuk 2016) form the training cohort (555 polygons). Model selection and threshold calibration use only Livigno March 2025 and Nuuk 2021 (208 polygons).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(117 polygons) and Pamir (113 polygons) are held out from training and selection. Table 8 uses the finite-raster valid masks: 2,311,510 pixels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3,503,382 in Pamir, equivalent to</w:t>
      </w:r>
      <w:r>
        <w:rPr>
          <w:rFonts w:ascii="Times New Roman" w:hAnsi="Times New Roman" w:eastAsia="Times New Roman"/>
          <w:sz w:val="20"/>
        </w:rPr>
        <w:t xml:space="preserve"> </w:t>
      </w:r>
      <m:oMath>
        <m:r>
          <m:t>231.151</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350.338</m:t>
        </m:r>
        <m:r>
          <m:t> </m:t>
        </m:r>
        <m:sSup>
          <m:e>
            <m:r>
              <m:rPr>
                <m:nor/>
                <m:sty m:val="p"/>
              </m:rPr>
              <m:t>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on the nominal 10 m grid. At the local affine pixel areas (</w:t>
      </w:r>
      <m:oMath>
        <m:r>
          <m:t>85.15</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76.34</m:t>
        </m:r>
        <m:r>
          <m:t> </m:t>
        </m:r>
        <m:sSup>
          <m:e>
            <m:r>
              <m:rPr>
                <m:nor/>
                <m:sty m:val="p"/>
              </m:rPr>
              <m:t>m</m:t>
            </m:r>
          </m:e>
          <m:sup>
            <m:r>
              <m:t>2</m:t>
            </m:r>
          </m:sup>
        </m:sSup>
        <m:r>
          <m:rPr>
            <m:sty m:val="p"/>
          </m:rPr>
          <m:t>/</m:t>
        </m:r>
        <m:r>
          <m:rPr>
            <m:nor/>
            <m:sty m:val="p"/>
          </m:rPr>
          <m:t>px</m:t>
        </m:r>
      </m:oMath>
      <w:r>
        <w:rPr>
          <w:rFonts w:ascii="Times New Roman" w:hAnsi="Times New Roman" w:eastAsia="Times New Roman"/>
          <w:sz w:val="20"/>
        </w:rPr>
        <w:t xml:space="preserve">), the valid footprints are</w:t>
      </w:r>
      <w:r>
        <w:rPr>
          <w:rFonts w:ascii="Times New Roman" w:hAnsi="Times New Roman" w:eastAsia="Times New Roman"/>
          <w:sz w:val="20"/>
        </w:rPr>
        <w:t xml:space="preserve"> </w:t>
      </w:r>
      <m:oMath>
        <m:r>
          <m:t>196.820</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267.435</m:t>
        </m:r>
        <m:r>
          <m:t> </m:t>
        </m:r>
        <m:sSup>
          <m:e>
            <m:r>
              <m:rPr>
                <m:nor/>
                <m:sty m:val="p"/>
              </m:rPr>
              <m:t>km</m:t>
            </m:r>
          </m:e>
          <m:sup>
            <m:r>
              <m:t>2</m:t>
            </m:r>
          </m:sup>
        </m:sSup>
      </m:oMath>
      <w:r>
        <w:rPr>
          <w:rFonts w:ascii="Times New Roman" w:hAnsi="Times New Roman" w:eastAsia="Times New Roman"/>
          <w:sz w:val="20"/>
        </w:rPr>
        <w:t xml:space="preserve">. Numerator and denominator scale together, so TopoRadar-Net’s false-alarm densities are</w:t>
      </w:r>
      <w:r>
        <w:rPr>
          <w:rFonts w:ascii="Times New Roman" w:hAnsi="Times New Roman" w:eastAsia="Times New Roman"/>
          <w:sz w:val="20"/>
        </w:rPr>
        <w:t xml:space="preserve"> </w:t>
      </w:r>
      <m:oMath>
        <m:r>
          <m:t>0.38</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0.48</m:t>
        </m:r>
        <m:r>
          <m:t> </m:t>
        </m:r>
        <m:sSup>
          <m:e>
            <m:r>
              <m:rPr>
                <m:nor/>
                <m:sty m:val="p"/>
              </m:rPr>
              <m:t>ha/km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under either area convention.</w:t>
      </w:r>
    </w:p>
    <w:bookmarkEnd w:id="12"/>
    <w:bookmarkEnd w:id="13"/>
    <w:bookmarkStart w:id="25" w:name="methodology"/>
    <w:p>
      <w:pPr>
        <w:pStyle w:val="Heading1"/>
        <w:spacing w:after="0" w:line="240" w:lineRule="auto"/>
      </w:pPr>
      <w:r>
        <w:rPr>
          <w:rFonts w:ascii="Times New Roman" w:hAnsi="Times New Roman" w:eastAsia="Times New Roman"/>
          <w:sz w:val="20"/>
        </w:rPr>
        <w:t xml:space="preserve">Methodology</w:t>
      </w:r>
    </w:p>
    <w:bookmarkStart w:id="14" w:name="Xafa9ea77df00d5b0df714ee976b06cb2ceea739"/>
    <w:p>
      <w:pPr>
        <w:pStyle w:val="Heading2"/>
        <w:spacing w:after="0" w:line="240" w:lineRule="auto"/>
      </w:pPr>
      <w:r>
        <w:rPr>
          <w:rFonts w:ascii="Times New Roman" w:hAnsi="Times New Roman" w:eastAsia="Times New Roman"/>
          <w:sz w:val="20"/>
        </w:rPr>
        <w:t xml:space="preserve">Physical Principles of Radar-Topographic Interaction</w:t>
      </w:r>
    </w:p>
    <w:p>
      <w:pPr>
        <w:pStyle w:val="FirstParagraph"/>
        <w:spacing w:after="0" w:line="240" w:lineRule="auto"/>
      </w:pPr>
      <w:r>
        <w:rPr>
          <w:rFonts w:ascii="Times New Roman" w:hAnsi="Times New Roman" w:eastAsia="Times New Roman"/>
          <w:sz w:val="20"/>
        </w:rPr>
        <w:t xml:space="preserve">In spaceborne Synthetic Aperture Radar (SAR), the calibrated radar backscatter coefficient</w:t>
      </w:r>
      <w:r>
        <w:rPr>
          <w:rFonts w:ascii="Times New Roman" w:hAnsi="Times New Roman" w:eastAsia="Times New Roman"/>
          <w:sz w:val="20"/>
        </w:rPr>
        <w:t xml:space="preserve"> </w:t>
      </w:r>
      <m:oMath>
        <m:sSup>
          <m:e>
            <m:r>
              <m:t>σ</m:t>
            </m:r>
          </m:e>
          <m:sup>
            <m:r>
              <m:t>0</m:t>
            </m:r>
          </m:sup>
        </m:sSup>
      </m:oMath>
      <w:r>
        <w:rPr>
          <w:rFonts w:ascii="Times New Roman" w:hAnsi="Times New Roman" w:eastAsia="Times New Roman"/>
          <w:sz w:val="20"/>
        </w:rPr>
        <w:t xml:space="preserve"> </w:t>
      </w:r>
      <w:r>
        <w:rPr>
          <w:rFonts w:ascii="Times New Roman" w:hAnsi="Times New Roman" w:eastAsia="Times New Roman"/>
          <w:sz w:val="20"/>
        </w:rPr>
        <w:t xml:space="preserve">reflects the complex interaction between transmitted microwave pulses (wavelength</w:t>
      </w:r>
      <w:r>
        <w:rPr>
          <w:rFonts w:ascii="Times New Roman" w:hAnsi="Times New Roman" w:eastAsia="Times New Roman"/>
          <w:sz w:val="20"/>
        </w:rPr>
        <w:t xml:space="preserve"> </w:t>
      </w:r>
      <m:oMath>
        <m:r>
          <m:t>λ</m:t>
        </m:r>
        <m:r>
          <m:rPr>
            <m:sty m:val="p"/>
          </m:rPr>
          <m:t>≈</m:t>
        </m:r>
        <m:r>
          <m:t>5.55</m:t>
        </m:r>
      </m:oMath>
      <w:r>
        <w:rPr>
          <w:rFonts w:ascii="Times New Roman" w:hAnsi="Times New Roman" w:eastAsia="Times New Roman"/>
          <w:sz w:val="20"/>
        </w:rPr>
        <w:t xml:space="preserve"> cm for Sentinel-1 C-band) and surface dielectric and geometric roughness properties</w:t>
      </w:r>
      <w:r>
        <w:rPr>
          <w:rFonts w:ascii="Times New Roman" w:hAnsi="Times New Roman" w:eastAsia="Times New Roman"/>
          <w:sz w:val="20"/>
        </w:rPr>
        <w:t xml:space="preserve"> </w:t>
      </w:r>
      <w:r>
        <w:rPr>
          <w:rFonts w:ascii="Times New Roman" w:hAnsi="Times New Roman" w:eastAsia="Times New Roman"/>
          <w:sz w:val="20"/>
        </w:rPr>
        <w:t xml:space="preserve">(Small 2011)</w:t>
      </w:r>
      <w:r>
        <w:rPr>
          <w:rFonts w:ascii="Times New Roman" w:hAnsi="Times New Roman" w:eastAsia="Times New Roman"/>
          <w:sz w:val="20"/>
        </w:rPr>
        <w:t xml:space="preserve">. When a slab avalanche releases, the rapid down-slope displacement of snow breaks the cohesive winter mantle into fragmented clods and chaotic debris piles. In dry snow regimes, smooth undisturbed snow behaves largely as a volume-scattering or specular surface, yielding low backscatter (</w:t>
      </w:r>
      <m:oMath>
        <m:sSubSup>
          <m:e>
            <m:r>
              <m:t>σ</m:t>
            </m:r>
          </m:e>
          <m:sub>
            <m:r>
              <m:rPr>
                <m:nor/>
                <m:sty m:val="p"/>
              </m:rPr>
              <m:t>VH</m:t>
            </m:r>
          </m:sub>
          <m:sup>
            <m:r>
              <m:t>0</m:t>
            </m:r>
          </m:sup>
        </m:sSubSup>
        <m:r>
          <m:rPr>
            <m:sty m:val="p"/>
          </m:rPr>
          <m:t>≈</m:t>
        </m:r>
        <m:r>
          <m:rPr>
            <m:sty m:val="p"/>
          </m:rPr>
          <m:t>−</m:t>
        </m:r>
        <m:r>
          <m:t>20</m:t>
        </m:r>
      </m:oMath>
      <w:r>
        <w:rPr>
          <w:rFonts w:ascii="Times New Roman" w:hAnsi="Times New Roman" w:eastAsia="Times New Roman"/>
          <w:sz w:val="20"/>
        </w:rPr>
        <w:t xml:space="preserve"> dB to</w:t>
      </w:r>
      <w:r>
        <w:rPr>
          <w:rFonts w:ascii="Times New Roman" w:hAnsi="Times New Roman" w:eastAsia="Times New Roman"/>
          <w:sz w:val="20"/>
        </w:rPr>
        <w:t xml:space="preserve"> </w:t>
      </w:r>
      <m:oMath>
        <m:r>
          <m:rPr>
            <m:sty m:val="p"/>
          </m:rPr>
          <m:t>−</m:t>
        </m:r>
        <m:r>
          <m:t>24</m:t>
        </m:r>
      </m:oMath>
      <w:r>
        <w:rPr>
          <w:rFonts w:ascii="Times New Roman" w:hAnsi="Times New Roman" w:eastAsia="Times New Roman"/>
          <w:sz w:val="20"/>
        </w:rPr>
        <w:t xml:space="preserve"> dB)</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while terrain topography influences winter snow depth and microtopographic roughness</w:t>
      </w:r>
      <w:r>
        <w:rPr>
          <w:rFonts w:ascii="Times New Roman" w:hAnsi="Times New Roman" w:eastAsia="Times New Roman"/>
          <w:sz w:val="20"/>
        </w:rPr>
        <w:t xml:space="preserve"> </w:t>
      </w:r>
      <w:r>
        <w:rPr>
          <w:rFonts w:ascii="Times New Roman" w:hAnsi="Times New Roman" w:eastAsia="Times New Roman"/>
          <w:sz w:val="20"/>
        </w:rPr>
        <w:t xml:space="preserve">(Veitinger et al. 2014)</w:t>
      </w:r>
      <w:r>
        <w:rPr>
          <w:rFonts w:ascii="Times New Roman" w:hAnsi="Times New Roman" w:eastAsia="Times New Roman"/>
          <w:sz w:val="20"/>
        </w:rPr>
        <w:t xml:space="preserve">. In contrast, granulated avalanche debris exhibits intense diffuse surface scattering and multiple internal reflections, typically resulting in an anomalous positive backscatter delta:</w:t>
      </w:r>
    </w:p>
    <w:p>
      <w:pPr>
        <w:pStyle w:val="BodyText"/>
        <w:spacing w:after="0" w:line="240" w:lineRule="auto"/>
      </w:pPr>
      <m:oMathPara>
        <m:oMathParaPr>
          <m:jc m:val="center"/>
        </m:oMathParaPr>
        <m:oMath>
          <m:m>
            <m:mPr>
              <m:baseJc m:val="center"/>
              <m:plcHide m:val="on"/>
              <m:mcs>
                <m:mc>
                  <m:mcPr>
                    <m:mcJc m:val="right"/>
                    <m:count m:val="1"/>
                  </m:mcPr>
                </m:mc>
              </m:mcs>
            </m:mPr>
            <m:mr>
              <m:e>
                <m:r>
                  <m:rPr>
                    <m:sty m:val="p"/>
                  </m:rPr>
                  <m:t>Δ</m:t>
                </m:r>
                <m:sSubSup>
                  <m:e>
                    <m:r>
                      <m:t>σ</m:t>
                    </m:r>
                  </m:e>
                  <m:sub>
                    <m:r>
                      <m:rPr>
                        <m:nor/>
                        <m:sty m:val="p"/>
                      </m:rPr>
                      <m:t>VH</m:t>
                    </m:r>
                  </m:sub>
                  <m:sup>
                    <m:r>
                      <m:t>0</m:t>
                    </m:r>
                  </m:sup>
                </m:sSubSup>
                <m:r>
                  <m:rPr>
                    <m:sty m:val="p"/>
                  </m:rPr>
                  <m:t>=</m:t>
                </m:r>
                <m:sSubSup>
                  <m:e>
                    <m:r>
                      <m:t>σ</m:t>
                    </m:r>
                  </m:e>
                  <m:sub>
                    <m:r>
                      <m:rPr>
                        <m:nor/>
                        <m:sty m:val="p"/>
                      </m:rPr>
                      <m:t>post,VH</m:t>
                    </m:r>
                  </m:sub>
                  <m:sup>
                    <m:r>
                      <m:t>0</m:t>
                    </m:r>
                  </m:sup>
                </m:sSubSup>
                <m:r>
                  <m:rPr>
                    <m:sty m:val="p"/>
                  </m:rPr>
                  <m:t>−</m:t>
                </m:r>
                <m:sSubSup>
                  <m:e>
                    <m:r>
                      <m:t>σ</m:t>
                    </m:r>
                  </m:e>
                  <m:sub>
                    <m:r>
                      <m:rPr>
                        <m:nor/>
                        <m:sty m:val="p"/>
                      </m:rPr>
                      <m:t>pre,VH</m:t>
                    </m:r>
                  </m:sub>
                  <m:sup>
                    <m:r>
                      <m:t>0</m:t>
                    </m:r>
                  </m:sup>
                </m:sSubSup>
              </m:e>
            </m:mr>
            <m:mr>
              <m:e>
                <m:r>
                  <m:rPr>
                    <m:sty m:val="p"/>
                  </m:rPr>
                  <m:t>Δ</m:t>
                </m:r>
                <m:sSubSup>
                  <m:e>
                    <m:r>
                      <m:t>σ</m:t>
                    </m:r>
                  </m:e>
                  <m:sub>
                    <m:r>
                      <m:rPr>
                        <m:nor/>
                        <m:sty m:val="p"/>
                      </m:rPr>
                      <m:t>VV</m:t>
                    </m:r>
                  </m:sub>
                  <m:sup>
                    <m:r>
                      <m:t>0</m:t>
                    </m:r>
                  </m:sup>
                </m:sSubSup>
                <m:r>
                  <m:rPr>
                    <m:sty m:val="p"/>
                  </m:rPr>
                  <m:t>=</m:t>
                </m:r>
                <m:sSubSup>
                  <m:e>
                    <m:r>
                      <m:t>σ</m:t>
                    </m:r>
                  </m:e>
                  <m:sub>
                    <m:r>
                      <m:rPr>
                        <m:nor/>
                        <m:sty m:val="p"/>
                      </m:rPr>
                      <m:t>post,VV</m:t>
                    </m:r>
                  </m:sub>
                  <m:sup>
                    <m:r>
                      <m:t>0</m:t>
                    </m:r>
                  </m:sup>
                </m:sSubSup>
                <m:r>
                  <m:rPr>
                    <m:sty m:val="p"/>
                  </m:rPr>
                  <m:t>−</m:t>
                </m:r>
                <m:sSubSup>
                  <m:e>
                    <m:r>
                      <m:t>σ</m:t>
                    </m:r>
                  </m:e>
                  <m:sub>
                    <m:r>
                      <m:rPr>
                        <m:nor/>
                        <m:sty m:val="p"/>
                      </m:rPr>
                      <m:t>pre,VV</m:t>
                    </m:r>
                  </m:sub>
                  <m:sup>
                    <m:r>
                      <m:t>0</m:t>
                    </m:r>
                  </m:sup>
                </m:sSubSup>
              </m:e>
            </m:mr>
          </m:m>
        </m:oMath>
      </m:oMathPara>
    </w:p>
    <w:p>
      <w:pPr>
        <w:pStyle w:val="FirstParagraph"/>
        <w:spacing w:after="0" w:line="240" w:lineRule="auto"/>
      </w:pPr>
      <w:r>
        <w:rPr>
          <w:rFonts w:ascii="Times New Roman" w:hAnsi="Times New Roman" w:eastAsia="Times New Roman"/>
          <w:sz w:val="20"/>
        </w:rPr>
        <w:t xml:space="preserve">Additionally, depolarizing volume scattering in rough debris modifies the cross-polarization ratio, yielding an informative differential metric:</w:t>
      </w:r>
    </w:p>
    <w:p>
      <w:pPr>
        <w:pStyle w:val="BodyText"/>
        <w:spacing w:after="0" w:line="240" w:lineRule="auto"/>
      </w:pPr>
      <m:oMathPara>
        <m:oMathParaPr>
          <m:jc m:val="center"/>
        </m:oMathParaPr>
        <m:oMath>
          <m:r>
            <m:rPr>
              <m:sty m:val="p"/>
            </m:rPr>
            <m:t>Δ</m:t>
          </m:r>
          <m:r>
            <m:rPr>
              <m:nor/>
              <m:sty m:val="p"/>
            </m:rPr>
            <m:t>CR</m:t>
          </m:r>
          <m:r>
            <m:rPr>
              <m:sty m:val="p"/>
            </m:rPr>
            <m:t>=</m:t>
          </m:r>
          <m:r>
            <m:rPr>
              <m:sty m:val="p"/>
            </m:rPr>
            <m:t>(</m:t>
          </m:r>
          <m:sSubSup>
            <m:e>
              <m:r>
                <m:t>σ</m:t>
              </m:r>
            </m:e>
            <m:sub>
              <m:r>
                <m:rPr>
                  <m:nor/>
                  <m:sty m:val="p"/>
                </m:rPr>
                <m:t>post,VH</m:t>
              </m:r>
            </m:sub>
            <m:sup>
              <m:r>
                <m:t>0</m:t>
              </m:r>
            </m:sup>
          </m:sSubSup>
          <m:r>
            <m:rPr>
              <m:sty m:val="p"/>
            </m:rPr>
            <m:t>−</m:t>
          </m:r>
          <m:sSubSup>
            <m:e>
              <m:r>
                <m:t>σ</m:t>
              </m:r>
            </m:e>
            <m:sub>
              <m:r>
                <m:rPr>
                  <m:nor/>
                  <m:sty m:val="p"/>
                </m:rPr>
                <m:t>post,VV</m:t>
              </m:r>
            </m:sub>
            <m:sup>
              <m:r>
                <m:t>0</m:t>
              </m:r>
            </m:sup>
          </m:sSubSup>
          <m:r>
            <m:rPr>
              <m:sty m:val="p"/>
            </m:rPr>
            <m:t>)</m:t>
          </m:r>
          <m:r>
            <m:rPr>
              <m:sty m:val="p"/>
            </m:rPr>
            <m:t>−</m:t>
          </m:r>
          <m:r>
            <m:rPr>
              <m:sty m:val="p"/>
            </m:rPr>
            <m:t>(</m:t>
          </m:r>
          <m:sSubSup>
            <m:e>
              <m:r>
                <m:t>σ</m:t>
              </m:r>
            </m:e>
            <m:sub>
              <m:r>
                <m:rPr>
                  <m:nor/>
                  <m:sty m:val="p"/>
                </m:rPr>
                <m:t>pre,VH</m:t>
              </m:r>
            </m:sub>
            <m:sup>
              <m:r>
                <m:t>0</m:t>
              </m:r>
            </m:sup>
          </m:sSubSup>
          <m:r>
            <m:rPr>
              <m:sty m:val="p"/>
            </m:rPr>
            <m:t>−</m:t>
          </m:r>
          <m:sSubSup>
            <m:e>
              <m:r>
                <m:t>σ</m:t>
              </m:r>
            </m:e>
            <m:sub>
              <m:r>
                <m:rPr>
                  <m:nor/>
                  <m:sty m:val="p"/>
                </m:rPr>
                <m:t>pre,VV</m:t>
              </m:r>
            </m:sub>
            <m:sup>
              <m:r>
                <m:t>0</m:t>
              </m:r>
            </m:sup>
          </m:sSubSup>
          <m:r>
            <m:rPr>
              <m:sty m:val="p"/>
            </m:rPr>
            <m:t>)</m:t>
          </m:r>
        </m:oMath>
      </m:oMathPara>
    </w:p>
    <w:p>
      <w:pPr>
        <w:pStyle w:val="FirstParagraph"/>
        <w:spacing w:after="0" w:line="240" w:lineRule="auto"/>
      </w:pPr>
      <w:r>
        <w:rPr>
          <w:rFonts w:ascii="Times New Roman" w:hAnsi="Times New Roman" w:eastAsia="Times New Roman"/>
          <w:sz w:val="20"/>
        </w:rPr>
        <w:t xml:space="preserve">However, in steep alpine topography, this backscatter anomaly is heavily modulated by local radar illumination geometry</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Let</w:t>
      </w:r>
      <w:r>
        <w:rPr>
          <w:rFonts w:ascii="Times New Roman" w:hAnsi="Times New Roman" w:eastAsia="Times New Roman"/>
          <w:sz w:val="20"/>
        </w:rPr>
        <w:t xml:space="preserve"> </w:t>
      </w:r>
      <m:oMath>
        <m:r>
          <m:rPr>
            <m:sty m:val="bi"/>
          </m:rPr>
          <m:t>n</m:t>
        </m:r>
        <m:r>
          <m:rPr>
            <m:sty m:val="p"/>
          </m:rPr>
          <m:t>=</m:t>
        </m:r>
        <m:r>
          <m:rPr>
            <m:sty m:val="p"/>
          </m:rPr>
          <m:t>(</m:t>
        </m:r>
        <m:r>
          <m:rPr>
            <m:sty m:val="p"/>
          </m:rPr>
          <m:t>−</m:t>
        </m:r>
        <m:r>
          <m:rPr>
            <m:sty m:val="p"/>
          </m:rPr>
          <m:t>sin</m:t>
        </m:r>
        <m:r>
          <m:t>θ</m:t>
        </m:r>
        <m:r>
          <m:rPr>
            <m:sty m:val="p"/>
          </m:rPr>
          <m:t>sin</m:t>
        </m:r>
        <m:r>
          <m:t>α</m:t>
        </m:r>
        <m:r>
          <m:rPr>
            <m:sty m:val="p"/>
          </m:rPr>
          <m:t>,</m:t>
        </m:r>
        <m:r>
          <m:rPr>
            <m:sty m:val="p"/>
          </m:rPr>
          <m:t>−</m:t>
        </m:r>
        <m:r>
          <m:rPr>
            <m:sty m:val="p"/>
          </m:rPr>
          <m:t>sin</m:t>
        </m:r>
        <m:r>
          <m:t>θ</m:t>
        </m:r>
        <m:r>
          <m:rPr>
            <m:sty m:val="p"/>
          </m:rPr>
          <m:t>cos</m:t>
        </m:r>
        <m:r>
          <m:t>α</m:t>
        </m:r>
        <m:r>
          <m:rPr>
            <m:sty m:val="p"/>
          </m:rPr>
          <m:t>,</m:t>
        </m:r>
        <m:r>
          <m:rPr>
            <m:sty m:val="p"/>
          </m:rPr>
          <m:t>cos</m:t>
        </m:r>
        <m:r>
          <m:t>θ</m:t>
        </m:r>
        <m:sSup>
          <m:e>
            <m:r>
              <m:rPr>
                <m:sty m:val="p"/>
              </m:rPr>
              <m:t>)</m:t>
            </m:r>
          </m:e>
          <m:sup>
            <m:r>
              <m:t>T</m:t>
            </m:r>
          </m:sup>
        </m:sSup>
      </m:oMath>
      <w:r>
        <w:rPr>
          <w:rFonts w:ascii="Times New Roman" w:hAnsi="Times New Roman" w:eastAsia="Times New Roman"/>
          <w:sz w:val="20"/>
        </w:rPr>
        <w:t xml:space="preserve"> </w:t>
      </w:r>
      <w:r>
        <w:rPr>
          <w:rFonts w:ascii="Times New Roman" w:hAnsi="Times New Roman" w:eastAsia="Times New Roman"/>
          <w:sz w:val="20"/>
        </w:rPr>
        <w:t xml:space="preserve">denote the terrain surface unit normal defined by slope steepness</w:t>
      </w:r>
      <w:r>
        <w:rPr>
          <w:rFonts w:ascii="Times New Roman" w:hAnsi="Times New Roman" w:eastAsia="Times New Roman"/>
          <w:sz w:val="20"/>
        </w:rPr>
        <w:t xml:space="preserve"> </w:t>
      </w:r>
      <m:oMath>
        <m:r>
          <m:t>θ</m:t>
        </m:r>
      </m:oMath>
      <w:r>
        <w:rPr>
          <w:rFonts w:ascii="Times New Roman" w:hAnsi="Times New Roman" w:eastAsia="Times New Roman"/>
          <w:sz w:val="20"/>
        </w:rPr>
        <w:t xml:space="preserve"> </w:t>
      </w:r>
      <w:r>
        <w:rPr>
          <w:rFonts w:ascii="Times New Roman" w:hAnsi="Times New Roman" w:eastAsia="Times New Roman"/>
          <w:sz w:val="20"/>
        </w:rPr>
        <w:t xml:space="preserve">and aspect azimuth</w:t>
      </w:r>
      <w:r>
        <w:rPr>
          <w:rFonts w:ascii="Times New Roman" w:hAnsi="Times New Roman" w:eastAsia="Times New Roman"/>
          <w:sz w:val="20"/>
        </w:rPr>
        <w:t xml:space="preserve"> </w:t>
      </w:r>
      <m:oMath>
        <m:r>
          <m:t>α</m:t>
        </m:r>
      </m:oMath>
      <w:r>
        <w:rPr>
          <w:rFonts w:ascii="Times New Roman" w:hAnsi="Times New Roman" w:eastAsia="Times New Roman"/>
          <w:sz w:val="20"/>
        </w:rPr>
        <w:t xml:space="preserve">. Let</w:t>
      </w:r>
      <w:r>
        <w:rPr>
          <w:rFonts w:ascii="Times New Roman" w:hAnsi="Times New Roman" w:eastAsia="Times New Roman"/>
          <w:sz w:val="20"/>
        </w:rPr>
        <w:t xml:space="preserve"> </w:t>
      </w:r>
      <m:oMath>
        <m:r>
          <m:rPr>
            <m:sty m:val="bi"/>
          </m:rPr>
          <m:t>s</m:t>
        </m:r>
        <m:r>
          <m:rPr>
            <m:sty m:val="p"/>
          </m:rPr>
          <m:t>=</m:t>
        </m:r>
        <m:r>
          <m:rPr>
            <m:sty m:val="p"/>
          </m:rPr>
          <m:t>(</m:t>
        </m:r>
        <m:r>
          <m:rPr>
            <m:sty m:val="p"/>
          </m:rPr>
          <m:t>sin</m:t>
        </m:r>
        <m:sSub>
          <m:e>
            <m:r>
              <m:t>θ</m:t>
            </m:r>
          </m:e>
          <m:sub>
            <m:r>
              <m:rPr>
                <m:nor/>
                <m:sty m:val="p"/>
              </m:rPr>
              <m:t>inc</m:t>
            </m:r>
          </m:sub>
        </m:sSub>
        <m:r>
          <m:rPr>
            <m:sty m:val="p"/>
          </m:rPr>
          <m:t>sin</m:t>
        </m:r>
        <m:sSub>
          <m:e>
            <m:r>
              <m:t>ϕ</m:t>
            </m:r>
          </m:e>
          <m:sub>
            <m:r>
              <m:rPr>
                <m:nor/>
                <m:sty m:val="p"/>
              </m:rPr>
              <m:t>look</m:t>
            </m:r>
          </m:sub>
        </m:sSub>
        <m:r>
          <m:rPr>
            <m:sty m:val="p"/>
          </m:rPr>
          <m:t>,</m:t>
        </m:r>
        <m:r>
          <m:rPr>
            <m:sty m:val="p"/>
          </m:rPr>
          <m:t>sin</m:t>
        </m:r>
        <m:sSub>
          <m:e>
            <m:r>
              <m:t>θ</m:t>
            </m:r>
          </m:e>
          <m:sub>
            <m:r>
              <m:rPr>
                <m:nor/>
                <m:sty m:val="p"/>
              </m:rPr>
              <m:t>inc</m:t>
            </m:r>
          </m:sub>
        </m:sSub>
        <m:r>
          <m:rPr>
            <m:sty m:val="p"/>
          </m:rPr>
          <m:t>cos</m:t>
        </m:r>
        <m:sSub>
          <m:e>
            <m:r>
              <m:t>ϕ</m:t>
            </m:r>
          </m:e>
          <m:sub>
            <m:r>
              <m:rPr>
                <m:nor/>
                <m:sty m:val="p"/>
              </m:rPr>
              <m:t>look</m:t>
            </m:r>
          </m:sub>
        </m:sSub>
        <m:r>
          <m:rPr>
            <m:sty m:val="p"/>
          </m:rPr>
          <m:t>,</m:t>
        </m:r>
        <m:r>
          <m:rPr>
            <m:sty m:val="p"/>
          </m:rPr>
          <m:t>cos</m:t>
        </m:r>
        <m:sSub>
          <m:e>
            <m:r>
              <m:t>θ</m:t>
            </m:r>
          </m:e>
          <m:sub>
            <m:r>
              <m:rPr>
                <m:nor/>
                <m:sty m:val="p"/>
              </m:rPr>
              <m:t>inc</m:t>
            </m:r>
          </m:sub>
        </m:sSub>
        <m:sSup>
          <m:e>
            <m:r>
              <m:rPr>
                <m:sty m:val="p"/>
              </m:rPr>
              <m:t>)</m:t>
            </m:r>
          </m:e>
          <m:sup>
            <m:r>
              <m:t>T</m:t>
            </m:r>
          </m:sup>
        </m:sSup>
      </m:oMath>
      <w:r>
        <w:rPr>
          <w:rFonts w:ascii="Times New Roman" w:hAnsi="Times New Roman" w:eastAsia="Times New Roman"/>
          <w:sz w:val="20"/>
        </w:rPr>
        <w:t xml:space="preserve"> </w:t>
      </w:r>
      <w:r>
        <w:rPr>
          <w:rFonts w:ascii="Times New Roman" w:hAnsi="Times New Roman" w:eastAsia="Times New Roman"/>
          <w:sz w:val="20"/>
        </w:rPr>
        <w:t xml:space="preserve">denote the incident radar unit vector pointing toward the satellite antenna at nominal incidence angle</w:t>
      </w:r>
      <w:r>
        <w:rPr>
          <w:rFonts w:ascii="Times New Roman" w:hAnsi="Times New Roman" w:eastAsia="Times New Roman"/>
          <w:sz w:val="20"/>
        </w:rPr>
        <w:t xml:space="preserve"> </w:t>
      </w:r>
      <m:oMath>
        <m:sSub>
          <m:e>
            <m:r>
              <m:t>θ</m:t>
            </m:r>
          </m:e>
          <m:sub>
            <m:r>
              <m:rPr>
                <m:nor/>
                <m:sty m:val="p"/>
              </m:rPr>
              <m:t>inc</m:t>
            </m:r>
          </m:sub>
        </m:sSub>
      </m:oMath>
      <w:r>
        <w:rPr>
          <w:rFonts w:ascii="Times New Roman" w:hAnsi="Times New Roman" w:eastAsia="Times New Roman"/>
          <w:sz w:val="20"/>
        </w:rPr>
        <w:t xml:space="preserve"> </w:t>
      </w:r>
      <w:r>
        <w:rPr>
          <w:rFonts w:ascii="Times New Roman" w:hAnsi="Times New Roman" w:eastAsia="Times New Roman"/>
          <w:sz w:val="20"/>
        </w:rPr>
        <w:t xml:space="preserve">and look azimuth</w:t>
      </w:r>
      <w:r>
        <w:rPr>
          <w:rFonts w:ascii="Times New Roman" w:hAnsi="Times New Roman" w:eastAsia="Times New Roman"/>
          <w:sz w:val="20"/>
        </w:rPr>
        <w:t xml:space="preserve"> </w:t>
      </w:r>
      <m:oMath>
        <m:sSub>
          <m:e>
            <m:r>
              <m:t>ϕ</m:t>
            </m:r>
          </m:e>
          <m:sub>
            <m:r>
              <m:rPr>
                <m:nor/>
                <m:sty m:val="p"/>
              </m:rPr>
              <m:t>look</m:t>
            </m:r>
          </m:sub>
        </m:sSub>
      </m:oMath>
      <w:r>
        <w:rPr>
          <w:rFonts w:ascii="Times New Roman" w:hAnsi="Times New Roman" w:eastAsia="Times New Roman"/>
          <w:sz w:val="20"/>
        </w:rPr>
        <w:t xml:space="preserve">. The cosine of the local incidence angle (LIA)</w:t>
      </w:r>
      <w:r>
        <w:rPr>
          <w:rFonts w:ascii="Times New Roman" w:hAnsi="Times New Roman" w:eastAsia="Times New Roman"/>
          <w:sz w:val="20"/>
        </w:rPr>
        <w:t xml:space="preserve"> </w:t>
      </w:r>
      <m:oMath>
        <m:r>
          <m:t>ψ</m:t>
        </m:r>
      </m:oMath>
      <w:r>
        <w:rPr>
          <w:rFonts w:ascii="Times New Roman" w:hAnsi="Times New Roman" w:eastAsia="Times New Roman"/>
          <w:sz w:val="20"/>
        </w:rPr>
        <w:t xml:space="preserve"> </w:t>
      </w:r>
      <w:r>
        <w:rPr>
          <w:rFonts w:ascii="Times New Roman" w:hAnsi="Times New Roman" w:eastAsia="Times New Roman"/>
          <w:sz w:val="20"/>
        </w:rPr>
        <w:t xml:space="preserve">is governed by their inner product:</w:t>
      </w:r>
    </w:p>
    <w:p>
      <w:pPr>
        <w:pStyle w:val="BodyText"/>
        <w:spacing w:after="0" w:line="240" w:lineRule="auto"/>
      </w:pPr>
      <m:oMathPara>
        <m:oMathParaPr>
          <m:jc m:val="center"/>
        </m:oMathParaPr>
        <m:oMath>
          <m:r>
            <m:rPr>
              <m:sty m:val="p"/>
            </m:rPr>
            <m:t>cos</m:t>
          </m:r>
          <m:r>
            <m:t>ψ</m:t>
          </m:r>
          <m:r>
            <m:rPr>
              <m:sty m:val="p"/>
            </m:rPr>
            <m:t>=</m:t>
          </m:r>
          <m:r>
            <m:rPr>
              <m:sty m:val="bi"/>
            </m:rPr>
            <m:t>n</m:t>
          </m:r>
          <m:r>
            <m:rPr>
              <m:sty m:val="p"/>
            </m:rPr>
            <m:t>⋅</m:t>
          </m:r>
          <m:r>
            <m:rPr>
              <m:sty m:val="bi"/>
            </m:rPr>
            <m:t>s</m:t>
          </m:r>
          <m:r>
            <m:rPr>
              <m:sty m:val="p"/>
            </m:rPr>
            <m:t>=</m:t>
          </m:r>
          <m:r>
            <m:rPr>
              <m:sty m:val="p"/>
            </m:rPr>
            <m:t>cos</m:t>
          </m:r>
          <m:r>
            <m:t>θ</m:t>
          </m:r>
          <m:r>
            <m:rPr>
              <m:sty m:val="p"/>
            </m:rPr>
            <m:t>cos</m:t>
          </m:r>
          <m:sSub>
            <m:e>
              <m:r>
                <m:t>θ</m:t>
              </m:r>
            </m:e>
            <m:sub>
              <m:r>
                <m:rPr>
                  <m:nor/>
                  <m:sty m:val="p"/>
                </m:rPr>
                <m:t>inc</m:t>
              </m:r>
            </m:sub>
          </m:sSub>
          <m:r>
            <m:rPr>
              <m:sty m:val="p"/>
            </m:rPr>
            <m:t>−</m:t>
          </m:r>
          <m:r>
            <m:rPr>
              <m:sty m:val="p"/>
            </m:rPr>
            <m:t>sin</m:t>
          </m:r>
          <m:r>
            <m:t>θ</m:t>
          </m:r>
          <m:r>
            <m:rPr>
              <m:sty m:val="p"/>
            </m:rPr>
            <m:t>sin</m:t>
          </m:r>
          <m:sSub>
            <m:e>
              <m:r>
                <m:t>θ</m:t>
              </m:r>
            </m:e>
            <m:sub>
              <m:r>
                <m:rPr>
                  <m:nor/>
                  <m:sty m:val="p"/>
                </m:rPr>
                <m:t>inc</m:t>
              </m:r>
            </m:sub>
          </m:sSub>
          <m:r>
            <m:rPr>
              <m:sty m:val="p"/>
            </m:rPr>
            <m:t>cos</m:t>
          </m:r>
          <m:r>
            <m:rPr>
              <m:sty m:val="p"/>
            </m:rPr>
            <m:t>(</m:t>
          </m:r>
          <m:r>
            <m:t>α</m:t>
          </m:r>
          <m:r>
            <m:rPr>
              <m:sty m:val="p"/>
            </m:rPr>
            <m:t>−</m:t>
          </m:r>
          <m:sSub>
            <m:e>
              <m:r>
                <m:t>ϕ</m:t>
              </m:r>
            </m:e>
            <m:sub>
              <m:r>
                <m:rPr>
                  <m:nor/>
                  <m:sty m:val="p"/>
                </m:rPr>
                <m:t>look</m:t>
              </m:r>
            </m:sub>
          </m:sSub>
          <m:r>
            <m:rPr>
              <m:sty m:val="p"/>
            </m:rPr>
            <m:t>)</m:t>
          </m:r>
          <m:r>
            <m:t>  </m:t>
          </m:r>
          <m:r>
            <m:rPr>
              <m:sty m:val="p"/>
            </m:rPr>
            <m:t>(</m:t>
          </m:r>
          <m:r>
            <m:rPr>
              <m:nor/>
              <m:sty m:val="p"/>
            </m:rPr>
            <m:t>4</m:t>
          </m:r>
          <m:r>
            <m:rPr>
              <m:sty m:val="p"/>
            </m:rPr>
            <m:t>)</m:t>
          </m:r>
        </m:oMath>
      </m:oMathPara>
    </w:p>
    <w:p>
      <w:pPr>
        <w:pStyle w:val="FirstParagraph"/>
        <w:spacing w:after="0" w:line="240" w:lineRule="auto"/>
      </w:pPr>
      <w:r>
        <w:rPr>
          <w:rFonts w:ascii="Times New Roman" w:hAnsi="Times New Roman" w:eastAsia="Times New Roman"/>
          <w:sz w:val="20"/>
        </w:rPr>
        <w:t xml:space="preserve">Eq. (4) reveals that local incidence angle is intrinsically coupled to the directional alignment term</w:t>
      </w:r>
      <w:r>
        <w:rPr>
          <w:rFonts w:ascii="Times New Roman" w:hAnsi="Times New Roman" w:eastAsia="Times New Roman"/>
          <w:sz w:val="20"/>
        </w:rPr>
        <w:t xml:space="preserve"> </w:t>
      </w:r>
      <m:oMath>
        <m:sSub>
          <m:e>
            <m:r>
              <m:t>θ</m:t>
            </m:r>
          </m:e>
          <m:sub>
            <m:r>
              <m:rPr>
                <m:nor/>
                <m:sty m:val="p"/>
              </m:rPr>
              <m:t>align</m:t>
            </m:r>
          </m:sub>
        </m:sSub>
        <m:r>
          <m:rPr>
            <m:sty m:val="p"/>
          </m:rPr>
          <m:t>=</m:t>
        </m:r>
        <m:r>
          <m:rPr>
            <m:sty m:val="p"/>
          </m:rPr>
          <m:t>cos</m:t>
        </m:r>
        <m:r>
          <m:rPr>
            <m:sty m:val="p"/>
          </m:rPr>
          <m:t>(</m:t>
        </m:r>
        <m:r>
          <m:t>α</m:t>
        </m:r>
        <m:r>
          <m:rPr>
            <m:sty m:val="p"/>
          </m:rPr>
          <m:t>−</m:t>
        </m:r>
        <m:sSub>
          <m:e>
            <m:r>
              <m:t>ϕ</m:t>
            </m:r>
          </m:e>
          <m:sub>
            <m:r>
              <m:rPr>
                <m:nor/>
                <m:sty m:val="p"/>
              </m:rPr>
              <m:t>look</m:t>
            </m:r>
          </m:sub>
        </m:sSub>
        <m:r>
          <m:rPr>
            <m:sty m:val="p"/>
          </m:rPr>
          <m:t>)</m:t>
        </m:r>
      </m:oMath>
      <w:r>
        <w:rPr>
          <w:rFonts w:ascii="Times New Roman" w:hAnsi="Times New Roman" w:eastAsia="Times New Roman"/>
          <w:sz w:val="20"/>
        </w:rPr>
        <w:t xml:space="preserve">. When</w:t>
      </w:r>
      <w:r>
        <w:rPr>
          <w:rFonts w:ascii="Times New Roman" w:hAnsi="Times New Roman" w:eastAsia="Times New Roman"/>
          <w:sz w:val="20"/>
        </w:rPr>
        <w:t xml:space="preserve"> </w:t>
      </w:r>
      <m:oMath>
        <m:sSub>
          <m:e>
            <m:r>
              <m:t>θ</m:t>
            </m:r>
          </m:e>
          <m:sub>
            <m:r>
              <m:rPr>
                <m:nor/>
                <m:sty m:val="p"/>
              </m:rPr>
              <m:t>align</m:t>
            </m:r>
          </m:sub>
        </m:sSub>
        <m:r>
          <m:rPr>
            <m:sty m:val="p"/>
          </m:rPr>
          <m:t>&gt;</m:t>
        </m:r>
        <m:r>
          <m:t>0</m:t>
        </m:r>
      </m:oMath>
      <w:r>
        <w:rPr>
          <w:rFonts w:ascii="Times New Roman" w:hAnsi="Times New Roman" w:eastAsia="Times New Roman"/>
          <w:sz w:val="20"/>
        </w:rPr>
        <w:t xml:space="preserve">, the slope faces toward the sensor (foreslope), driving</w:t>
      </w:r>
      <w:r>
        <w:rPr>
          <w:rFonts w:ascii="Times New Roman" w:hAnsi="Times New Roman" w:eastAsia="Times New Roman"/>
          <w:sz w:val="20"/>
        </w:rPr>
        <w:t xml:space="preserve"> </w:t>
      </w:r>
      <m:oMath>
        <m:r>
          <m:t>ψ</m:t>
        </m:r>
        <m:r>
          <m:rPr>
            <m:sty m:val="p"/>
          </m:rPr>
          <m:t>→</m:t>
        </m:r>
        <m:sSup>
          <m:e>
            <m:r>
              <m:t>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causing intense radiometric compression (foreshortening/layover) that generates spurious high-backscatter ridges. Conversely, when</w:t>
      </w:r>
      <w:r>
        <w:rPr>
          <w:rFonts w:ascii="Times New Roman" w:hAnsi="Times New Roman" w:eastAsia="Times New Roman"/>
          <w:sz w:val="20"/>
        </w:rPr>
        <w:t xml:space="preserve"> </w:t>
      </w:r>
      <m:oMath>
        <m:sSub>
          <m:e>
            <m:r>
              <m:t>θ</m:t>
            </m:r>
          </m:e>
          <m:sub>
            <m:r>
              <m:rPr>
                <m:nor/>
                <m:sty m:val="p"/>
              </m:rPr>
              <m:t>align</m:t>
            </m:r>
          </m:sub>
        </m:sSub>
        <m:r>
          <m:rPr>
            <m:sty m:val="p"/>
          </m:rPr>
          <m:t>&lt;</m:t>
        </m:r>
        <m:r>
          <m:t>0</m:t>
        </m:r>
      </m:oMath>
      <w:r>
        <w:rPr>
          <w:rFonts w:ascii="Times New Roman" w:hAnsi="Times New Roman" w:eastAsia="Times New Roman"/>
          <w:sz w:val="20"/>
        </w:rPr>
        <w:t xml:space="preserve">, the slope faces away from the sensor (backslope), producing large incidence angles (</w:t>
      </w:r>
      <m:oMath>
        <m:r>
          <m:t>ψ</m:t>
        </m:r>
        <m:r>
          <m:rPr>
            <m:sty m:val="p"/>
          </m:rPr>
          <m:t>&gt;</m:t>
        </m:r>
        <m:sSup>
          <m:e>
            <m:r>
              <m:t>50</m:t>
            </m:r>
          </m:e>
          <m:sup>
            <m:r>
              <m:rPr>
                <m:sty m:val="p"/>
              </m:rPr>
              <m:t>∘</m:t>
            </m:r>
          </m:sup>
        </m:sSup>
      </m:oMath>
      <w:r>
        <w:rPr>
          <w:rFonts w:ascii="Times New Roman" w:hAnsi="Times New Roman" w:eastAsia="Times New Roman"/>
          <w:sz w:val="20"/>
        </w:rPr>
        <w:t xml:space="preserve">) where true avalanche debris exhibits the highest relative contrast against the dark background snowpack</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If</w:t>
      </w:r>
      <w:r>
        <w:rPr>
          <w:rFonts w:ascii="Times New Roman" w:hAnsi="Times New Roman" w:eastAsia="Times New Roman"/>
          <w:sz w:val="20"/>
        </w:rPr>
        <w:t xml:space="preserve"> </w:t>
      </w:r>
      <m:oMath>
        <m:r>
          <m:t>ψ</m:t>
        </m:r>
        <m:r>
          <m:rPr>
            <m:sty m:val="p"/>
          </m:rPr>
          <m:t>≥</m:t>
        </m:r>
        <m:sSup>
          <m:e>
            <m:r>
              <m:t>90</m:t>
            </m:r>
          </m:e>
          <m:sup>
            <m:r>
              <m:rPr>
                <m:sty m:val="p"/>
              </m:rPr>
              <m:t>∘</m:t>
            </m:r>
          </m:sup>
        </m:sSup>
      </m:oMath>
      <w:r>
        <w:rPr>
          <w:rFonts w:ascii="Times New Roman" w:hAnsi="Times New Roman" w:eastAsia="Times New Roman"/>
          <w:sz w:val="20"/>
        </w:rPr>
        <w:t xml:space="preserve">, true radar shadow occurs.</w:t>
      </w:r>
    </w:p>
    <w:p>
      <w:pPr>
        <w:pStyle w:val="BodyText"/>
        <w:spacing w:after="0" w:line="240" w:lineRule="auto"/>
      </w:pPr>
      <w:r>
        <w:rPr>
          <w:rFonts w:ascii="Times New Roman" w:hAnsi="Times New Roman" w:eastAsia="Times New Roman"/>
          <w:sz w:val="20"/>
        </w:rPr>
        <w:t xml:space="preserve">To provide the neural network with a complete, continuous, and singularity-free representation of terrain geometry without angular modular discontinuities at</w:t>
      </w:r>
      <w:r>
        <w:rPr>
          <w:rFonts w:ascii="Times New Roman" w:hAnsi="Times New Roman" w:eastAsia="Times New Roman"/>
          <w:sz w:val="20"/>
        </w:rPr>
        <w:t xml:space="preserve"> </w:t>
      </w:r>
      <m:oMath>
        <m:sSup>
          <m:e>
            <m:r>
              <m:t>0</m:t>
            </m:r>
          </m:e>
          <m:sup>
            <m:r>
              <m:rPr>
                <m:sty m:val="p"/>
              </m:rPr>
              <m:t>∘</m:t>
            </m:r>
          </m:sup>
        </m:sSup>
        <m:r>
          <m:rPr>
            <m:sty m:val="p"/>
          </m:rPr>
          <m:t>/</m:t>
        </m:r>
        <m:sSup>
          <m:e>
            <m:r>
              <m:t>360</m:t>
            </m:r>
          </m:e>
          <m:sup>
            <m:r>
              <m:rPr>
                <m:sty m:val="p"/>
              </m:rPr>
              <m:t>∘</m:t>
            </m:r>
          </m:sup>
        </m:sSup>
      </m:oMath>
      <w:r>
        <w:rPr>
          <w:rFonts w:ascii="Times New Roman" w:hAnsi="Times New Roman" w:eastAsia="Times New Roman"/>
          <w:sz w:val="20"/>
        </w:rPr>
        <w:t xml:space="preserve">, we define the continuous topographic coordinate vector</w:t>
      </w:r>
      <w:r>
        <w:rPr>
          <w:rFonts w:ascii="Times New Roman" w:hAnsi="Times New Roman" w:eastAsia="Times New Roman"/>
          <w:sz w:val="20"/>
        </w:rPr>
        <w:t xml:space="preserve"> </w:t>
      </w:r>
      <m:oMath>
        <m:r>
          <m:rPr>
            <m:sty m:val="bi"/>
          </m:rPr>
          <m:t>g</m:t>
        </m:r>
        <m:r>
          <m:rPr>
            <m:sty m:val="p"/>
          </m:rPr>
          <m:t>(</m:t>
        </m:r>
        <m:r>
          <m:t>u</m:t>
        </m:r>
        <m:r>
          <m:rPr>
            <m:sty m:val="p"/>
          </m:rPr>
          <m:t>,</m:t>
        </m:r>
        <m:r>
          <m:t>v</m:t>
        </m:r>
        <m:r>
          <m:rPr>
            <m:sty m:val="p"/>
          </m:rPr>
          <m:t>)</m:t>
        </m:r>
        <m:r>
          <m:rPr>
            <m:sty m:val="p"/>
          </m:rPr>
          <m:t>∈</m:t>
        </m:r>
        <m:sSup>
          <m:e>
            <m:r>
              <m:rPr>
                <m:scr m:val="double-struck"/>
                <m:sty m:val="p"/>
              </m:rPr>
              <m:t>R</m:t>
            </m:r>
          </m:e>
          <m:sup>
            <m:r>
              <m:t>6</m:t>
            </m:r>
          </m:sup>
        </m:sSup>
      </m:oMath>
      <w:r>
        <w:rPr>
          <w:rFonts w:ascii="Times New Roman" w:hAnsi="Times New Roman" w:eastAsia="Times New Roman"/>
          <w:sz w:val="20"/>
        </w:rPr>
        <w:t xml:space="preserve"> </w:t>
      </w:r>
      <w:r>
        <w:rPr>
          <w:rFonts w:ascii="Times New Roman" w:hAnsi="Times New Roman" w:eastAsia="Times New Roman"/>
          <w:sz w:val="20"/>
        </w:rPr>
        <w:t xml:space="preserve">at each spatial location</w:t>
      </w:r>
      <w:r>
        <w:rPr>
          <w:rFonts w:ascii="Times New Roman" w:hAnsi="Times New Roman" w:eastAsia="Times New Roman"/>
          <w:sz w:val="20"/>
        </w:rPr>
        <w:t xml:space="preserve"> </w:t>
      </w:r>
      <m:oMath>
        <m:r>
          <m:rPr>
            <m:sty m:val="p"/>
          </m:rPr>
          <m:t>(</m:t>
        </m:r>
        <m:r>
          <m:t>u</m:t>
        </m:r>
        <m:r>
          <m:rPr>
            <m:sty m:val="p"/>
          </m:rPr>
          <m:t>,</m:t>
        </m:r>
        <m:r>
          <m:t>v</m:t>
        </m:r>
        <m:r>
          <m:rPr>
            <m:sty m:val="p"/>
          </m:rPr>
          <m:t>)</m:t>
        </m:r>
      </m:oMath>
      <w:r>
        <w:rPr>
          <w:rFonts w:ascii="Times New Roman" w:hAnsi="Times New Roman" w:eastAsia="Times New Roman"/>
          <w:sz w:val="20"/>
        </w:rPr>
        <w:t xml:space="preserve">:</w:t>
      </w:r>
    </w:p>
    <w:p>
      <w:pPr>
        <w:pStyle w:val="BodyText"/>
        <w:spacing w:after="0" w:line="240" w:lineRule="auto"/>
      </w:pPr>
      <m:oMathPara>
        <m:oMathParaPr>
          <m:jc m:val="center"/>
        </m:oMathParaPr>
        <m:oMath>
          <m:m>
            <m:mPr>
              <m:baseJc m:val="center"/>
              <m:plcHide m:val="on"/>
              <m:mcs>
                <m:mc>
                  <m:mcPr>
                    <m:mcJc m:val="right"/>
                    <m:count m:val="1"/>
                  </m:mcPr>
                </m:mc>
              </m:mcs>
            </m:mPr>
            <m:mr>
              <m:e>
                <m:r>
                  <m:rPr>
                    <m:sty m:val="bi"/>
                  </m:rPr>
                  <m:t>g</m:t>
                </m:r>
                <m:r>
                  <m:rPr>
                    <m:sty m:val="p"/>
                  </m:rPr>
                  <m:t>(</m:t>
                </m:r>
                <m:r>
                  <m:t>u</m:t>
                </m:r>
                <m:r>
                  <m:rPr>
                    <m:sty m:val="p"/>
                  </m:rPr>
                  <m:t>,</m:t>
                </m:r>
                <m:r>
                  <m:t>v</m:t>
                </m:r>
                <m:r>
                  <m:rPr>
                    <m:sty m:val="p"/>
                  </m:rPr>
                  <m:t>)</m:t>
                </m:r>
                <m:r>
                  <m:rPr>
                    <m:sty m:val="p"/>
                  </m:rPr>
                  <m:t>=</m:t>
                </m:r>
                <m:r>
                  <m:rPr>
                    <m:sty m:val="p"/>
                  </m:rPr>
                  <m:t>[</m:t>
                </m:r>
                <m:r>
                  <m:rPr>
                    <m:sty m:val="p"/>
                  </m:rPr>
                  <m:t>cos</m:t>
                </m:r>
                <m:r>
                  <m:t>ψ</m:t>
                </m:r>
                <m:r>
                  <m:rPr>
                    <m:sty m:val="p"/>
                  </m:rPr>
                  <m:t>,</m:t>
                </m:r>
                <m:r>
                  <m:t> </m:t>
                </m:r>
                <m:f>
                  <m:fPr>
                    <m:type m:val="bar"/>
                  </m:fPr>
                  <m:num>
                    <m:r>
                      <m:t>θ</m:t>
                    </m:r>
                  </m:num>
                  <m:den>
                    <m:sSub>
                      <m:e>
                        <m:r>
                          <m:t>θ</m:t>
                        </m:r>
                      </m:e>
                      <m:sub>
                        <m:r>
                          <m:rPr>
                            <m:nor/>
                            <m:sty m:val="p"/>
                          </m:rPr>
                          <m:t>ref</m:t>
                        </m:r>
                      </m:sub>
                    </m:sSub>
                  </m:den>
                </m:f>
                <m:r>
                  <m:rPr>
                    <m:sty m:val="p"/>
                  </m:rPr>
                  <m:t>,</m:t>
                </m:r>
                <m:r>
                  <m:t> </m:t>
                </m:r>
                <m:r>
                  <m:rPr>
                    <m:sty m:val="p"/>
                  </m:rPr>
                  <m:t>sin</m:t>
                </m:r>
                <m:r>
                  <m:t>α</m:t>
                </m:r>
                <m:r>
                  <m:rPr>
                    <m:sty m:val="p"/>
                  </m:rPr>
                  <m:t>,</m:t>
                </m:r>
                <m:r>
                  <m:t> </m:t>
                </m:r>
                <m:r>
                  <m:rPr>
                    <m:sty m:val="p"/>
                  </m:rPr>
                  <m:t>cos</m:t>
                </m:r>
                <m:r>
                  <m:t>α</m:t>
                </m:r>
                <m:r>
                  <m:rPr>
                    <m:sty m:val="p"/>
                  </m:rPr>
                  <m:t>,</m:t>
                </m:r>
              </m:e>
            </m:mr>
            <m:mr>
              <m:e>
                <m:f>
                  <m:fPr>
                    <m:type m:val="bar"/>
                  </m:fPr>
                  <m:num>
                    <m:r>
                      <m:t>H</m:t>
                    </m:r>
                    <m:r>
                      <m:rPr>
                        <m:sty m:val="p"/>
                      </m:rPr>
                      <m:t>−</m:t>
                    </m:r>
                    <m:sSub>
                      <m:e>
                        <m:r>
                          <m:t>μ</m:t>
                        </m:r>
                      </m:e>
                      <m:sub>
                        <m:r>
                          <m:t>H</m:t>
                        </m:r>
                      </m:sub>
                    </m:sSub>
                  </m:num>
                  <m:den>
                    <m:sSub>
                      <m:e>
                        <m:r>
                          <m:t>σ</m:t>
                        </m:r>
                      </m:e>
                      <m:sub>
                        <m:r>
                          <m:t>H</m:t>
                        </m:r>
                      </m:sub>
                    </m:sSub>
                  </m:den>
                </m:f>
                <m:r>
                  <m:rPr>
                    <m:sty m:val="p"/>
                  </m:rPr>
                  <m:t>,</m:t>
                </m:r>
                <m:r>
                  <m:t> </m:t>
                </m:r>
                <m:r>
                  <m:rPr>
                    <m:sty m:val="p"/>
                  </m:rPr>
                  <m:t>cos</m:t>
                </m:r>
                <m:r>
                  <m:rPr>
                    <m:sty m:val="p"/>
                  </m:rPr>
                  <m:t>(</m:t>
                </m:r>
                <m:r>
                  <m:t>α</m:t>
                </m:r>
                <m:r>
                  <m:rPr>
                    <m:sty m:val="p"/>
                  </m:rPr>
                  <m:t>−</m:t>
                </m:r>
                <m:sSub>
                  <m:e>
                    <m:r>
                      <m:t>ϕ</m:t>
                    </m:r>
                  </m:e>
                  <m:sub>
                    <m:r>
                      <m:rPr>
                        <m:nor/>
                        <m:sty m:val="p"/>
                      </m:rPr>
                      <m:t>look</m:t>
                    </m:r>
                  </m:sub>
                </m:sSub>
                <m:r>
                  <m:rPr>
                    <m:sty m:val="p"/>
                  </m:rPr>
                  <m:t>)</m:t>
                </m:r>
                <m:sSup>
                  <m:e>
                    <m:r>
                      <m:rPr>
                        <m:sty m:val="p"/>
                      </m:rPr>
                      <m:t>]</m:t>
                    </m:r>
                  </m:e>
                  <m:sup>
                    <m:r>
                      <m:t>T</m:t>
                    </m:r>
                  </m:sup>
                </m:sSup>
                <m:r>
                  <m:t>  </m:t>
                </m:r>
                <m:r>
                  <m:rPr>
                    <m:sty m:val="p"/>
                  </m:rPr>
                  <m:t>(</m:t>
                </m:r>
                <m:r>
                  <m:rPr>
                    <m:nor/>
                    <m:sty m:val="p"/>
                  </m:rPr>
                  <m:t>5</m:t>
                </m:r>
                <m:r>
                  <m:rPr>
                    <m:sty m:val="p"/>
                  </m:rPr>
                  <m:t>)</m:t>
                </m:r>
              </m:e>
            </m:mr>
          </m:m>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t>θ</m:t>
            </m:r>
          </m:e>
          <m:sub>
            <m:r>
              <m:rPr>
                <m:nor/>
                <m:sty m:val="p"/>
              </m:rPr>
              <m:t>ref</m:t>
            </m:r>
          </m:sub>
        </m:sSub>
        <m:r>
          <m:rPr>
            <m:sty m:val="p"/>
          </m:rPr>
          <m:t>=</m:t>
        </m:r>
        <m:sSup>
          <m:e>
            <m:r>
              <m:t>60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is a characteristic alpine scaling factor, and</w:t>
      </w:r>
      <w:r>
        <w:rPr>
          <w:rFonts w:ascii="Times New Roman" w:hAnsi="Times New Roman" w:eastAsia="Times New Roman"/>
          <w:sz w:val="20"/>
        </w:rPr>
        <w:t xml:space="preserve"> </w:t>
      </w:r>
      <m:oMath>
        <m:sSub>
          <m:e>
            <m:r>
              <m:t>μ</m:t>
            </m:r>
          </m:e>
          <m:sub>
            <m:r>
              <m:t>H</m:t>
            </m:r>
          </m:sub>
        </m:sSub>
        <m:r>
          <m:rPr>
            <m:sty m:val="p"/>
          </m:rPr>
          <m:t>,</m:t>
        </m:r>
        <m:sSub>
          <m:e>
            <m:r>
              <m:t>σ</m:t>
            </m:r>
          </m:e>
          <m:sub>
            <m:r>
              <m:t>H</m:t>
            </m:r>
          </m:sub>
        </m:sSub>
      </m:oMath>
      <w:r>
        <w:rPr>
          <w:rFonts w:ascii="Times New Roman" w:hAnsi="Times New Roman" w:eastAsia="Times New Roman"/>
          <w:sz w:val="20"/>
        </w:rPr>
        <w:t xml:space="preserve"> </w:t>
      </w:r>
      <w:r>
        <w:rPr>
          <w:rFonts w:ascii="Times New Roman" w:hAnsi="Times New Roman" w:eastAsia="Times New Roman"/>
          <w:sz w:val="20"/>
        </w:rPr>
        <w:t xml:space="preserve">normalize digital elevation</w:t>
      </w:r>
      <w:r>
        <w:rPr>
          <w:rFonts w:ascii="Times New Roman" w:hAnsi="Times New Roman" w:eastAsia="Times New Roman"/>
          <w:sz w:val="20"/>
        </w:rPr>
        <w:t xml:space="preserve"> </w:t>
      </w:r>
      <m:oMath>
        <m:r>
          <m:t>H</m:t>
        </m:r>
      </m:oMath>
      <w:r>
        <w:rPr>
          <w:rFonts w:ascii="Times New Roman" w:hAnsi="Times New Roman" w:eastAsia="Times New Roman"/>
          <w:sz w:val="20"/>
        </w:rPr>
        <w:t xml:space="preserve">.</w:t>
      </w:r>
    </w:p>
    <w:bookmarkEnd w:id="14"/>
    <w:bookmarkStart w:id="15" w:name="Xe067fcb8bc94837186e231dab67fa893d469a1e"/>
    <w:p>
      <w:pPr>
        <w:pStyle w:val="Heading2"/>
        <w:spacing w:after="0" w:line="240" w:lineRule="auto"/>
      </w:pPr>
      <w:r>
        <w:rPr>
          <w:rFonts w:ascii="Times New Roman" w:hAnsi="Times New Roman" w:eastAsia="Times New Roman"/>
          <w:sz w:val="20"/>
        </w:rPr>
        <w:t xml:space="preserve">Physical and Geometric Formulation of Radar-Topographic Distortion</w:t>
      </w:r>
    </w:p>
    <w:p>
      <w:pPr>
        <w:pStyle w:val="FirstParagraph"/>
        <w:spacing w:after="0" w:line="240" w:lineRule="auto"/>
      </w:pPr>
      <w:r>
        <w:rPr>
          <w:rFonts w:ascii="Times New Roman" w:hAnsi="Times New Roman" w:eastAsia="Times New Roman"/>
          <w:sz w:val="20"/>
        </w:rPr>
        <w:t xml:space="preserve">To formalize why standard 2D convolutional and self-attention backbones face inherent geometric limits in rugged alpine terrain, we analyze the mapping between terrain orientation and observed backscatter intensity.</w:t>
      </w:r>
    </w:p>
    <w:p>
      <w:pPr>
        <w:pStyle w:val="BodyText"/>
        <w:spacing w:after="0" w:line="240" w:lineRule="auto"/>
      </w:pPr>
      <w:r>
        <w:rPr>
          <w:rFonts w:ascii="Times New Roman" w:hAnsi="Times New Roman" w:eastAsia="Times New Roman"/>
          <w:b/>
          <w:bCs/>
          <w:sz w:val="20"/>
        </w:rPr>
        <w:t xml:space="preserve">Proposition 1 (Geometric Radar-Topographic Illumination Modulation).</w:t>
      </w:r>
      <w:r>
        <w:rPr>
          <w:rFonts w:ascii="Times New Roman" w:hAnsi="Times New Roman" w:eastAsia="Times New Roman"/>
          <w:sz w:val="20"/>
        </w:rPr>
        <w:t xml:space="preserve"> </w:t>
      </w:r>
      <w:r>
        <w:rPr>
          <w:rFonts w:ascii="Times New Roman" w:hAnsi="Times New Roman" w:eastAsia="Times New Roman"/>
          <w:sz w:val="20"/>
        </w:rPr>
        <w:t xml:space="preserve">Let</w:t>
      </w:r>
      <w:r>
        <w:rPr>
          <w:rFonts w:ascii="Times New Roman" w:hAnsi="Times New Roman" w:eastAsia="Times New Roman"/>
          <w:sz w:val="20"/>
        </w:rPr>
        <w:t xml:space="preserve"> </w:t>
      </w:r>
      <m:oMath>
        <m:r>
          <m:t>z</m:t>
        </m:r>
        <m:r>
          <m:rPr>
            <m:sty m:val="p"/>
          </m:rPr>
          <m:t>=</m:t>
        </m:r>
        <m:r>
          <m:t>H</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be a topographic surface defined on spatial coordinates</w:t>
      </w:r>
      <w:r>
        <w:rPr>
          <w:rFonts w:ascii="Times New Roman" w:hAnsi="Times New Roman" w:eastAsia="Times New Roman"/>
          <w:sz w:val="20"/>
        </w:rPr>
        <w:t xml:space="preserve"> </w:t>
      </w:r>
      <m:oMath>
        <m:r>
          <m:rPr>
            <m:sty m:val="p"/>
          </m:rPr>
          <m:t>(</m:t>
        </m:r>
        <m:r>
          <m:t>u</m:t>
        </m:r>
        <m:r>
          <m:rPr>
            <m:sty m:val="p"/>
          </m:rPr>
          <m:t>,</m:t>
        </m:r>
        <m:r>
          <m:t>v</m:t>
        </m:r>
        <m:r>
          <m:rPr>
            <m:sty m:val="p"/>
          </m:rPr>
          <m:t>)</m:t>
        </m:r>
        <m:r>
          <m:rPr>
            <m:sty m:val="p"/>
          </m:rPr>
          <m:t>∈</m:t>
        </m:r>
        <m:r>
          <m:rPr>
            <m:sty m:val="p"/>
          </m:rPr>
          <m:t>Ω</m:t>
        </m:r>
        <m:r>
          <m:rPr>
            <m:sty m:val="p"/>
          </m:rPr>
          <m:t>⊂</m:t>
        </m:r>
        <m:sSup>
          <m:e>
            <m:r>
              <m:rPr>
                <m:scr m:val="double-struck"/>
                <m:sty m:val="p"/>
              </m:rPr>
              <m:t>R</m:t>
            </m:r>
          </m:e>
          <m:sup>
            <m:r>
              <m:t>2</m:t>
            </m:r>
          </m:sup>
        </m:sSup>
      </m:oMath>
      <w:r>
        <w:rPr>
          <w:rFonts w:ascii="Times New Roman" w:hAnsi="Times New Roman" w:eastAsia="Times New Roman"/>
          <w:sz w:val="20"/>
        </w:rPr>
        <w:t xml:space="preserve">, illuminated by an incident radar look vector</w:t>
      </w:r>
      <w:r>
        <w:rPr>
          <w:rFonts w:ascii="Times New Roman" w:hAnsi="Times New Roman" w:eastAsia="Times New Roman"/>
          <w:sz w:val="20"/>
        </w:rPr>
        <w:t xml:space="preserve"> </w:t>
      </w:r>
      <m:oMath>
        <m:r>
          <m:rPr>
            <m:sty m:val="bi"/>
          </m:rPr>
          <m:t>s</m:t>
        </m:r>
        <m:r>
          <m:rPr>
            <m:sty m:val="p"/>
          </m:rPr>
          <m:t>(</m:t>
        </m:r>
        <m:sSub>
          <m:e>
            <m:r>
              <m:t>θ</m:t>
            </m:r>
          </m:e>
          <m:sub>
            <m:r>
              <m:rPr>
                <m:nor/>
                <m:sty m:val="p"/>
              </m:rPr>
              <m:t>inc</m:t>
            </m:r>
          </m:sub>
        </m:sSub>
        <m:r>
          <m:rPr>
            <m:sty m:val="p"/>
          </m:rPr>
          <m:t>,</m:t>
        </m:r>
        <m:sSub>
          <m:e>
            <m:r>
              <m:t>ϕ</m:t>
            </m:r>
          </m:e>
          <m:sub>
            <m:r>
              <m:rPr>
                <m:nor/>
                <m:sty m:val="p"/>
              </m:rPr>
              <m:t>look</m:t>
            </m:r>
          </m:sub>
        </m:sSub>
        <m:r>
          <m:rPr>
            <m:sty m:val="p"/>
          </m:rPr>
          <m:t>)</m:t>
        </m:r>
      </m:oMath>
      <w:r>
        <w:rPr>
          <w:rFonts w:ascii="Times New Roman" w:hAnsi="Times New Roman" w:eastAsia="Times New Roman"/>
          <w:sz w:val="20"/>
        </w:rPr>
        <w:t xml:space="preserve">. Under radiometric terrain modeling</w:t>
      </w:r>
      <w:r>
        <w:rPr>
          <w:rFonts w:ascii="Times New Roman" w:hAnsi="Times New Roman" w:eastAsia="Times New Roman"/>
          <w:sz w:val="20"/>
        </w:rPr>
        <w:t xml:space="preserve"> </w:t>
      </w:r>
      <w:r>
        <w:rPr>
          <w:rFonts w:ascii="Times New Roman" w:hAnsi="Times New Roman" w:eastAsia="Times New Roman"/>
          <w:sz w:val="20"/>
        </w:rPr>
        <w:t xml:space="preserve">(Small 2011)</w:t>
      </w:r>
      <w:r>
        <w:rPr>
          <w:rFonts w:ascii="Times New Roman" w:hAnsi="Times New Roman" w:eastAsia="Times New Roman"/>
          <w:sz w:val="20"/>
        </w:rPr>
        <w:t xml:space="preserve">, observed radar backscatter across sloped terrain is influenced by local ground scattering area. Under first-order facet geometry, the ratio between nominal flat-surface ground area and local tilted facet area is conventionally characterized by the geometric modulation factor:</w:t>
      </w:r>
    </w:p>
    <w:p>
      <w:pPr>
        <w:pStyle w:val="BodyText"/>
        <w:spacing w:after="0" w:line="240" w:lineRule="auto"/>
      </w:pPr>
      <m:oMathPara>
        <m:oMathParaPr>
          <m:jc m:val="center"/>
        </m:oMathParaPr>
        <m:oMath>
          <m:r>
            <m:rPr>
              <m:scr m:val="script"/>
              <m:sty m:val="p"/>
            </m:rPr>
            <m:t>G</m:t>
          </m:r>
          <m:r>
            <m:rPr>
              <m:sty m:val="p"/>
            </m:rPr>
            <m:t>(</m:t>
          </m:r>
          <m:r>
            <m:t>u</m:t>
          </m:r>
          <m:r>
            <m:rPr>
              <m:sty m:val="p"/>
            </m:rPr>
            <m:t>,</m:t>
          </m:r>
          <m:r>
            <m:t>v</m:t>
          </m:r>
          <m:r>
            <m:rPr>
              <m:sty m:val="p"/>
            </m:rPr>
            <m:t>)</m:t>
          </m:r>
          <m:r>
            <m:rPr>
              <m:sty m:val="p"/>
            </m:rPr>
            <m:t>≈</m:t>
          </m:r>
          <m:f>
            <m:fPr>
              <m:type m:val="bar"/>
            </m:fPr>
            <m:num>
              <m:r>
                <m:rPr>
                  <m:sty m:val="p"/>
                </m:rPr>
                <m:t>cos</m:t>
              </m:r>
              <m:r>
                <m:t>ψ</m:t>
              </m:r>
              <m:r>
                <m:rPr>
                  <m:sty m:val="p"/>
                </m:rPr>
                <m:t>(</m:t>
              </m:r>
              <m:r>
                <m:t>u</m:t>
              </m:r>
              <m:r>
                <m:rPr>
                  <m:sty m:val="p"/>
                </m:rPr>
                <m:t>,</m:t>
              </m:r>
              <m:r>
                <m:t>v</m:t>
              </m:r>
              <m:r>
                <m:rPr>
                  <m:sty m:val="p"/>
                </m:rPr>
                <m:t>)</m:t>
              </m:r>
            </m:num>
            <m:den>
              <m:r>
                <m:rPr>
                  <m:sty m:val="p"/>
                </m:rPr>
                <m:t>sin</m:t>
              </m:r>
              <m:sSub>
                <m:e>
                  <m:r>
                    <m:t>θ</m:t>
                  </m:r>
                </m:e>
                <m:sub>
                  <m:r>
                    <m:rPr>
                      <m:nor/>
                      <m:sty m:val="p"/>
                    </m:rPr>
                    <m:t>inc</m:t>
                  </m:r>
                </m:sub>
              </m:sSub>
            </m:den>
          </m:f>
        </m:oMath>
      </m:oMathPara>
    </w:p>
    <w:p>
      <w:pPr>
        <w:pStyle w:val="FirstParagraph"/>
        <w:spacing w:after="0" w:line="240" w:lineRule="auto"/>
      </w:pPr>
      <w:r>
        <w:rPr>
          <w:rFonts w:ascii="Times New Roman" w:hAnsi="Times New Roman" w:eastAsia="Times New Roman"/>
          <w:sz w:val="20"/>
        </w:rPr>
        <w:t xml:space="preserve">where the local incidence angle</w:t>
      </w:r>
      <w:r>
        <w:rPr>
          <w:rFonts w:ascii="Times New Roman" w:hAnsi="Times New Roman" w:eastAsia="Times New Roman"/>
          <w:sz w:val="20"/>
        </w:rPr>
        <w:t xml:space="preserve"> </w:t>
      </w:r>
      <m:oMath>
        <m:r>
          <m:t>ψ</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satisfies Eq. (4), with local slope</w:t>
      </w:r>
      <w:r>
        <w:rPr>
          <w:rFonts w:ascii="Times New Roman" w:hAnsi="Times New Roman" w:eastAsia="Times New Roman"/>
          <w:sz w:val="20"/>
        </w:rPr>
        <w:t xml:space="preserve"> </w:t>
      </w:r>
      <m:oMath>
        <m:r>
          <m:t>θ</m:t>
        </m:r>
        <m:r>
          <m:rPr>
            <m:sty m:val="p"/>
          </m:rPr>
          <m:t>=</m:t>
        </m:r>
        <m:r>
          <m:rPr>
            <m:sty m:val="p"/>
          </m:rPr>
          <m:t>arctan</m:t>
        </m:r>
        <m:r>
          <m:rPr>
            <m:sty m:val="p"/>
          </m:rPr>
          <m:t>(</m:t>
        </m:r>
        <m:r>
          <m:rPr>
            <m:sty m:val="p"/>
          </m:rPr>
          <m:t>∥</m:t>
        </m:r>
        <m:r>
          <m:rPr>
            <m:sty m:val="p"/>
          </m:rPr>
          <m:t>∇</m:t>
        </m:r>
        <m:r>
          <m:t>H</m:t>
        </m:r>
        <m:r>
          <m:rPr>
            <m:sty m:val="p"/>
          </m:rPr>
          <m:t>(</m:t>
        </m:r>
        <m:r>
          <m:t>u</m:t>
        </m:r>
        <m:r>
          <m:rPr>
            <m:sty m:val="p"/>
          </m:rPr>
          <m:t>,</m:t>
        </m:r>
        <m:r>
          <m:t>v</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aspect</w:t>
      </w:r>
      <w:r>
        <w:rPr>
          <w:rFonts w:ascii="Times New Roman" w:hAnsi="Times New Roman" w:eastAsia="Times New Roman"/>
          <w:sz w:val="20"/>
        </w:rPr>
        <w:t xml:space="preserve"> </w:t>
      </w:r>
      <m:oMath>
        <m:r>
          <m:t>α</m:t>
        </m:r>
        <m:r>
          <m:rPr>
            <m:sty m:val="p"/>
          </m:rPr>
          <m:t>=</m:t>
        </m:r>
        <m:r>
          <m:rPr>
            <m:nor/>
            <m:sty m:val="p"/>
          </m:rPr>
          <m:t>atan2</m:t>
        </m:r>
        <m:r>
          <m:rPr>
            <m:sty m:val="p"/>
          </m:rPr>
          <m:t>(</m:t>
        </m:r>
        <m:r>
          <m:rPr>
            <m:sty m:val="p"/>
          </m:rPr>
          <m:t>−</m:t>
        </m:r>
        <m:sSub>
          <m:e>
            <m:r>
              <m:rPr>
                <m:sty m:val="p"/>
              </m:rPr>
              <m:t>∂</m:t>
            </m:r>
          </m:e>
          <m:sub>
            <m:r>
              <m:t>u</m:t>
            </m:r>
          </m:sub>
        </m:sSub>
        <m:r>
          <m:t>H</m:t>
        </m:r>
        <m:r>
          <m:rPr>
            <m:sty m:val="p"/>
          </m:rPr>
          <m:t>,</m:t>
        </m:r>
        <m:r>
          <m:rPr>
            <m:sty m:val="p"/>
          </m:rPr>
          <m:t>−</m:t>
        </m:r>
        <m:sSub>
          <m:e>
            <m:r>
              <m:rPr>
                <m:sty m:val="p"/>
              </m:rPr>
              <m:t>∂</m:t>
            </m:r>
          </m:e>
          <m:sub>
            <m:r>
              <m:t>v</m:t>
            </m:r>
          </m:sub>
        </m:sSub>
        <m:r>
          <m:t>H</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Proposition 2 (Geometric Ambiguity of Shift-Invariant 2D Linear Convolutions).</w:t>
      </w:r>
      <w:r>
        <w:rPr>
          <w:rFonts w:ascii="Times New Roman" w:hAnsi="Times New Roman" w:eastAsia="Times New Roman"/>
          <w:sz w:val="20"/>
        </w:rPr>
        <w:t xml:space="preserve"> </w:t>
      </w:r>
      <w:r>
        <w:rPr>
          <w:rFonts w:ascii="Times New Roman" w:hAnsi="Times New Roman" w:eastAsia="Times New Roman"/>
          <w:sz w:val="20"/>
        </w:rPr>
        <w:t xml:space="preserve">Let</w:t>
      </w:r>
      <w:r>
        <w:rPr>
          <w:rFonts w:ascii="Times New Roman" w:hAnsi="Times New Roman" w:eastAsia="Times New Roman"/>
          <w:sz w:val="20"/>
        </w:rPr>
        <w:t xml:space="preserve"> </w:t>
      </w:r>
      <m:oMath>
        <m:r>
          <m:rPr>
            <m:scr m:val="script"/>
            <m:sty m:val="p"/>
          </m:rPr>
          <m:t>K</m:t>
        </m:r>
        <m:r>
          <m:rPr>
            <m:sty m:val="p"/>
          </m:rPr>
          <m:t>*</m:t>
        </m:r>
        <m:r>
          <m:t>I</m:t>
        </m:r>
      </m:oMath>
      <w:r>
        <w:rPr>
          <w:rFonts w:ascii="Times New Roman" w:hAnsi="Times New Roman" w:eastAsia="Times New Roman"/>
          <w:sz w:val="20"/>
        </w:rPr>
        <w:t xml:space="preserve"> </w:t>
      </w:r>
      <w:r>
        <w:rPr>
          <w:rFonts w:ascii="Times New Roman" w:hAnsi="Times New Roman" w:eastAsia="Times New Roman"/>
          <w:sz w:val="20"/>
        </w:rPr>
        <w:t xml:space="preserve">denote any 2D spatial convolution with shift-invariant kernel</w:t>
      </w:r>
      <w:r>
        <w:rPr>
          <w:rFonts w:ascii="Times New Roman" w:hAnsi="Times New Roman" w:eastAsia="Times New Roman"/>
          <w:sz w:val="20"/>
        </w:rPr>
        <w:t xml:space="preserve"> </w:t>
      </w:r>
      <m:oMath>
        <m:r>
          <m:rPr>
            <m:scr m:val="script"/>
            <m:sty m:val="p"/>
          </m:rPr>
          <m:t>K</m:t>
        </m:r>
      </m:oMath>
      <w:r>
        <w:rPr>
          <w:rFonts w:ascii="Times New Roman" w:hAnsi="Times New Roman" w:eastAsia="Times New Roman"/>
          <w:sz w:val="20"/>
        </w:rPr>
        <w:t xml:space="preserve"> </w:t>
      </w:r>
      <w:r>
        <w:rPr>
          <w:rFonts w:ascii="Times New Roman" w:hAnsi="Times New Roman" w:eastAsia="Times New Roman"/>
          <w:sz w:val="20"/>
        </w:rPr>
        <w:t xml:space="preserve">operating purely on bitemporal SAR channels</w:t>
      </w:r>
      <w:r>
        <w:rPr>
          <w:rFonts w:ascii="Times New Roman" w:hAnsi="Times New Roman" w:eastAsia="Times New Roman"/>
          <w:sz w:val="20"/>
        </w:rPr>
        <w:t xml:space="preserve"> </w:t>
      </w:r>
      <m:oMath>
        <m:r>
          <m:t>I</m:t>
        </m:r>
        <m:r>
          <m:rPr>
            <m:sty m:val="p"/>
          </m:rPr>
          <m:t>=</m:t>
        </m:r>
        <m:r>
          <m:rPr>
            <m:sty m:val="p"/>
          </m:rPr>
          <m:t>(</m:t>
        </m:r>
        <m:sSubSup>
          <m:e>
            <m:r>
              <m:t>σ</m:t>
            </m:r>
          </m:e>
          <m:sub>
            <m:r>
              <m:rPr>
                <m:nor/>
                <m:sty m:val="p"/>
              </m:rPr>
              <m:t>pre</m:t>
            </m:r>
          </m:sub>
          <m:sup>
            <m:r>
              <m:t>0</m:t>
            </m:r>
          </m:sup>
        </m:sSubSup>
        <m:r>
          <m:rPr>
            <m:sty m:val="p"/>
          </m:rPr>
          <m:t>,</m:t>
        </m:r>
        <m:sSubSup>
          <m:e>
            <m:r>
              <m:t>σ</m:t>
            </m:r>
          </m:e>
          <m:sub>
            <m:r>
              <m:rPr>
                <m:nor/>
                <m:sty m:val="p"/>
              </m:rPr>
              <m:t>post</m:t>
            </m:r>
          </m:sub>
          <m:sup>
            <m:r>
              <m:t>0</m:t>
            </m:r>
          </m:sup>
        </m:sSubSup>
        <m:r>
          <m:rPr>
            <m:sty m:val="p"/>
          </m:rPr>
          <m:t>)</m:t>
        </m:r>
      </m:oMath>
      <w:r>
        <w:rPr>
          <w:rFonts w:ascii="Times New Roman" w:hAnsi="Times New Roman" w:eastAsia="Times New Roman"/>
          <w:sz w:val="20"/>
        </w:rPr>
        <w:t xml:space="preserve">. Because the geometric modulation factor</w:t>
      </w:r>
      <w:r>
        <w:rPr>
          <w:rFonts w:ascii="Times New Roman" w:hAnsi="Times New Roman" w:eastAsia="Times New Roman"/>
          <w:sz w:val="20"/>
        </w:rPr>
        <w:t xml:space="preserve"> </w:t>
      </w:r>
      <m:oMath>
        <m:r>
          <m:rPr>
            <m:scr m:val="script"/>
            <m:sty m:val="p"/>
          </m:rPr>
          <m:t>G</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depends on localized directional aspect alignment</w:t>
      </w:r>
      <w:r>
        <w:rPr>
          <w:rFonts w:ascii="Times New Roman" w:hAnsi="Times New Roman" w:eastAsia="Times New Roman"/>
          <w:sz w:val="20"/>
        </w:rPr>
        <w:t xml:space="preserve"> </w:t>
      </w:r>
      <m:oMath>
        <m:r>
          <m:rPr>
            <m:sty m:val="p"/>
          </m:rPr>
          <m:t>cos</m:t>
        </m:r>
        <m:r>
          <m:rPr>
            <m:sty m:val="p"/>
          </m:rPr>
          <m:t>(</m:t>
        </m:r>
        <m:r>
          <m:t>α</m:t>
        </m:r>
        <m:r>
          <m:rPr>
            <m:sty m:val="p"/>
          </m:rPr>
          <m:t>(</m:t>
        </m:r>
        <m:r>
          <m:t>u</m:t>
        </m:r>
        <m:r>
          <m:rPr>
            <m:sty m:val="p"/>
          </m:rPr>
          <m:t>,</m:t>
        </m:r>
        <m:r>
          <m:t>v</m:t>
        </m:r>
        <m:r>
          <m:rPr>
            <m:sty m:val="p"/>
          </m:rPr>
          <m:t>)</m:t>
        </m:r>
        <m:r>
          <m:rPr>
            <m:sty m:val="p"/>
          </m:rPr>
          <m:t>−</m:t>
        </m:r>
        <m:sSub>
          <m:e>
            <m:r>
              <m:t>ϕ</m:t>
            </m:r>
          </m:e>
          <m:sub>
            <m:r>
              <m:rPr>
                <m:nor/>
                <m:sty m:val="p"/>
              </m:rPr>
              <m:t>look</m:t>
            </m:r>
          </m:sub>
        </m:sSub>
        <m:r>
          <m:rPr>
            <m:sty m:val="p"/>
          </m:rPr>
          <m:t>)</m:t>
        </m:r>
      </m:oMath>
      <w:r>
        <w:rPr>
          <w:rFonts w:ascii="Times New Roman" w:hAnsi="Times New Roman" w:eastAsia="Times New Roman"/>
          <w:sz w:val="20"/>
        </w:rPr>
        <w:t xml:space="preserve">, it is spatially non-stationary and lacks translational symmetry across arbitrary mountain ridgelines. On steep radar-facing foreslopes (</w:t>
      </w:r>
      <m:oMath>
        <m:sSub>
          <m:e>
            <m:r>
              <m:t>θ</m:t>
            </m:r>
          </m:e>
          <m:sub>
            <m:r>
              <m:rPr>
                <m:nor/>
                <m:sty m:val="p"/>
              </m:rPr>
              <m:t>align</m:t>
            </m:r>
          </m:sub>
        </m:sSub>
        <m:r>
          <m:rPr>
            <m:sty m:val="p"/>
          </m:rPr>
          <m:t>&gt;</m:t>
        </m:r>
        <m:r>
          <m:t>0</m:t>
        </m:r>
        <m:r>
          <m:rPr>
            <m:sty m:val="p"/>
          </m:rPr>
          <m:t>,</m:t>
        </m:r>
        <m:r>
          <m:t>ψ</m:t>
        </m:r>
        <m:r>
          <m:rPr>
            <m:sty m:val="p"/>
          </m:rPr>
          <m:t>→</m:t>
        </m:r>
        <m:sSup>
          <m:e>
            <m:r>
              <m:t>0</m:t>
            </m:r>
          </m:e>
          <m:sup>
            <m:r>
              <m:rPr>
                <m:sty m:val="p"/>
              </m:rPr>
              <m:t>∘</m:t>
            </m:r>
          </m:sup>
        </m:sSup>
      </m:oMath>
      <w:r>
        <w:rPr>
          <w:rFonts w:ascii="Times New Roman" w:hAnsi="Times New Roman" w:eastAsia="Times New Roman"/>
          <w:sz w:val="20"/>
        </w:rPr>
        <w:t xml:space="preserve">), foreshortening compression elevates backscatter, producing bright spatial textures that resemble rough avalanche debris. Conversely, on backslopes facing away from the radar (</w:t>
      </w:r>
      <m:oMath>
        <m:sSub>
          <m:e>
            <m:r>
              <m:t>θ</m:t>
            </m:r>
          </m:e>
          <m:sub>
            <m:r>
              <m:rPr>
                <m:nor/>
                <m:sty m:val="p"/>
              </m:rPr>
              <m:t>align</m:t>
            </m:r>
          </m:sub>
        </m:sSub>
        <m:r>
          <m:rPr>
            <m:sty m:val="p"/>
          </m:rPr>
          <m:t>&lt;</m:t>
        </m:r>
        <m:r>
          <m:t>0</m:t>
        </m:r>
        <m:r>
          <m:rPr>
            <m:sty m:val="p"/>
          </m:rPr>
          <m:t>,</m:t>
        </m:r>
        <m:r>
          <m:t>ψ</m:t>
        </m:r>
        <m:r>
          <m:rPr>
            <m:sty m:val="p"/>
          </m:rPr>
          <m:t>&gt;</m:t>
        </m:r>
        <m:sSup>
          <m:e>
            <m:r>
              <m:t>50</m:t>
            </m:r>
          </m:e>
          <m:sup>
            <m:r>
              <m:rPr>
                <m:sty m:val="p"/>
              </m:rPr>
              <m:t>∘</m:t>
            </m:r>
          </m:sup>
        </m:sSup>
      </m:oMath>
      <w:r>
        <w:rPr>
          <w:rFonts w:ascii="Times New Roman" w:hAnsi="Times New Roman" w:eastAsia="Times New Roman"/>
          <w:sz w:val="20"/>
        </w:rPr>
        <w:t xml:space="preserve">), the background snowpack is radiometrically dark. Consequently, a spatially shift-invariant 2D linear convolutional kernel operating exclusively on SAR intensity channels lacks the orientation-conditioned parameters necessary to dynamically normalize</w:t>
      </w:r>
      <w:r>
        <w:rPr>
          <w:rFonts w:ascii="Times New Roman" w:hAnsi="Times New Roman" w:eastAsia="Times New Roman"/>
          <w:sz w:val="20"/>
        </w:rPr>
        <w:t xml:space="preserve"> </w:t>
      </w:r>
      <m:oMath>
        <m:r>
          <m:rPr>
            <m:scr m:val="script"/>
            <m:sty m:val="p"/>
          </m:rPr>
          <m:t>G</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across opposing mountain facets.</w:t>
      </w:r>
    </w:p>
    <w:p>
      <w:pPr>
        <w:pStyle w:val="BodyText"/>
        <w:spacing w:after="0" w:line="240" w:lineRule="auto"/>
      </w:pPr>
      <w:r>
        <w:rPr>
          <w:rFonts w:ascii="Times New Roman" w:hAnsi="Times New Roman" w:eastAsia="Times New Roman"/>
          <w:b/>
          <w:bCs/>
          <w:sz w:val="20"/>
        </w:rPr>
        <w:t xml:space="preserve">Proposition 3 (Continuous Aspect-Look Representation via Manifold</w:t>
      </w:r>
      <w:r>
        <w:rPr>
          <w:rFonts w:ascii="Times New Roman" w:hAnsi="Times New Roman" w:eastAsia="Times New Roman"/>
          <w:b/>
          <w:bCs/>
          <w:sz w:val="20"/>
        </w:rPr>
        <w:t xml:space="preserve"> </w:t>
      </w:r>
      <m:oMath>
        <m:r>
          <m:rPr>
            <m:scr m:val="script"/>
            <m:sty m:val="p"/>
          </m:rPr>
          <m:t>M</m:t>
        </m:r>
      </m:oMath>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Representing directional terrain coordinates via the continuous vector</w:t>
      </w:r>
      <w:r>
        <w:rPr>
          <w:rFonts w:ascii="Times New Roman" w:hAnsi="Times New Roman" w:eastAsia="Times New Roman"/>
          <w:sz w:val="20"/>
        </w:rPr>
        <w:t xml:space="preserve"> </w:t>
      </w:r>
      <m:oMath>
        <m:r>
          <m:rPr>
            <m:scr m:val="script"/>
            <m:sty m:val="p"/>
          </m:rPr>
          <m:t>M</m:t>
        </m:r>
        <m:r>
          <m:rPr>
            <m:sty m:val="p"/>
          </m:rPr>
          <m:t>(</m:t>
        </m:r>
        <m:r>
          <m:t>u</m:t>
        </m:r>
        <m:r>
          <m:rPr>
            <m:sty m:val="p"/>
          </m:rPr>
          <m:t>,</m:t>
        </m:r>
        <m:r>
          <m:t>v</m:t>
        </m:r>
        <m:r>
          <m:rPr>
            <m:sty m:val="p"/>
          </m:rPr>
          <m:t>)</m:t>
        </m:r>
        <m:r>
          <m:rPr>
            <m:sty m:val="p"/>
          </m:rPr>
          <m:t>=</m:t>
        </m:r>
        <m:r>
          <m:rPr>
            <m:sty m:val="p"/>
          </m:rPr>
          <m:t>[</m:t>
        </m:r>
        <m:r>
          <m:rPr>
            <m:sty m:val="p"/>
          </m:rPr>
          <m:t>sin</m:t>
        </m:r>
        <m:r>
          <m:t>α</m:t>
        </m:r>
        <m:r>
          <m:rPr>
            <m:sty m:val="p"/>
          </m:rPr>
          <m:t>,</m:t>
        </m:r>
        <m:r>
          <m:rPr>
            <m:sty m:val="p"/>
          </m:rPr>
          <m:t>cos</m:t>
        </m:r>
        <m:r>
          <m:t>α</m:t>
        </m:r>
        <m:r>
          <m:rPr>
            <m:sty m:val="p"/>
          </m:rPr>
          <m:t>,</m:t>
        </m:r>
        <m:r>
          <m:rPr>
            <m:sty m:val="p"/>
          </m:rPr>
          <m:t>cos</m:t>
        </m:r>
        <m:r>
          <m:t>ψ</m:t>
        </m:r>
        <m:r>
          <m:rPr>
            <m:sty m:val="p"/>
          </m:rPr>
          <m:t>,</m:t>
        </m:r>
        <m:sSub>
          <m:e>
            <m:r>
              <m:t>θ</m:t>
            </m:r>
          </m:e>
          <m:sub>
            <m:r>
              <m:rPr>
                <m:nor/>
                <m:sty m:val="p"/>
              </m:rPr>
              <m:t>align</m:t>
            </m:r>
          </m:sub>
        </m:sSub>
        <m:sSup>
          <m:e>
            <m:r>
              <m:rPr>
                <m:sty m:val="p"/>
              </m:rPr>
              <m:t>]</m:t>
            </m:r>
          </m:e>
          <m:sup>
            <m:r>
              <m:t>T</m:t>
            </m:r>
          </m:sup>
        </m:sSup>
        <m:r>
          <m:rPr>
            <m:sty m:val="p"/>
          </m:rPr>
          <m:t>∈</m:t>
        </m:r>
        <m:r>
          <m:rPr>
            <m:sty m:val="p"/>
          </m:rPr>
          <m:t>[</m:t>
        </m:r>
        <m:r>
          <m:rPr>
            <m:sty m:val="p"/>
          </m:rPr>
          <m:t>−</m:t>
        </m:r>
        <m:r>
          <m:t>1</m:t>
        </m:r>
        <m:r>
          <m:rPr>
            <m:sty m:val="p"/>
          </m:rPr>
          <m:t>,</m:t>
        </m:r>
        <m:r>
          <m:t>1</m:t>
        </m:r>
        <m:sSup>
          <m:e>
            <m:r>
              <m:rPr>
                <m:sty m:val="p"/>
              </m:rPr>
              <m:t>]</m:t>
            </m:r>
          </m:e>
          <m:sup>
            <m:r>
              <m:t>4</m:t>
            </m:r>
          </m:sup>
        </m:sSup>
      </m:oMath>
      <w:r>
        <w:rPr>
          <w:rFonts w:ascii="Times New Roman" w:hAnsi="Times New Roman" w:eastAsia="Times New Roman"/>
          <w:sz w:val="20"/>
        </w:rPr>
        <w:t xml:space="preserve"> </w:t>
      </w:r>
      <w:r>
        <w:rPr>
          <w:rFonts w:ascii="Times New Roman" w:hAnsi="Times New Roman" w:eastAsia="Times New Roman"/>
          <w:sz w:val="20"/>
        </w:rPr>
        <w:t xml:space="preserve">removes the</w:t>
      </w:r>
      <w:r>
        <w:rPr>
          <w:rFonts w:ascii="Times New Roman" w:hAnsi="Times New Roman" w:eastAsia="Times New Roman"/>
          <w:sz w:val="20"/>
        </w:rPr>
        <w:t xml:space="preserve"> </w:t>
      </w:r>
      <m:oMath>
        <m:sSup>
          <m:e>
            <m:r>
              <m:t>0</m:t>
            </m:r>
          </m:e>
          <m:sup>
            <m:r>
              <m:rPr>
                <m:sty m:val="p"/>
              </m:rPr>
              <m:t>∘</m:t>
            </m:r>
          </m:sup>
        </m:sSup>
        <m:r>
          <m:rPr>
            <m:sty m:val="p"/>
          </m:rPr>
          <m:t>/</m:t>
        </m:r>
        <m:sSup>
          <m:e>
            <m:r>
              <m:t>360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circular branch-cut discontinuity of modular aspect representation</w:t>
      </w:r>
      <w:r>
        <w:rPr>
          <w:rFonts w:ascii="Times New Roman" w:hAnsi="Times New Roman" w:eastAsia="Times New Roman"/>
          <w:sz w:val="20"/>
        </w:rPr>
        <w:t xml:space="preserve"> </w:t>
      </w:r>
      <m:oMath>
        <m:r>
          <m:t>α</m:t>
        </m:r>
        <m:r>
          <m:t> </m:t>
        </m:r>
        <m:r>
          <m:rPr>
            <m:sty m:val="p"/>
          </m:rPr>
          <m:t>(</m:t>
        </m:r>
        <m:r>
          <m:rPr>
            <m:sty m:val="p"/>
          </m:rPr>
          <m:t>mod</m:t>
        </m:r>
        <m:r>
          <m:t> </m:t>
        </m:r>
        <m:sSup>
          <m:e>
            <m:r>
              <m:t>360</m:t>
            </m:r>
          </m:e>
          <m:sup>
            <m:r>
              <m:rPr>
                <m:sty m:val="p"/>
              </m:rPr>
              <m:t>∘</m:t>
            </m:r>
          </m:sup>
        </m:sSup>
        <m:r>
          <m:rPr>
            <m:sty m:val="p"/>
          </m:rPr>
          <m:t>)</m:t>
        </m:r>
      </m:oMath>
      <w:r>
        <w:rPr>
          <w:rFonts w:ascii="Times New Roman" w:hAnsi="Times New Roman" w:eastAsia="Times New Roman"/>
          <w:sz w:val="20"/>
        </w:rPr>
        <w:t xml:space="preserve">. In TopoRadar-Net, the multi-scale cross-attention mechanism uses SAR change features to query these regionally pooled geometric representations, dynamically conditioning feature activations on local terrain orientation.</w:t>
      </w:r>
    </w:p>
    <w:bookmarkEnd w:id="15"/>
    <w:bookmarkStart w:id="22" w:name="toporadar-net-architecture"/>
    <w:p>
      <w:pPr>
        <w:pStyle w:val="Heading2"/>
        <w:spacing w:after="0" w:line="240" w:lineRule="auto"/>
      </w:pPr>
      <w:r>
        <w:rPr>
          <w:rFonts w:ascii="Times New Roman" w:hAnsi="Times New Roman" w:eastAsia="Times New Roman"/>
          <w:sz w:val="20"/>
        </w:rPr>
        <w:t xml:space="preserve">TopoRadar-Net Architecture</w:t>
      </w:r>
    </w:p>
    <w:p>
      <w:pPr>
        <w:pStyle w:val="Figure"/>
        <w:spacing w:after="0" w:line="240" w:lineRule="auto"/>
      </w:pPr>
      <w:r>
        <w:rPr>
          <w:rFonts w:ascii="Times New Roman" w:hAnsi="Times New Roman" w:eastAsia="Times New Roman"/>
          <w:sz w:val="20"/>
        </w:rPr>
        <w:drawing>
          <wp:inline>
            <wp:extent cx="3627120" cy="2061456"/>
            <wp:effectExtent b="0" l="0" r="0" t="0"/>
            <wp:docPr descr="" title="" id="17" name="Picture"/>
            <a:graphic>
              <a:graphicData uri="http://schemas.openxmlformats.org/drawingml/2006/picture">
                <pic:pic>
                  <pic:nvPicPr>
                    <pic:cNvPr descr="fig_architecture.png" id="18" name="Picture"/>
                    <pic:cNvPicPr>
                      <a:picLocks noChangeArrowheads="1" noChangeAspect="1"/>
                    </pic:cNvPicPr>
                  </pic:nvPicPr>
                  <pic:blipFill>
                    <a:blip r:embed="rId16"/>
                    <a:stretch>
                      <a:fillRect/>
                    </a:stretch>
                  </pic:blipFill>
                  <pic:spPr bwMode="auto">
                    <a:xfrm>
                      <a:off x="0" y="0"/>
                      <a:ext cx="3627120" cy="2061456"/>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1.</w:t>
      </w:r>
      <w:r>
        <w:rPr>
          <w:rFonts w:ascii="Times New Roman" w:hAnsi="Times New Roman" w:eastAsia="Times New Roman"/>
          <w:sz w:val="20"/>
        </w:rPr>
        <w:t xml:space="preserve"> </w:t>
      </w:r>
      <w:r>
        <w:rPr>
          <w:rFonts w:ascii="Times New Roman" w:hAnsi="Times New Roman" w:eastAsia="Times New Roman"/>
          <w:sz w:val="20"/>
        </w:rPr>
        <w:t xml:space="preserve">Overall architecture of TopoRadar-Net. Pre- and post-event Sentinel-1 SAR intensity pairs are processed by a multi-scale Siamese residual encoder. Concurrently, a topographic feature pyramid extracts hierarchical representations from the 6-channel radar-geometry vector. At each decoder stage, the Radar-Topographic Cross-Attention Block (RTCAB) uses SAR difference features to query regionally-pooled terrain geometry, followed by spatial gating that conditions pixel features on terrain context.</w:t>
      </w:r>
    </w:p>
    <w:p>
      <w:pPr>
        <w:pStyle w:val="BodyText"/>
        <w:spacing w:after="0" w:line="240" w:lineRule="auto"/>
      </w:pPr>
      <w:r>
        <w:rPr>
          <w:rFonts w:ascii="Times New Roman" w:hAnsi="Times New Roman" w:eastAsia="Times New Roman"/>
          <w:sz w:val="20"/>
        </w:rPr>
        <w:t xml:space="preserve">Fig. 1 illustrates the overall architecture of TopoRadar-Net. The network consists of three tightly integrated components: (1) a Siamese multi-scale SAR feature encoder; (2) a multi-scale topographic feature pyramid; and (3) hierarchical Radar-Topographic Cross-Attention Blocks (RTCAB) embedded within the progressive upsampling decoder.</w:t>
      </w:r>
    </w:p>
    <w:bookmarkStart w:id="19" w:name="siamese-multi-scale-sar-feature-encoder"/>
    <w:p>
      <w:pPr>
        <w:pStyle w:val="Heading3"/>
        <w:spacing w:after="0" w:line="240" w:lineRule="auto"/>
      </w:pPr>
      <w:r>
        <w:rPr>
          <w:rFonts w:ascii="Times New Roman" w:hAnsi="Times New Roman" w:eastAsia="Times New Roman"/>
          <w:sz w:val="20"/>
        </w:rPr>
        <w:t xml:space="preserve">Siamese Multi-Scale SAR Feature Encoder</w:t>
      </w:r>
    </w:p>
    <w:p>
      <w:pPr>
        <w:pStyle w:val="FirstParagraph"/>
        <w:spacing w:after="0" w:line="240" w:lineRule="auto"/>
      </w:pPr>
      <w:r>
        <w:rPr>
          <w:rFonts w:ascii="Times New Roman" w:hAnsi="Times New Roman" w:eastAsia="Times New Roman"/>
          <w:sz w:val="20"/>
        </w:rPr>
        <w:t xml:space="preserve">The pre-event SAR image</w:t>
      </w:r>
      <w:r>
        <w:rPr>
          <w:rFonts w:ascii="Times New Roman" w:hAnsi="Times New Roman" w:eastAsia="Times New Roman"/>
          <w:sz w:val="20"/>
        </w:rPr>
        <w:t xml:space="preserve"> </w:t>
      </w:r>
      <m:oMath>
        <m:sSub>
          <m:e>
            <m:r>
              <m:rPr>
                <m:sty m:val="bi"/>
              </m:rPr>
              <m:t>X</m:t>
            </m:r>
          </m:e>
          <m:sub>
            <m:r>
              <m:rPr>
                <m:nor/>
                <m:sty m:val="p"/>
              </m:rPr>
              <m:t>pre</m:t>
            </m:r>
          </m:sub>
        </m:sSub>
        <m:r>
          <m:rPr>
            <m:sty m:val="p"/>
          </m:rPr>
          <m:t>∈</m:t>
        </m:r>
        <m:sSup>
          <m:e>
            <m:r>
              <m:rPr>
                <m:scr m:val="double-struck"/>
                <m:sty m:val="p"/>
              </m:rPr>
              <m:t>R</m:t>
            </m:r>
          </m:e>
          <m:sup>
            <m:r>
              <m:t>2</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and post-event SAR image</w:t>
      </w:r>
      <w:r>
        <w:rPr>
          <w:rFonts w:ascii="Times New Roman" w:hAnsi="Times New Roman" w:eastAsia="Times New Roman"/>
          <w:sz w:val="20"/>
        </w:rPr>
        <w:t xml:space="preserve"> </w:t>
      </w:r>
      <m:oMath>
        <m:sSub>
          <m:e>
            <m:r>
              <m:rPr>
                <m:sty m:val="bi"/>
              </m:rPr>
              <m:t>X</m:t>
            </m:r>
          </m:e>
          <m:sub>
            <m:r>
              <m:rPr>
                <m:nor/>
                <m:sty m:val="p"/>
              </m:rPr>
              <m:t>post</m:t>
            </m:r>
          </m:sub>
        </m:sSub>
        <m:r>
          <m:rPr>
            <m:sty m:val="p"/>
          </m:rPr>
          <m:t>∈</m:t>
        </m:r>
        <m:sSup>
          <m:e>
            <m:r>
              <m:rPr>
                <m:scr m:val="double-struck"/>
                <m:sty m:val="p"/>
              </m:rPr>
              <m:t>R</m:t>
            </m:r>
          </m:e>
          <m:sup>
            <m:r>
              <m:t>2</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(containing dual-polarization VH and VV channels) are passed through four hierarchical residual convolutional stages with shared weights. Each stage</w:t>
      </w:r>
      <w:r>
        <w:rPr>
          <w:rFonts w:ascii="Times New Roman" w:hAnsi="Times New Roman" w:eastAsia="Times New Roman"/>
          <w:sz w:val="20"/>
        </w:rPr>
        <w:t xml:space="preserve"> </w:t>
      </w:r>
      <m:oMath>
        <m:r>
          <m:t>l</m:t>
        </m:r>
        <m:r>
          <m:rPr>
            <m:sty m:val="p"/>
          </m:rPr>
          <m:t>∈</m:t>
        </m:r>
        <m:r>
          <m:rPr>
            <m:sty m:val="p"/>
          </m:rPr>
          <m:t>{</m:t>
        </m:r>
        <m:r>
          <m:t>1</m:t>
        </m:r>
        <m:r>
          <m:rPr>
            <m:sty m:val="p"/>
          </m:rPr>
          <m:t>,</m:t>
        </m:r>
        <m:r>
          <m:t>2</m:t>
        </m:r>
        <m:r>
          <m:rPr>
            <m:sty m:val="p"/>
          </m:rPr>
          <m:t>,</m:t>
        </m:r>
        <m:r>
          <m:t>3</m:t>
        </m:r>
        <m:r>
          <m:rPr>
            <m:sty m:val="p"/>
          </m:rPr>
          <m:t>,</m:t>
        </m:r>
        <m:r>
          <m:t>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comprises two</w:t>
      </w:r>
      <w:r>
        <w:rPr>
          <w:rFonts w:ascii="Times New Roman" w:hAnsi="Times New Roman" w:eastAsia="Times New Roman"/>
          <w:sz w:val="20"/>
        </w:rPr>
        <w:t xml:space="preserve"> </w:t>
      </w:r>
      <m:oMath>
        <m:r>
          <m:t>3</m:t>
        </m:r>
        <m:r>
          <m:rPr>
            <m:sty m:val="p"/>
          </m:rPr>
          <m:t>×</m:t>
        </m:r>
        <m:r>
          <m:t>3</m:t>
        </m:r>
      </m:oMath>
      <w:r>
        <w:rPr>
          <w:rFonts w:ascii="Times New Roman" w:hAnsi="Times New Roman" w:eastAsia="Times New Roman"/>
          <w:sz w:val="20"/>
        </w:rPr>
        <w:t xml:space="preserve"> </w:t>
      </w:r>
      <w:r>
        <w:rPr>
          <w:rFonts w:ascii="Times New Roman" w:hAnsi="Times New Roman" w:eastAsia="Times New Roman"/>
          <w:sz w:val="20"/>
        </w:rPr>
        <w:t xml:space="preserve">convolutional layers with Batch Normalization, GELU activations, and a residual skip connection:</w:t>
      </w:r>
    </w:p>
    <w:p>
      <w:pPr>
        <w:pStyle w:val="BodyText"/>
        <w:spacing w:after="0" w:line="240" w:lineRule="auto"/>
      </w:pPr>
      <m:oMathPara>
        <m:oMathParaPr>
          <m:jc m:val="center"/>
        </m:oMathParaPr>
        <m:oMath>
          <m:sSubSup>
            <m:e>
              <m:r>
                <m:rPr>
                  <m:sty m:val="bi"/>
                </m:rPr>
                <m:t>F</m:t>
              </m:r>
            </m:e>
            <m:sub>
              <m:r>
                <m:rPr>
                  <m:nor/>
                  <m:sty m:val="p"/>
                </m:rPr>
                <m:t>pre</m:t>
              </m:r>
            </m:sub>
            <m:sup>
              <m:r>
                <m:t>l</m:t>
              </m:r>
            </m:sup>
          </m:sSubSup>
          <m:r>
            <m:rPr>
              <m:sty m:val="p"/>
            </m:rPr>
            <m:t>=</m:t>
          </m:r>
          <m:sSub>
            <m:e>
              <m:r>
                <m:rPr>
                  <m:scr m:val="script"/>
                  <m:sty m:val="p"/>
                </m:rPr>
                <m:t>E</m:t>
              </m:r>
            </m:e>
            <m:sub>
              <m:r>
                <m:t>l</m:t>
              </m:r>
            </m:sub>
          </m:sSub>
          <m:r>
            <m:rPr>
              <m:sty m:val="p"/>
            </m:rPr>
            <m:t>(</m:t>
          </m:r>
          <m:sSubSup>
            <m:e>
              <m:r>
                <m:rPr>
                  <m:sty m:val="bi"/>
                </m:rPr>
                <m:t>F</m:t>
              </m:r>
            </m:e>
            <m:sub>
              <m:r>
                <m:rPr>
                  <m:nor/>
                  <m:sty m:val="p"/>
                </m:rPr>
                <m:t>pre</m:t>
              </m:r>
            </m:sub>
            <m:sup>
              <m:r>
                <m:t>l</m:t>
              </m:r>
              <m:r>
                <m:rPr>
                  <m:sty m:val="p"/>
                </m:rPr>
                <m:t>−</m:t>
              </m:r>
              <m:r>
                <m:t>1</m:t>
              </m:r>
            </m:sup>
          </m:sSubSup>
          <m:r>
            <m:rPr>
              <m:sty m:val="p"/>
            </m:rPr>
            <m:t>)</m:t>
          </m:r>
          <m:r>
            <m:rPr>
              <m:sty m:val="p"/>
            </m:rPr>
            <m:t>,</m:t>
          </m:r>
          <m:r>
            <m:t> </m:t>
          </m:r>
          <m:sSubSup>
            <m:e>
              <m:r>
                <m:rPr>
                  <m:sty m:val="bi"/>
                </m:rPr>
                <m:t>F</m:t>
              </m:r>
            </m:e>
            <m:sub>
              <m:r>
                <m:rPr>
                  <m:nor/>
                  <m:sty m:val="p"/>
                </m:rPr>
                <m:t>post</m:t>
              </m:r>
            </m:sub>
            <m:sup>
              <m:r>
                <m:t>l</m:t>
              </m:r>
            </m:sup>
          </m:sSubSup>
          <m:r>
            <m:rPr>
              <m:sty m:val="p"/>
            </m:rPr>
            <m:t>=</m:t>
          </m:r>
          <m:sSub>
            <m:e>
              <m:r>
                <m:rPr>
                  <m:scr m:val="script"/>
                  <m:sty m:val="p"/>
                </m:rPr>
                <m:t>E</m:t>
              </m:r>
            </m:e>
            <m:sub>
              <m:r>
                <m:t>l</m:t>
              </m:r>
            </m:sub>
          </m:sSub>
          <m:r>
            <m:rPr>
              <m:sty m:val="p"/>
            </m:rPr>
            <m:t>(</m:t>
          </m:r>
          <m:sSubSup>
            <m:e>
              <m:r>
                <m:rPr>
                  <m:sty m:val="bi"/>
                </m:rPr>
                <m:t>F</m:t>
              </m:r>
            </m:e>
            <m:sub>
              <m:r>
                <m:rPr>
                  <m:nor/>
                  <m:sty m:val="p"/>
                </m:rPr>
                <m:t>post</m:t>
              </m:r>
            </m:sub>
            <m:sup>
              <m:r>
                <m:t>l</m:t>
              </m:r>
              <m:r>
                <m:rPr>
                  <m:sty m:val="p"/>
                </m:rPr>
                <m:t>−</m:t>
              </m:r>
              <m:r>
                <m:t>1</m:t>
              </m:r>
            </m:sup>
          </m:sSubSup>
          <m:r>
            <m:rPr>
              <m:sty m:val="p"/>
            </m:rPr>
            <m:t>)</m:t>
          </m:r>
        </m:oMath>
      </m:oMathPara>
    </w:p>
    <w:p>
      <w:pPr>
        <w:pStyle w:val="FirstParagraph"/>
        <w:spacing w:after="0" w:line="240" w:lineRule="auto"/>
      </w:pPr>
      <w:r>
        <w:rPr>
          <w:rFonts w:ascii="Times New Roman" w:hAnsi="Times New Roman" w:eastAsia="Times New Roman"/>
          <w:sz w:val="20"/>
        </w:rPr>
        <w:t xml:space="preserve">yielding feature representations at spatial resolutions</w:t>
      </w:r>
      <w:r>
        <w:rPr>
          <w:rFonts w:ascii="Times New Roman" w:hAnsi="Times New Roman" w:eastAsia="Times New Roman"/>
          <w:sz w:val="20"/>
        </w:rPr>
        <w:t xml:space="preserve"> </w:t>
      </w:r>
      <m:oMath>
        <m:r>
          <m:t>H</m:t>
        </m:r>
        <m:r>
          <m:rPr>
            <m:sty m:val="p"/>
          </m:rPr>
          <m:t>/</m:t>
        </m:r>
        <m:sSup>
          <m:e>
            <m:r>
              <m:t>2</m:t>
            </m:r>
          </m:e>
          <m:sup>
            <m:r>
              <m:t>l</m:t>
            </m:r>
            <m:r>
              <m:rPr>
                <m:sty m:val="p"/>
              </m:rPr>
              <m:t>−</m:t>
            </m:r>
            <m:r>
              <m:t>1</m:t>
            </m:r>
          </m:sup>
        </m:sSup>
        <m:r>
          <m:rPr>
            <m:sty m:val="p"/>
          </m:rPr>
          <m:t>×</m:t>
        </m:r>
        <m:r>
          <m:t>W</m:t>
        </m:r>
        <m:r>
          <m:rPr>
            <m:sty m:val="p"/>
          </m:rPr>
          <m:t>/</m:t>
        </m:r>
        <m:sSup>
          <m:e>
            <m:r>
              <m:t>2</m:t>
            </m:r>
          </m:e>
          <m:sup>
            <m:r>
              <m:t>l</m:t>
            </m:r>
            <m:r>
              <m:rPr>
                <m:sty m:val="p"/>
              </m:rPr>
              <m:t>−</m:t>
            </m:r>
            <m:r>
              <m:t>1</m:t>
            </m:r>
          </m:sup>
        </m:sSup>
      </m:oMath>
      <w:r>
        <w:rPr>
          <w:rFonts w:ascii="Times New Roman" w:hAnsi="Times New Roman" w:eastAsia="Times New Roman"/>
          <w:sz w:val="20"/>
        </w:rPr>
        <w:t xml:space="preserve"> </w:t>
      </w:r>
      <w:r>
        <w:rPr>
          <w:rFonts w:ascii="Times New Roman" w:hAnsi="Times New Roman" w:eastAsia="Times New Roman"/>
          <w:sz w:val="20"/>
        </w:rPr>
        <w:t xml:space="preserve">with channel dimensions</w:t>
      </w:r>
      <w:r>
        <w:rPr>
          <w:rFonts w:ascii="Times New Roman" w:hAnsi="Times New Roman" w:eastAsia="Times New Roman"/>
          <w:sz w:val="20"/>
        </w:rPr>
        <w:t xml:space="preserve"> </w:t>
      </w:r>
      <m:oMath>
        <m:sSub>
          <m:e>
            <m:r>
              <m:t>C</m:t>
            </m:r>
          </m:e>
          <m:sub>
            <m:r>
              <m:t>l</m:t>
            </m:r>
          </m:sub>
        </m:sSub>
        <m:r>
          <m:rPr>
            <m:sty m:val="p"/>
          </m:rPr>
          <m:t>∈</m:t>
        </m:r>
        <m:r>
          <m:rPr>
            <m:sty m:val="p"/>
          </m:rPr>
          <m:t>{</m:t>
        </m:r>
        <m:r>
          <m:t>32</m:t>
        </m:r>
        <m:r>
          <m:rPr>
            <m:sty m:val="p"/>
          </m:rPr>
          <m:t>,</m:t>
        </m:r>
        <m:r>
          <m:t>64</m:t>
        </m:r>
        <m:r>
          <m:rPr>
            <m:sty m:val="p"/>
          </m:rPr>
          <m:t>,</m:t>
        </m:r>
        <m:r>
          <m:t>128</m:t>
        </m:r>
        <m:r>
          <m:rPr>
            <m:sty m:val="p"/>
          </m:rPr>
          <m:t>,</m:t>
        </m:r>
        <m:r>
          <m:t>256</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At each scale, the bi-temporal features are fused by concatenating the signed difference, the post-event features, and the pre-event features, followed by a</w:t>
      </w:r>
      <w:r>
        <w:rPr>
          <w:rFonts w:ascii="Times New Roman" w:hAnsi="Times New Roman" w:eastAsia="Times New Roman"/>
          <w:sz w:val="20"/>
        </w:rPr>
        <w:t xml:space="preserve"> </w:t>
      </w:r>
      <m:oMath>
        <m:r>
          <m:t>1</m:t>
        </m:r>
        <m:r>
          <m:rPr>
            <m:sty m:val="p"/>
          </m:rPr>
          <m:t>×</m:t>
        </m:r>
        <m:r>
          <m:t>1</m:t>
        </m:r>
      </m:oMath>
      <w:r>
        <w:rPr>
          <w:rFonts w:ascii="Times New Roman" w:hAnsi="Times New Roman" w:eastAsia="Times New Roman"/>
          <w:sz w:val="20"/>
        </w:rPr>
        <w:t xml:space="preserve"> </w:t>
      </w:r>
      <w:r>
        <w:rPr>
          <w:rFonts w:ascii="Times New Roman" w:hAnsi="Times New Roman" w:eastAsia="Times New Roman"/>
          <w:sz w:val="20"/>
        </w:rPr>
        <w:t xml:space="preserve">linear projection:</w:t>
      </w:r>
    </w:p>
    <w:p>
      <w:pPr>
        <w:pStyle w:val="BodyText"/>
        <w:spacing w:after="0" w:line="240" w:lineRule="auto"/>
      </w:pPr>
      <m:oMathPara>
        <m:oMathParaPr>
          <m:jc m:val="center"/>
        </m:oMathParaPr>
        <m:oMath>
          <m:sSubSup>
            <m:e>
              <m:r>
                <m:rPr>
                  <m:sty m:val="bi"/>
                </m:rPr>
                <m:t>F</m:t>
              </m:r>
            </m:e>
            <m:sub>
              <m:r>
                <m:rPr>
                  <m:nor/>
                  <m:sty m:val="p"/>
                </m:rPr>
                <m:t>diff</m:t>
              </m:r>
            </m:sub>
            <m:sup>
              <m:r>
                <m:t>l</m:t>
              </m:r>
            </m:sup>
          </m:sSubSup>
          <m:r>
            <m:rPr>
              <m:sty m:val="p"/>
            </m:rPr>
            <m:t>=</m:t>
          </m:r>
          <m:sSub>
            <m:e>
              <m:r>
                <m:rPr>
                  <m:nor/>
                  <m:sty m:val="p"/>
                </m:rPr>
                <m:t>Conv</m:t>
              </m:r>
            </m:e>
            <m:sub>
              <m:r>
                <m:t>1</m:t>
              </m:r>
              <m:r>
                <m:rPr>
                  <m:sty m:val="p"/>
                </m:rPr>
                <m:t>×</m:t>
              </m:r>
              <m:r>
                <m:t>1</m:t>
              </m:r>
            </m:sub>
          </m:sSub>
          <m:d>
            <m:dPr>
              <m:begChr m:val="("/>
              <m:sepChr m:val=""/>
              <m:endChr m:val=")"/>
              <m:grow/>
            </m:dPr>
            <m:e>
              <m:d>
                <m:dPr>
                  <m:begChr m:val="["/>
                  <m:sepChr m:val=""/>
                  <m:endChr m:val="]"/>
                  <m:grow/>
                </m:dPr>
                <m:e>
                  <m:sSubSup>
                    <m:e>
                      <m:r>
                        <m:rPr>
                          <m:sty m:val="bi"/>
                        </m:rPr>
                        <m:t>F</m:t>
                      </m:r>
                    </m:e>
                    <m:sub>
                      <m:r>
                        <m:rPr>
                          <m:nor/>
                          <m:sty m:val="p"/>
                        </m:rPr>
                        <m:t>post</m:t>
                      </m:r>
                    </m:sub>
                    <m:sup>
                      <m:r>
                        <m:t>l</m:t>
                      </m:r>
                    </m:sup>
                  </m:sSubSup>
                  <m:r>
                    <m:rPr>
                      <m:sty m:val="p"/>
                    </m:rPr>
                    <m:t>−</m:t>
                  </m:r>
                  <m:sSubSup>
                    <m:e>
                      <m:r>
                        <m:rPr>
                          <m:sty m:val="bi"/>
                        </m:rPr>
                        <m:t>F</m:t>
                      </m:r>
                    </m:e>
                    <m:sub>
                      <m:r>
                        <m:rPr>
                          <m:nor/>
                          <m:sty m:val="p"/>
                        </m:rPr>
                        <m:t>pre</m:t>
                      </m:r>
                    </m:sub>
                    <m:sup>
                      <m:r>
                        <m:t>l</m:t>
                      </m:r>
                    </m:sup>
                  </m:sSubSup>
                  <m:r>
                    <m:rPr>
                      <m:sty m:val="p"/>
                    </m:rPr>
                    <m:t>,</m:t>
                  </m:r>
                  <m:r>
                    <m:t> </m:t>
                  </m:r>
                  <m:sSubSup>
                    <m:e>
                      <m:r>
                        <m:rPr>
                          <m:sty m:val="bi"/>
                        </m:rPr>
                        <m:t>F</m:t>
                      </m:r>
                    </m:e>
                    <m:sub>
                      <m:r>
                        <m:rPr>
                          <m:nor/>
                          <m:sty m:val="p"/>
                        </m:rPr>
                        <m:t>post</m:t>
                      </m:r>
                    </m:sub>
                    <m:sup>
                      <m:r>
                        <m:t>l</m:t>
                      </m:r>
                    </m:sup>
                  </m:sSubSup>
                  <m:r>
                    <m:rPr>
                      <m:sty m:val="p"/>
                    </m:rPr>
                    <m:t>,</m:t>
                  </m:r>
                  <m:r>
                    <m:t> </m:t>
                  </m:r>
                  <m:sSubSup>
                    <m:e>
                      <m:r>
                        <m:rPr>
                          <m:sty m:val="bi"/>
                        </m:rPr>
                        <m:t>F</m:t>
                      </m:r>
                    </m:e>
                    <m:sub>
                      <m:r>
                        <m:rPr>
                          <m:nor/>
                          <m:sty m:val="p"/>
                        </m:rPr>
                        <m:t>pre</m:t>
                      </m:r>
                    </m:sub>
                    <m:sup>
                      <m:r>
                        <m:t>l</m:t>
                      </m:r>
                    </m:sup>
                  </m:sSubSup>
                </m:e>
              </m:d>
            </m:e>
          </m:d>
        </m:oMath>
      </m:oMathPara>
    </w:p>
    <w:p>
      <w:pPr>
        <w:pStyle w:val="FirstParagraph"/>
        <w:spacing w:after="0" w:line="240" w:lineRule="auto"/>
      </w:pPr>
      <w:r>
        <w:rPr>
          <w:rFonts w:ascii="Times New Roman" w:hAnsi="Times New Roman" w:eastAsia="Times New Roman"/>
          <w:sz w:val="20"/>
        </w:rPr>
        <w:t xml:space="preserve">This formulation preserves both directional backscatter changes (</w:t>
      </w:r>
      <m:oMath>
        <m:sSubSup>
          <m:e>
            <m:r>
              <m:rPr>
                <m:sty m:val="bi"/>
              </m:rPr>
              <m:t>F</m:t>
            </m:r>
          </m:e>
          <m:sub>
            <m:r>
              <m:rPr>
                <m:nor/>
                <m:sty m:val="p"/>
              </m:rPr>
              <m:t>post</m:t>
            </m:r>
          </m:sub>
          <m:sup>
            <m:r>
              <m:t>l</m:t>
            </m:r>
          </m:sup>
        </m:sSubSup>
        <m:r>
          <m:rPr>
            <m:sty m:val="p"/>
          </m:rPr>
          <m:t>−</m:t>
        </m:r>
        <m:sSubSup>
          <m:e>
            <m:r>
              <m:rPr>
                <m:sty m:val="bi"/>
              </m:rPr>
              <m:t>F</m:t>
            </m:r>
          </m:e>
          <m:sub>
            <m:r>
              <m:rPr>
                <m:nor/>
                <m:sty m:val="p"/>
              </m:rPr>
              <m:t>pre</m:t>
            </m:r>
          </m:sub>
          <m:sup>
            <m:r>
              <m:t>l</m:t>
            </m:r>
          </m:sup>
        </m:sSubSup>
      </m:oMath>
      <w:r>
        <w:rPr>
          <w:rFonts w:ascii="Times New Roman" w:hAnsi="Times New Roman" w:eastAsia="Times New Roman"/>
          <w:sz w:val="20"/>
        </w:rPr>
        <w:t xml:space="preserve">) and baseline radiometric context (</w:t>
      </w:r>
      <m:oMath>
        <m:sSubSup>
          <m:e>
            <m:r>
              <m:rPr>
                <m:sty m:val="bi"/>
              </m:rPr>
              <m:t>F</m:t>
            </m:r>
          </m:e>
          <m:sub>
            <m:r>
              <m:rPr>
                <m:nor/>
                <m:sty m:val="p"/>
              </m:rPr>
              <m:t>pre</m:t>
            </m:r>
          </m:sub>
          <m:sup>
            <m:r>
              <m:t>l</m:t>
            </m:r>
          </m:sup>
        </m:sSubSup>
        <m:r>
          <m:rPr>
            <m:sty m:val="p"/>
          </m:rPr>
          <m:t>,</m:t>
        </m:r>
        <m:sSubSup>
          <m:e>
            <m:r>
              <m:rPr>
                <m:sty m:val="bi"/>
              </m:rPr>
              <m:t>F</m:t>
            </m:r>
          </m:e>
          <m:sub>
            <m:r>
              <m:rPr>
                <m:nor/>
                <m:sty m:val="p"/>
              </m:rPr>
              <m:t>post</m:t>
            </m:r>
          </m:sub>
          <m:sup>
            <m:r>
              <m:t>l</m:t>
            </m:r>
          </m:sup>
        </m:sSubSup>
      </m:oMath>
      <w:r>
        <w:rPr>
          <w:rFonts w:ascii="Times New Roman" w:hAnsi="Times New Roman" w:eastAsia="Times New Roman"/>
          <w:sz w:val="20"/>
        </w:rPr>
        <w:t xml:space="preserve">).</w:t>
      </w:r>
    </w:p>
    <w:bookmarkEnd w:id="19"/>
    <w:bookmarkStart w:id="20" w:name="topographic-feature-pyramid"/>
    <w:p>
      <w:pPr>
        <w:pStyle w:val="Heading3"/>
        <w:spacing w:after="0" w:line="240" w:lineRule="auto"/>
      </w:pPr>
      <w:r>
        <w:rPr>
          <w:rFonts w:ascii="Times New Roman" w:hAnsi="Times New Roman" w:eastAsia="Times New Roman"/>
          <w:sz w:val="20"/>
        </w:rPr>
        <w:t xml:space="preserve">Topographic Feature Pyramid</w:t>
      </w:r>
    </w:p>
    <w:p>
      <w:pPr>
        <w:pStyle w:val="FirstParagraph"/>
        <w:spacing w:after="0" w:line="240" w:lineRule="auto"/>
      </w:pPr>
      <w:r>
        <w:rPr>
          <w:rFonts w:ascii="Times New Roman" w:hAnsi="Times New Roman" w:eastAsia="Times New Roman"/>
          <w:sz w:val="20"/>
        </w:rPr>
        <w:t xml:space="preserve">In parallel, the continuous 6-channel terrain geometry tensor</w:t>
      </w:r>
      <w:r>
        <w:rPr>
          <w:rFonts w:ascii="Times New Roman" w:hAnsi="Times New Roman" w:eastAsia="Times New Roman"/>
          <w:sz w:val="20"/>
        </w:rPr>
        <w:t xml:space="preserve"> </w:t>
      </w:r>
      <m:oMath>
        <m:r>
          <m:rPr>
            <m:sty m:val="bi"/>
          </m:rPr>
          <m:t>G</m:t>
        </m:r>
        <m:r>
          <m:rPr>
            <m:sty m:val="p"/>
          </m:rPr>
          <m:t>∈</m:t>
        </m:r>
        <m:sSup>
          <m:e>
            <m:r>
              <m:rPr>
                <m:scr m:val="double-struck"/>
                <m:sty m:val="p"/>
              </m:rPr>
              <m:t>R</m:t>
            </m:r>
          </m:e>
          <m:sup>
            <m:r>
              <m:t>6</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defined in Eq. (5) is processed by a dedicated lightweight multi-scale convolutional subnetwork:</w:t>
      </w:r>
    </w:p>
    <w:p>
      <w:pPr>
        <w:pStyle w:val="BodyText"/>
        <w:spacing w:after="0" w:line="240" w:lineRule="auto"/>
      </w:pPr>
      <m:oMathPara>
        <m:oMathParaPr>
          <m:jc m:val="center"/>
        </m:oMathParaPr>
        <m:oMath>
          <m:sSup>
            <m:e>
              <m:r>
                <m:rPr>
                  <m:sty m:val="bi"/>
                </m:rPr>
                <m:t>T</m:t>
              </m:r>
            </m:e>
            <m:sup>
              <m:r>
                <m:t>l</m:t>
              </m:r>
            </m:sup>
          </m:sSup>
          <m:r>
            <m:rPr>
              <m:sty m:val="p"/>
            </m:rPr>
            <m:t>=</m:t>
          </m:r>
          <m:sSub>
            <m:e>
              <m:r>
                <m:rPr>
                  <m:scr m:val="script"/>
                  <m:sty m:val="p"/>
                </m:rPr>
                <m:t>T</m:t>
              </m:r>
            </m:e>
            <m:sub>
              <m:r>
                <m:t>l</m:t>
              </m:r>
            </m:sub>
          </m:sSub>
          <m:r>
            <m:rPr>
              <m:sty m:val="p"/>
            </m:rPr>
            <m:t>(</m:t>
          </m:r>
          <m:sSup>
            <m:e>
              <m:r>
                <m:rPr>
                  <m:sty m:val="bi"/>
                </m:rPr>
                <m:t>T</m:t>
              </m:r>
            </m:e>
            <m:sup>
              <m:r>
                <m:t>l</m:t>
              </m:r>
              <m:r>
                <m:rPr>
                  <m:sty m:val="p"/>
                </m:rPr>
                <m:t>−</m:t>
              </m:r>
              <m:r>
                <m:t>1</m:t>
              </m:r>
            </m:sup>
          </m:sSup>
          <m:r>
            <m:rPr>
              <m:sty m:val="p"/>
            </m:rPr>
            <m:t>)</m:t>
          </m:r>
          <m:r>
            <m:rPr>
              <m:sty m:val="p"/>
            </m:rPr>
            <m:t>,</m:t>
          </m:r>
          <m:r>
            <m:t> </m:t>
          </m:r>
          <m:r>
            <m:t>l</m:t>
          </m:r>
          <m:r>
            <m:rPr>
              <m:sty m:val="p"/>
            </m:rPr>
            <m:t>∈</m:t>
          </m:r>
          <m:r>
            <m:rPr>
              <m:sty m:val="p"/>
            </m:rPr>
            <m:t>{</m:t>
          </m:r>
          <m:r>
            <m:t>1</m:t>
          </m:r>
          <m:r>
            <m:rPr>
              <m:sty m:val="p"/>
            </m:rPr>
            <m:t>,</m:t>
          </m:r>
          <m:r>
            <m:t>2</m:t>
          </m:r>
          <m:r>
            <m:rPr>
              <m:sty m:val="p"/>
            </m:rPr>
            <m:t>,</m:t>
          </m:r>
          <m:r>
            <m:t>3</m:t>
          </m:r>
          <m:r>
            <m:rPr>
              <m:sty m:val="p"/>
            </m:rPr>
            <m:t>,</m:t>
          </m:r>
          <m:r>
            <m:t>4</m:t>
          </m:r>
          <m:r>
            <m:rPr>
              <m:sty m:val="p"/>
            </m:rPr>
            <m:t>}</m:t>
          </m:r>
        </m:oMath>
      </m:oMathPara>
    </w:p>
    <w:p>
      <w:pPr>
        <w:pStyle w:val="FirstParagraph"/>
        <w:spacing w:after="0" w:line="240" w:lineRule="auto"/>
      </w:pPr>
      <w:r>
        <w:rPr>
          <w:rFonts w:ascii="Times New Roman" w:hAnsi="Times New Roman" w:eastAsia="Times New Roman"/>
          <w:sz w:val="20"/>
        </w:rPr>
        <w:t xml:space="preserve">producing hierarchical topographic feature maps</w:t>
      </w:r>
      <w:r>
        <w:rPr>
          <w:rFonts w:ascii="Times New Roman" w:hAnsi="Times New Roman" w:eastAsia="Times New Roman"/>
          <w:sz w:val="20"/>
        </w:rPr>
        <w:t xml:space="preserve"> </w:t>
      </w:r>
      <m:oMath>
        <m:sSup>
          <m:e>
            <m:r>
              <m:rPr>
                <m:sty m:val="bi"/>
              </m:rPr>
              <m:t>T</m:t>
            </m:r>
          </m:e>
          <m:sup>
            <m:r>
              <m:t>l</m:t>
            </m:r>
          </m:sup>
        </m:sSup>
        <m:r>
          <m:rPr>
            <m:sty m:val="p"/>
          </m:rPr>
          <m:t>∈</m:t>
        </m:r>
        <m:sSup>
          <m:e>
            <m:r>
              <m:rPr>
                <m:scr m:val="double-struck"/>
                <m:sty m:val="p"/>
              </m:rPr>
              <m:t>R</m:t>
            </m:r>
          </m:e>
          <m:sup>
            <m:sSub>
              <m:e>
                <m:r>
                  <m:t>C</m:t>
                </m:r>
              </m:e>
              <m:sub>
                <m:r>
                  <m:t>l</m:t>
                </m:r>
              </m:sub>
            </m:sSub>
            <m:r>
              <m:rPr>
                <m:sty m:val="p"/>
              </m:rPr>
              <m:t>×</m:t>
            </m:r>
            <m:sSub>
              <m:e>
                <m:r>
                  <m:t>H</m:t>
                </m:r>
              </m:e>
              <m:sub>
                <m:r>
                  <m:t>l</m:t>
                </m:r>
              </m:sub>
            </m:sSub>
            <m:r>
              <m:rPr>
                <m:sty m:val="p"/>
              </m:rPr>
              <m:t>×</m:t>
            </m:r>
            <m:sSub>
              <m:e>
                <m:r>
                  <m:t>W</m:t>
                </m:r>
              </m:e>
              <m:sub>
                <m:r>
                  <m:t>l</m:t>
                </m:r>
              </m:sub>
            </m:sSub>
          </m:sup>
        </m:sSup>
      </m:oMath>
      <w:r>
        <w:rPr>
          <w:rFonts w:ascii="Times New Roman" w:hAnsi="Times New Roman" w:eastAsia="Times New Roman"/>
          <w:sz w:val="20"/>
        </w:rPr>
        <w:t xml:space="preserve"> </w:t>
      </w:r>
      <w:r>
        <w:rPr>
          <w:rFonts w:ascii="Times New Roman" w:hAnsi="Times New Roman" w:eastAsia="Times New Roman"/>
          <w:sz w:val="20"/>
        </w:rPr>
        <w:t xml:space="preserve">matching the spatial resolution and channel depth of the SAR difference features.</w:t>
      </w:r>
    </w:p>
    <w:bookmarkEnd w:id="20"/>
    <w:bookmarkStart w:id="21" w:name="Xd00db75f520e15fba57c43540338584ce6d50b0"/>
    <w:p>
      <w:pPr>
        <w:pStyle w:val="Heading3"/>
        <w:spacing w:after="0" w:line="240" w:lineRule="auto"/>
      </w:pPr>
      <w:r>
        <w:rPr>
          <w:rFonts w:ascii="Times New Roman" w:hAnsi="Times New Roman" w:eastAsia="Times New Roman"/>
          <w:sz w:val="20"/>
        </w:rPr>
        <w:t xml:space="preserve">Radar-Topographic Cross-Attention Block (RTCAB)</w:t>
      </w:r>
    </w:p>
    <w:p>
      <w:pPr>
        <w:pStyle w:val="FirstParagraph"/>
        <w:spacing w:after="0" w:line="240" w:lineRule="auto"/>
      </w:pPr>
      <w:r>
        <w:rPr>
          <w:rFonts w:ascii="Times New Roman" w:hAnsi="Times New Roman" w:eastAsia="Times New Roman"/>
          <w:sz w:val="20"/>
        </w:rPr>
        <w:t xml:space="preserve">To condition the SAR change representations on terrain geometry without memory explosion, we design the RTCAB module. Rather than computing full</w:t>
      </w:r>
      <w:r>
        <w:rPr>
          <w:rFonts w:ascii="Times New Roman" w:hAnsi="Times New Roman" w:eastAsia="Times New Roman"/>
          <w:sz w:val="20"/>
        </w:rPr>
        <w:t xml:space="preserve"> </w:t>
      </w:r>
      <m:oMath>
        <m:r>
          <m:t>N</m:t>
        </m:r>
        <m:r>
          <m:rPr>
            <m:sty m:val="p"/>
          </m:rPr>
          <m:t>×</m:t>
        </m:r>
        <m:r>
          <m:t>N</m:t>
        </m:r>
      </m:oMath>
      <w:r>
        <w:rPr>
          <w:rFonts w:ascii="Times New Roman" w:hAnsi="Times New Roman" w:eastAsia="Times New Roman"/>
          <w:sz w:val="20"/>
        </w:rPr>
        <w:t xml:space="preserve"> </w:t>
      </w:r>
      <w:r>
        <w:rPr>
          <w:rFonts w:ascii="Times New Roman" w:hAnsi="Times New Roman" w:eastAsia="Times New Roman"/>
          <w:sz w:val="20"/>
        </w:rPr>
        <w:t xml:space="preserve">self-attention (which scales quadratically with</w:t>
      </w:r>
      <w:r>
        <w:rPr>
          <w:rFonts w:ascii="Times New Roman" w:hAnsi="Times New Roman" w:eastAsia="Times New Roman"/>
          <w:sz w:val="20"/>
        </w:rPr>
        <w:t xml:space="preserve"> </w:t>
      </w:r>
      <m:oMath>
        <m:sSub>
          <m:e>
            <m:r>
              <m:t>H</m:t>
            </m:r>
          </m:e>
          <m:sub>
            <m:r>
              <m:t>l</m:t>
            </m:r>
          </m:sub>
        </m:sSub>
        <m:r>
          <m:rPr>
            <m:sty m:val="p"/>
          </m:rPr>
          <m:t>×</m:t>
        </m:r>
        <m:sSub>
          <m:e>
            <m:r>
              <m:t>W</m:t>
            </m:r>
          </m:e>
          <m:sub>
            <m:r>
              <m:t>l</m:t>
            </m:r>
          </m:sub>
        </m:sSub>
      </m:oMath>
      <w:r>
        <w:rPr>
          <w:rFonts w:ascii="Times New Roman" w:hAnsi="Times New Roman" w:eastAsia="Times New Roman"/>
          <w:sz w:val="20"/>
        </w:rPr>
        <w:t xml:space="preserve"> </w:t>
      </w:r>
      <w:r>
        <w:rPr>
          <w:rFonts w:ascii="Times New Roman" w:hAnsi="Times New Roman" w:eastAsia="Times New Roman"/>
          <w:sz w:val="20"/>
        </w:rPr>
        <w:t xml:space="preserve">and exceeds GPU memory on high-resolution satellite tiles), RTCAB treats the full-resolution SAR change features as Queries (</w:t>
      </w:r>
      <m:oMath>
        <m:r>
          <m:rPr>
            <m:sty m:val="bi"/>
          </m:rPr>
          <m:t>Q</m:t>
        </m:r>
      </m:oMath>
      <w:r>
        <w:rPr>
          <w:rFonts w:ascii="Times New Roman" w:hAnsi="Times New Roman" w:eastAsia="Times New Roman"/>
          <w:sz w:val="20"/>
        </w:rPr>
        <w:t xml:space="preserve">), while adaptively pooling the topographic geometry into a regional spatial context grid of size</w:t>
      </w:r>
      <w:r>
        <w:rPr>
          <w:rFonts w:ascii="Times New Roman" w:hAnsi="Times New Roman" w:eastAsia="Times New Roman"/>
          <w:sz w:val="20"/>
        </w:rPr>
        <w:t xml:space="preserve"> </w:t>
      </w:r>
      <m:oMath>
        <m:r>
          <m:t>M</m:t>
        </m:r>
        <m:r>
          <m:rPr>
            <m:sty m:val="p"/>
          </m:rPr>
          <m:t>=</m:t>
        </m:r>
        <m:r>
          <m:t>k</m:t>
        </m:r>
        <m:r>
          <m:rPr>
            <m:sty m:val="p"/>
          </m:rPr>
          <m:t>×</m:t>
        </m:r>
        <m:r>
          <m:t>k</m:t>
        </m:r>
      </m:oMath>
      <w:r>
        <w:rPr>
          <w:rFonts w:ascii="Times New Roman" w:hAnsi="Times New Roman" w:eastAsia="Times New Roman"/>
          <w:sz w:val="20"/>
        </w:rPr>
        <w:t xml:space="preserve"> </w:t>
      </w:r>
      <w:r>
        <w:rPr>
          <w:rFonts w:ascii="Times New Roman" w:hAnsi="Times New Roman" w:eastAsia="Times New Roman"/>
          <w:sz w:val="20"/>
        </w:rPr>
        <w:t xml:space="preserve">(where</w:t>
      </w:r>
      <w:r>
        <w:rPr>
          <w:rFonts w:ascii="Times New Roman" w:hAnsi="Times New Roman" w:eastAsia="Times New Roman"/>
          <w:sz w:val="20"/>
        </w:rPr>
        <w:t xml:space="preserve"> </w:t>
      </w:r>
      <m:oMath>
        <m:r>
          <m:t>k</m:t>
        </m:r>
        <m:r>
          <m:rPr>
            <m:sty m:val="p"/>
          </m:rPr>
          <m:t>=</m:t>
        </m:r>
        <m:r>
          <m:t>8</m:t>
        </m:r>
      </m:oMath>
      <w:r>
        <w:rPr>
          <w:rFonts w:ascii="Times New Roman" w:hAnsi="Times New Roman" w:eastAsia="Times New Roman"/>
          <w:sz w:val="20"/>
        </w:rPr>
        <w:t xml:space="preserve">):</w:t>
      </w:r>
    </w:p>
    <w:p>
      <w:pPr>
        <w:pStyle w:val="BodyText"/>
        <w:spacing w:after="0" w:line="240" w:lineRule="auto"/>
      </w:pPr>
      <m:oMathPara>
        <m:oMathParaPr>
          <m:jc m:val="center"/>
        </m:oMathParaPr>
        <m:oMath>
          <m:m>
            <m:mPr>
              <m:baseJc m:val="center"/>
              <m:plcHide m:val="on"/>
              <m:mcs>
                <m:mc>
                  <m:mcPr>
                    <m:mcJc m:val="right"/>
                    <m:count m:val="1"/>
                  </m:mcPr>
                </m:mc>
              </m:mcs>
            </m:mPr>
            <m:mr>
              <m:e>
                <m:r>
                  <m:rPr>
                    <m:sty m:val="bi"/>
                  </m:rPr>
                  <m:t>Q</m:t>
                </m:r>
                <m:r>
                  <m:rPr>
                    <m:sty m:val="p"/>
                  </m:rPr>
                  <m:t>=</m:t>
                </m:r>
                <m:sSubSup>
                  <m:e>
                    <m:r>
                      <m:rPr>
                        <m:sty m:val="bi"/>
                      </m:rPr>
                      <m:t>F</m:t>
                    </m:r>
                  </m:e>
                  <m:sub>
                    <m:r>
                      <m:rPr>
                        <m:nor/>
                        <m:sty m:val="p"/>
                      </m:rPr>
                      <m:t>diff</m:t>
                    </m:r>
                  </m:sub>
                  <m:sup>
                    <m:r>
                      <m:t>l</m:t>
                    </m:r>
                  </m:sup>
                </m:sSubSup>
                <m:sSub>
                  <m:e>
                    <m:r>
                      <m:rPr>
                        <m:sty m:val="bi"/>
                      </m:rPr>
                      <m:t>W</m:t>
                    </m:r>
                  </m:e>
                  <m:sub>
                    <m:r>
                      <m:t>Q</m:t>
                    </m:r>
                  </m:sub>
                </m:sSub>
                <m:r>
                  <m:rPr>
                    <m:sty m:val="p"/>
                  </m:rPr>
                  <m:t>∈</m:t>
                </m:r>
                <m:sSup>
                  <m:e>
                    <m:r>
                      <m:rPr>
                        <m:scr m:val="double-struck"/>
                        <m:sty m:val="p"/>
                      </m:rPr>
                      <m:t>R</m:t>
                    </m:r>
                  </m:e>
                  <m:sup>
                    <m:r>
                      <m:t>B</m:t>
                    </m:r>
                    <m:r>
                      <m:rPr>
                        <m:sty m:val="p"/>
                      </m:rPr>
                      <m:t>×</m:t>
                    </m:r>
                    <m:r>
                      <m:t>N</m:t>
                    </m:r>
                    <m:r>
                      <m:rPr>
                        <m:sty m:val="p"/>
                      </m:rPr>
                      <m:t>×</m:t>
                    </m:r>
                    <m:sSub>
                      <m:e>
                        <m:r>
                          <m:t>C</m:t>
                        </m:r>
                      </m:e>
                      <m:sub>
                        <m:r>
                          <m:t>l</m:t>
                        </m:r>
                      </m:sub>
                    </m:sSub>
                  </m:sup>
                </m:sSup>
                <m:r>
                  <m:t> </m:t>
                </m:r>
                <m:r>
                  <m:rPr>
                    <m:sty m:val="p"/>
                  </m:rPr>
                  <m:t>(</m:t>
                </m:r>
                <m:r>
                  <m:t>N</m:t>
                </m:r>
                <m:r>
                  <m:rPr>
                    <m:sty m:val="p"/>
                  </m:rPr>
                  <m:t>=</m:t>
                </m:r>
                <m:sSub>
                  <m:e>
                    <m:r>
                      <m:t>H</m:t>
                    </m:r>
                  </m:e>
                  <m:sub>
                    <m:r>
                      <m:t>l</m:t>
                    </m:r>
                  </m:sub>
                </m:sSub>
                <m:r>
                  <m:rPr>
                    <m:sty m:val="p"/>
                  </m:rPr>
                  <m:t>×</m:t>
                </m:r>
                <m:sSub>
                  <m:e>
                    <m:r>
                      <m:t>W</m:t>
                    </m:r>
                  </m:e>
                  <m:sub>
                    <m:r>
                      <m:t>l</m:t>
                    </m:r>
                  </m:sub>
                </m:sSub>
                <m:r>
                  <m:rPr>
                    <m:sty m:val="p"/>
                  </m:rPr>
                  <m:t>)</m:t>
                </m:r>
              </m:e>
            </m:mr>
            <m:mr>
              <m:e>
                <m:r>
                  <m:rPr>
                    <m:sty m:val="bi"/>
                  </m:rPr>
                  <m:t>K</m:t>
                </m:r>
                <m:r>
                  <m:rPr>
                    <m:sty m:val="p"/>
                  </m:rPr>
                  <m:t>=</m:t>
                </m:r>
                <m:sSub>
                  <m:e>
                    <m:r>
                      <m:rPr>
                        <m:nor/>
                        <m:sty m:val="p"/>
                      </m:rPr>
                      <m:t>Pool</m:t>
                    </m:r>
                  </m:e>
                  <m:sub>
                    <m:r>
                      <m:t>k</m:t>
                    </m:r>
                    <m:r>
                      <m:rPr>
                        <m:sty m:val="p"/>
                      </m:rPr>
                      <m:t>×</m:t>
                    </m:r>
                    <m:r>
                      <m:t>k</m:t>
                    </m:r>
                  </m:sub>
                </m:sSub>
                <m:r>
                  <m:rPr>
                    <m:sty m:val="p"/>
                  </m:rPr>
                  <m:t>(</m:t>
                </m:r>
                <m:sSup>
                  <m:e>
                    <m:r>
                      <m:rPr>
                        <m:sty m:val="bi"/>
                      </m:rPr>
                      <m:t>T</m:t>
                    </m:r>
                  </m:e>
                  <m:sup>
                    <m:r>
                      <m:t>l</m:t>
                    </m:r>
                  </m:sup>
                </m:sSup>
                <m:r>
                  <m:rPr>
                    <m:sty m:val="p"/>
                  </m:rPr>
                  <m:t>)</m:t>
                </m:r>
                <m:sSub>
                  <m:e>
                    <m:r>
                      <m:rPr>
                        <m:sty m:val="bi"/>
                      </m:rPr>
                      <m:t>W</m:t>
                    </m:r>
                  </m:e>
                  <m:sub>
                    <m:r>
                      <m:t>K</m:t>
                    </m:r>
                  </m:sub>
                </m:sSub>
                <m:r>
                  <m:rPr>
                    <m:sty m:val="p"/>
                  </m:rPr>
                  <m:t>∈</m:t>
                </m:r>
                <m:sSup>
                  <m:e>
                    <m:r>
                      <m:rPr>
                        <m:scr m:val="double-struck"/>
                        <m:sty m:val="p"/>
                      </m:rPr>
                      <m:t>R</m:t>
                    </m:r>
                  </m:e>
                  <m:sup>
                    <m:r>
                      <m:t>B</m:t>
                    </m:r>
                    <m:r>
                      <m:rPr>
                        <m:sty m:val="p"/>
                      </m:rPr>
                      <m:t>×</m:t>
                    </m:r>
                    <m:r>
                      <m:t>M</m:t>
                    </m:r>
                    <m:r>
                      <m:rPr>
                        <m:sty m:val="p"/>
                      </m:rPr>
                      <m:t>×</m:t>
                    </m:r>
                    <m:sSub>
                      <m:e>
                        <m:r>
                          <m:t>C</m:t>
                        </m:r>
                      </m:e>
                      <m:sub>
                        <m:r>
                          <m:t>l</m:t>
                        </m:r>
                      </m:sub>
                    </m:sSub>
                  </m:sup>
                </m:sSup>
                <m:r>
                  <m:t> </m:t>
                </m:r>
                <m:r>
                  <m:rPr>
                    <m:sty m:val="p"/>
                  </m:rPr>
                  <m:t>(</m:t>
                </m:r>
                <m:r>
                  <m:t>M</m:t>
                </m:r>
                <m:r>
                  <m:rPr>
                    <m:sty m:val="p"/>
                  </m:rPr>
                  <m:t>=</m:t>
                </m:r>
                <m:sSup>
                  <m:e>
                    <m:r>
                      <m:t>k</m:t>
                    </m:r>
                  </m:e>
                  <m:sup>
                    <m:r>
                      <m:t>2</m:t>
                    </m:r>
                  </m:sup>
                </m:sSup>
                <m:r>
                  <m:rPr>
                    <m:sty m:val="p"/>
                  </m:rPr>
                  <m:t>)</m:t>
                </m:r>
              </m:e>
            </m:mr>
            <m:mr>
              <m:e>
                <m:r>
                  <m:rPr>
                    <m:sty m:val="bi"/>
                  </m:rPr>
                  <m:t>V</m:t>
                </m:r>
                <m:r>
                  <m:rPr>
                    <m:sty m:val="p"/>
                  </m:rPr>
                  <m:t>=</m:t>
                </m:r>
                <m:sSub>
                  <m:e>
                    <m:r>
                      <m:rPr>
                        <m:nor/>
                        <m:sty m:val="p"/>
                      </m:rPr>
                      <m:t>Pool</m:t>
                    </m:r>
                  </m:e>
                  <m:sub>
                    <m:r>
                      <m:t>k</m:t>
                    </m:r>
                    <m:r>
                      <m:rPr>
                        <m:sty m:val="p"/>
                      </m:rPr>
                      <m:t>×</m:t>
                    </m:r>
                    <m:r>
                      <m:t>k</m:t>
                    </m:r>
                  </m:sub>
                </m:sSub>
                <m:r>
                  <m:rPr>
                    <m:sty m:val="p"/>
                  </m:rPr>
                  <m:t>(</m:t>
                </m:r>
                <m:sSup>
                  <m:e>
                    <m:r>
                      <m:rPr>
                        <m:sty m:val="bi"/>
                      </m:rPr>
                      <m:t>T</m:t>
                    </m:r>
                  </m:e>
                  <m:sup>
                    <m:r>
                      <m:t>l</m:t>
                    </m:r>
                  </m:sup>
                </m:sSup>
                <m:r>
                  <m:rPr>
                    <m:sty m:val="p"/>
                  </m:rPr>
                  <m:t>)</m:t>
                </m:r>
                <m:sSub>
                  <m:e>
                    <m:r>
                      <m:rPr>
                        <m:sty m:val="bi"/>
                      </m:rPr>
                      <m:t>W</m:t>
                    </m:r>
                  </m:e>
                  <m:sub>
                    <m:r>
                      <m:t>V</m:t>
                    </m:r>
                  </m:sub>
                </m:sSub>
                <m:r>
                  <m:rPr>
                    <m:sty m:val="p"/>
                  </m:rPr>
                  <m:t>∈</m:t>
                </m:r>
                <m:sSup>
                  <m:e>
                    <m:r>
                      <m:rPr>
                        <m:scr m:val="double-struck"/>
                        <m:sty m:val="p"/>
                      </m:rPr>
                      <m:t>R</m:t>
                    </m:r>
                  </m:e>
                  <m:sup>
                    <m:r>
                      <m:t>B</m:t>
                    </m:r>
                    <m:r>
                      <m:rPr>
                        <m:sty m:val="p"/>
                      </m:rPr>
                      <m:t>×</m:t>
                    </m:r>
                    <m:r>
                      <m:t>M</m:t>
                    </m:r>
                    <m:r>
                      <m:rPr>
                        <m:sty m:val="p"/>
                      </m:rPr>
                      <m:t>×</m:t>
                    </m:r>
                    <m:sSub>
                      <m:e>
                        <m:r>
                          <m:t>C</m:t>
                        </m:r>
                      </m:e>
                      <m:sub>
                        <m:r>
                          <m:t>l</m:t>
                        </m:r>
                      </m:sub>
                    </m:sSub>
                  </m:sup>
                </m:sSup>
              </m:e>
            </m:mr>
          </m:m>
        </m:oMath>
      </m:oMathPara>
    </w:p>
    <w:p>
      <w:pPr>
        <w:pStyle w:val="FirstParagraph"/>
        <w:spacing w:after="0" w:line="240" w:lineRule="auto"/>
      </w:pPr>
      <w:r>
        <w:rPr>
          <w:rFonts w:ascii="Times New Roman" w:hAnsi="Times New Roman" w:eastAsia="Times New Roman"/>
          <w:sz w:val="20"/>
        </w:rPr>
        <w:t xml:space="preserve">Cross-attention weights</w:t>
      </w:r>
      <w:r>
        <w:rPr>
          <w:rFonts w:ascii="Times New Roman" w:hAnsi="Times New Roman" w:eastAsia="Times New Roman"/>
          <w:sz w:val="20"/>
        </w:rPr>
        <w:t xml:space="preserve"> </w:t>
      </w:r>
      <m:oMath>
        <m:r>
          <m:rPr>
            <m:sty m:val="bi"/>
          </m:rPr>
          <m:t>A</m:t>
        </m:r>
        <m:r>
          <m:rPr>
            <m:sty m:val="p"/>
          </m:rPr>
          <m:t>∈</m:t>
        </m:r>
        <m:sSup>
          <m:e>
            <m:r>
              <m:rPr>
                <m:scr m:val="double-struck"/>
                <m:sty m:val="p"/>
              </m:rPr>
              <m:t>R</m:t>
            </m:r>
          </m:e>
          <m:sup>
            <m:r>
              <m:t>B</m:t>
            </m:r>
            <m:r>
              <m:rPr>
                <m:sty m:val="p"/>
              </m:rPr>
              <m:t>×</m:t>
            </m:r>
            <m:r>
              <m:t>N</m:t>
            </m:r>
            <m:r>
              <m:rPr>
                <m:sty m:val="p"/>
              </m:rPr>
              <m:t>×</m:t>
            </m:r>
            <m:r>
              <m:t>M</m:t>
            </m:r>
          </m:sup>
        </m:sSup>
      </m:oMath>
      <w:r>
        <w:rPr>
          <w:rFonts w:ascii="Times New Roman" w:hAnsi="Times New Roman" w:eastAsia="Times New Roman"/>
          <w:sz w:val="20"/>
        </w:rPr>
        <w:t xml:space="preserve"> </w:t>
      </w:r>
      <w:r>
        <w:rPr>
          <w:rFonts w:ascii="Times New Roman" w:hAnsi="Times New Roman" w:eastAsia="Times New Roman"/>
          <w:sz w:val="20"/>
        </w:rPr>
        <w:t xml:space="preserve">are computed across multiple attention heads (</w:t>
      </w:r>
      <m:oMath>
        <m:r>
          <m:t>h</m:t>
        </m:r>
        <m:r>
          <m:rPr>
            <m:sty m:val="p"/>
          </m:rPr>
          <m:t>∈</m:t>
        </m:r>
        <m:r>
          <m:rPr>
            <m:sty m:val="p"/>
          </m:rPr>
          <m:t>{</m:t>
        </m:r>
        <m:r>
          <m:t>1</m:t>
        </m:r>
        <m:r>
          <m:rPr>
            <m:sty m:val="p"/>
          </m:rPr>
          <m:t>,</m:t>
        </m:r>
        <m:r>
          <m:t>2</m:t>
        </m:r>
        <m:r>
          <m:rPr>
            <m:sty m:val="p"/>
          </m:rPr>
          <m:t>,</m:t>
        </m:r>
        <m:r>
          <m:t>4</m:t>
        </m:r>
        <m:r>
          <m:rPr>
            <m:sty m:val="p"/>
          </m:rPr>
          <m:t>}</m:t>
        </m:r>
      </m:oMath>
      <w:r>
        <w:rPr>
          <w:rFonts w:ascii="Times New Roman" w:hAnsi="Times New Roman" w:eastAsia="Times New Roman"/>
          <w:sz w:val="20"/>
        </w:rPr>
        <w:t xml:space="preserve">):</w:t>
      </w:r>
    </w:p>
    <w:p>
      <w:pPr>
        <w:pStyle w:val="BodyText"/>
        <w:spacing w:after="0" w:line="240" w:lineRule="auto"/>
      </w:pPr>
      <m:oMathPara>
        <m:oMathParaPr>
          <m:jc m:val="center"/>
        </m:oMathParaPr>
        <m:oMath>
          <m:r>
            <m:rPr>
              <m:sty m:val="bi"/>
            </m:rPr>
            <m:t>A</m:t>
          </m:r>
          <m:r>
            <m:rPr>
              <m:sty m:val="p"/>
            </m:rPr>
            <m:t>=</m:t>
          </m:r>
          <m:r>
            <m:rPr>
              <m:nor/>
              <m:sty m:val="p"/>
            </m:rPr>
            <m:t>softmax</m:t>
          </m:r>
          <m:d>
            <m:dPr>
              <m:begChr m:val="("/>
              <m:sepChr m:val=""/>
              <m:endChr m:val=")"/>
              <m:grow/>
            </m:dPr>
            <m:e>
              <m:f>
                <m:fPr>
                  <m:type m:val="bar"/>
                </m:fPr>
                <m:num>
                  <m:r>
                    <m:rPr>
                      <m:sty m:val="bi"/>
                    </m:rPr>
                    <m:t>Q</m:t>
                  </m:r>
                  <m:sSup>
                    <m:e>
                      <m:r>
                        <m:rPr>
                          <m:sty m:val="bi"/>
                        </m:rPr>
                        <m:t>K</m:t>
                      </m:r>
                    </m:e>
                    <m:sup>
                      <m:r>
                        <m:t>T</m:t>
                      </m:r>
                    </m:sup>
                  </m:sSup>
                </m:num>
                <m:den>
                  <m:rad>
                    <m:radPr>
                      <m:degHide m:val="on"/>
                    </m:radPr>
                    <m:deg/>
                    <m:e>
                      <m:sSub>
                        <m:e>
                          <m:r>
                            <m:t>d</m:t>
                          </m:r>
                        </m:e>
                        <m:sub>
                          <m:r>
                            <m:t>k</m:t>
                          </m:r>
                        </m:sub>
                      </m:sSub>
                    </m:e>
                  </m:rad>
                </m:den>
              </m:f>
            </m:e>
          </m:d>
        </m:oMath>
      </m:oMathPara>
    </w:p>
    <w:p>
      <w:pPr>
        <w:pStyle w:val="FirstParagraph"/>
        <w:spacing w:after="0" w:line="240" w:lineRule="auto"/>
      </w:pPr>
      <w:r>
        <w:rPr>
          <w:rFonts w:ascii="Times New Roman" w:hAnsi="Times New Roman" w:eastAsia="Times New Roman"/>
          <w:sz w:val="20"/>
        </w:rPr>
        <w:t xml:space="preserve">The attended geometric context</w:t>
      </w:r>
      <w:r>
        <w:rPr>
          <w:rFonts w:ascii="Times New Roman" w:hAnsi="Times New Roman" w:eastAsia="Times New Roman"/>
          <w:sz w:val="20"/>
        </w:rPr>
        <w:t xml:space="preserve"> </w:t>
      </w:r>
      <m:oMath>
        <m:r>
          <m:rPr>
            <m:sty m:val="bi"/>
          </m:rPr>
          <m:t>O</m:t>
        </m:r>
        <m:r>
          <m:rPr>
            <m:sty m:val="p"/>
          </m:rPr>
          <m:t>=</m:t>
        </m:r>
        <m:r>
          <m:rPr>
            <m:sty m:val="bi"/>
          </m:rPr>
          <m:t>A</m:t>
        </m:r>
        <m:r>
          <m:rPr>
            <m:sty m:val="bi"/>
          </m:rPr>
          <m:t>V</m:t>
        </m:r>
      </m:oMath>
      <w:r>
        <w:rPr>
          <w:rFonts w:ascii="Times New Roman" w:hAnsi="Times New Roman" w:eastAsia="Times New Roman"/>
          <w:sz w:val="20"/>
        </w:rPr>
        <w:t xml:space="preserve"> </w:t>
      </w:r>
      <w:r>
        <w:rPr>
          <w:rFonts w:ascii="Times New Roman" w:hAnsi="Times New Roman" w:eastAsia="Times New Roman"/>
          <w:sz w:val="20"/>
        </w:rPr>
        <w:t xml:space="preserve">allows every SAR pixel to interrogate whether surrounding regional slope and aspect angles physically support avalanche accumulation.</w:t>
      </w:r>
    </w:p>
    <w:p>
      <w:pPr>
        <w:pStyle w:val="BodyText"/>
        <w:spacing w:after="0" w:line="240" w:lineRule="auto"/>
      </w:pPr>
      <w:r>
        <w:rPr>
          <w:rFonts w:ascii="Times New Roman" w:hAnsi="Times New Roman" w:eastAsia="Times New Roman"/>
          <w:sz w:val="20"/>
        </w:rPr>
        <w:t xml:space="preserve">To further inject pixel-level boundary constraints, we compute a dynamic spatial topographic gate:</w:t>
      </w:r>
    </w:p>
    <w:p>
      <w:pPr>
        <w:pStyle w:val="BodyText"/>
        <w:spacing w:after="0" w:line="240" w:lineRule="auto"/>
      </w:pPr>
      <m:oMathPara>
        <m:oMathParaPr>
          <m:jc m:val="center"/>
        </m:oMathParaPr>
        <m:oMath>
          <m:sSub>
            <m:e>
              <m:r>
                <m:rPr>
                  <m:sty m:val="bi"/>
                </m:rPr>
                <m:t>W</m:t>
              </m:r>
            </m:e>
            <m:sub>
              <m:r>
                <m:rPr>
                  <m:nor/>
                  <m:sty m:val="p"/>
                </m:rPr>
                <m:t>gate</m:t>
              </m:r>
            </m:sub>
          </m:sSub>
          <m:r>
            <m:rPr>
              <m:sty m:val="p"/>
            </m:rPr>
            <m:t>=</m:t>
          </m:r>
          <m:r>
            <m:t>σ</m:t>
          </m:r>
          <m:d>
            <m:dPr>
              <m:begChr m:val="("/>
              <m:sepChr m:val=""/>
              <m:endChr m:val=")"/>
              <m:grow/>
            </m:dPr>
            <m:e>
              <m:sSub>
                <m:e>
                  <m:r>
                    <m:rPr>
                      <m:nor/>
                      <m:sty m:val="p"/>
                    </m:rPr>
                    <m:t>Conv</m:t>
                  </m:r>
                </m:e>
                <m:sub>
                  <m:r>
                    <m:t>1</m:t>
                  </m:r>
                  <m:r>
                    <m:rPr>
                      <m:sty m:val="p"/>
                    </m:rPr>
                    <m:t>×</m:t>
                  </m:r>
                  <m:r>
                    <m:t>1</m:t>
                  </m:r>
                </m:sub>
              </m:sSub>
              <m:d>
                <m:dPr>
                  <m:begChr m:val="("/>
                  <m:sepChr m:val=""/>
                  <m:endChr m:val=")"/>
                  <m:grow/>
                </m:dPr>
                <m:e>
                  <m:r>
                    <m:rPr>
                      <m:nor/>
                      <m:sty m:val="p"/>
                    </m:rPr>
                    <m:t>GELU</m:t>
                  </m:r>
                  <m:d>
                    <m:dPr>
                      <m:begChr m:val="("/>
                      <m:sepChr m:val=""/>
                      <m:endChr m:val=")"/>
                      <m:grow/>
                    </m:dPr>
                    <m:e>
                      <m:sSub>
                        <m:e>
                          <m:r>
                            <m:rPr>
                              <m:nor/>
                              <m:sty m:val="p"/>
                            </m:rPr>
                            <m:t>Conv</m:t>
                          </m:r>
                        </m:e>
                        <m:sub>
                          <m:r>
                            <m:t>3</m:t>
                          </m:r>
                          <m:r>
                            <m:rPr>
                              <m:sty m:val="p"/>
                            </m:rPr>
                            <m:t>×</m:t>
                          </m:r>
                          <m:r>
                            <m:t>3</m:t>
                          </m:r>
                        </m:sub>
                      </m:sSub>
                      <m:r>
                        <m:rPr>
                          <m:sty m:val="p"/>
                        </m:rPr>
                        <m:t>(</m:t>
                      </m:r>
                      <m:sSup>
                        <m:e>
                          <m:r>
                            <m:rPr>
                              <m:sty m:val="bi"/>
                            </m:rPr>
                            <m:t>T</m:t>
                          </m:r>
                        </m:e>
                        <m:sup>
                          <m:r>
                            <m:t>l</m:t>
                          </m:r>
                        </m:sup>
                      </m:sSup>
                      <m:r>
                        <m:rPr>
                          <m:sty m:val="p"/>
                        </m:rPr>
                        <m:t>)</m:t>
                      </m:r>
                    </m:e>
                  </m:d>
                </m:e>
              </m:d>
            </m:e>
          </m:d>
        </m:oMath>
      </m:oMathPara>
    </w:p>
    <w:p>
      <w:pPr>
        <w:pStyle w:val="FirstParagraph"/>
        <w:spacing w:after="0" w:line="240" w:lineRule="auto"/>
      </w:pPr>
      <w:r>
        <w:rPr>
          <w:rFonts w:ascii="Times New Roman" w:hAnsi="Times New Roman" w:eastAsia="Times New Roman"/>
          <w:sz w:val="20"/>
        </w:rPr>
        <w:t xml:space="preserve">The final conditioned feature map is computed as:</w:t>
      </w:r>
    </w:p>
    <w:p>
      <w:pPr>
        <w:pStyle w:val="BodyText"/>
        <w:spacing w:after="0" w:line="240" w:lineRule="auto"/>
      </w:pPr>
      <m:oMathPara>
        <m:oMathParaPr>
          <m:jc m:val="center"/>
        </m:oMathParaPr>
        <m:oMath>
          <m:sSup>
            <m:e>
              <m:acc>
                <m:accPr>
                  <m:chr m:val="̃"/>
                </m:accPr>
                <m:e>
                  <m:r>
                    <m:rPr>
                      <m:sty m:val="bi"/>
                    </m:rPr>
                    <m:t>F</m:t>
                  </m:r>
                </m:e>
              </m:acc>
            </m:e>
            <m:sup>
              <m:r>
                <m:t>l</m:t>
              </m:r>
            </m:sup>
          </m:sSup>
          <m:r>
            <m:rPr>
              <m:sty m:val="p"/>
            </m:rPr>
            <m:t>=</m:t>
          </m:r>
          <m:r>
            <m:rPr>
              <m:nor/>
              <m:sty m:val="p"/>
            </m:rPr>
            <m:t>BatchNorm</m:t>
          </m:r>
          <m:d>
            <m:dPr>
              <m:begChr m:val="("/>
              <m:sepChr m:val=""/>
              <m:endChr m:val=")"/>
              <m:grow/>
            </m:dPr>
            <m:e>
              <m:sSubSup>
                <m:e>
                  <m:r>
                    <m:rPr>
                      <m:sty m:val="bi"/>
                    </m:rPr>
                    <m:t>F</m:t>
                  </m:r>
                </m:e>
                <m:sub>
                  <m:r>
                    <m:rPr>
                      <m:nor/>
                      <m:sty m:val="p"/>
                    </m:rPr>
                    <m:t>diff</m:t>
                  </m:r>
                </m:sub>
                <m:sup>
                  <m:r>
                    <m:t>l</m:t>
                  </m:r>
                </m:sup>
              </m:sSubSup>
              <m:r>
                <m:rPr>
                  <m:sty m:val="p"/>
                </m:rPr>
                <m:t>+</m:t>
              </m:r>
              <m:r>
                <m:rPr>
                  <m:sty m:val="bi"/>
                </m:rPr>
                <m:t>O</m:t>
              </m:r>
            </m:e>
          </m:d>
          <m:r>
            <m:rPr>
              <m:sty m:val="p"/>
            </m:rPr>
            <m:t>⊙</m:t>
          </m:r>
          <m:r>
            <m:rPr>
              <m:sty m:val="p"/>
            </m:rPr>
            <m:t>(</m:t>
          </m:r>
          <m:r>
            <m:t>1</m:t>
          </m:r>
          <m:r>
            <m:rPr>
              <m:sty m:val="p"/>
            </m:rPr>
            <m:t>+</m:t>
          </m:r>
          <m:sSub>
            <m:e>
              <m:r>
                <m:rPr>
                  <m:sty m:val="bi"/>
                </m:rPr>
                <m:t>W</m:t>
              </m:r>
            </m:e>
            <m:sub>
              <m:r>
                <m:rPr>
                  <m:nor/>
                  <m:sty m:val="p"/>
                </m:rPr>
                <m:t>gate</m:t>
              </m:r>
            </m:sub>
          </m:sSub>
          <m:r>
            <m:rPr>
              <m:sty m:val="p"/>
            </m:rPr>
            <m:t>)</m:t>
          </m:r>
        </m:oMath>
      </m:oMathPara>
    </w:p>
    <w:p>
      <w:pPr>
        <w:pStyle w:val="FirstParagraph"/>
        <w:spacing w:after="0" w:line="240" w:lineRule="auto"/>
      </w:pPr>
      <w:r>
        <w:rPr>
          <w:rFonts w:ascii="Times New Roman" w:hAnsi="Times New Roman" w:eastAsia="Times New Roman"/>
          <w:sz w:val="20"/>
        </w:rPr>
        <w:t xml:space="preserve">This dual mechanism allows broad macro-topographic routing via cross-attention alongside sharp per-pixel edge modulation via spatial gating.</w:t>
      </w:r>
    </w:p>
    <w:bookmarkEnd w:id="21"/>
    <w:bookmarkEnd w:id="22"/>
    <w:bookmarkStart w:id="23" w:name="heuristic-geomorphic-slope-prior-loss"/>
    <w:p>
      <w:pPr>
        <w:pStyle w:val="Heading2"/>
        <w:spacing w:after="0" w:line="240" w:lineRule="auto"/>
      </w:pPr>
      <w:r>
        <w:rPr>
          <w:rFonts w:ascii="Times New Roman" w:hAnsi="Times New Roman" w:eastAsia="Times New Roman"/>
          <w:sz w:val="20"/>
        </w:rPr>
        <w:t xml:space="preserve">Heuristic Geomorphic Slope-Prior Loss</w:t>
      </w:r>
    </w:p>
    <w:p>
      <w:pPr>
        <w:pStyle w:val="FirstParagraph"/>
        <w:spacing w:after="0" w:line="240" w:lineRule="auto"/>
      </w:pPr>
      <w:r>
        <w:rPr>
          <w:rFonts w:ascii="Times New Roman" w:hAnsi="Times New Roman" w:eastAsia="Times New Roman"/>
          <w:sz w:val="20"/>
        </w:rPr>
        <w:t xml:space="preserve">Standard semantic segmentation losses do not encode a slope-dependent prior. We therefore tested a heuristic regularizer that discourages probability mass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terrain ranges expected to contain fewer debris pixels on average. These ranges are not physically impossible: runout deposits and mapping/geolocation effects place genuine positive labels inside the penalty mask.</w:t>
      </w:r>
    </w:p>
    <w:p>
      <w:pPr>
        <w:pStyle w:val="BodyText"/>
        <w:spacing w:after="0" w:line="240" w:lineRule="auto"/>
      </w:pPr>
      <w:r>
        <w:rPr>
          <w:rFonts w:ascii="Times New Roman" w:hAnsi="Times New Roman" w:eastAsia="Times New Roman"/>
          <w:sz w:val="20"/>
        </w:rPr>
        <w:t xml:space="preserve">The resulting</w:t>
      </w:r>
      <w:r>
        <w:rPr>
          <w:rFonts w:ascii="Times New Roman" w:hAnsi="Times New Roman" w:eastAsia="Times New Roman"/>
          <w:sz w:val="20"/>
        </w:rPr>
        <w:t xml:space="preserve"> </w:t>
      </w:r>
      <w:r>
        <w:rPr>
          <w:rFonts w:ascii="Times New Roman" w:hAnsi="Times New Roman" w:eastAsia="Times New Roman"/>
          <w:b/>
          <w:bCs/>
          <w:sz w:val="20"/>
        </w:rPr>
        <w:t xml:space="preserve">Geomorphically Bounded Loss (Geo-Loss)</w:t>
      </w:r>
      <w:r>
        <w:rPr>
          <w:rFonts w:ascii="Times New Roman" w:hAnsi="Times New Roman" w:eastAsia="Times New Roman"/>
          <w:sz w:val="20"/>
        </w:rPr>
        <w:t xml:space="preserve"> </w:t>
      </w:r>
      <w:r>
        <w:rPr>
          <w:rFonts w:ascii="Times New Roman" w:hAnsi="Times New Roman" w:eastAsia="Times New Roman"/>
          <w:sz w:val="20"/>
        </w:rPr>
        <w:t xml:space="preserve">is:</w:t>
      </w:r>
    </w:p>
    <w:p>
      <w:pPr>
        <w:pStyle w:val="BodyText"/>
        <w:spacing w:after="0" w:line="240" w:lineRule="auto"/>
      </w:pPr>
      <m:oMathPara>
        <m:oMathParaPr>
          <m:jc m:val="center"/>
        </m:oMathParaPr>
        <m:oMath>
          <m:r>
            <m:rPr>
              <m:scr m:val="script"/>
              <m:sty m:val="p"/>
            </m:rPr>
            <m:t>L</m:t>
          </m:r>
          <m:r>
            <m:rPr>
              <m:sty m:val="p"/>
            </m:rPr>
            <m:t>=</m:t>
          </m:r>
          <m:sSub>
            <m:e>
              <m:r>
                <m:rPr>
                  <m:scr m:val="script"/>
                  <m:sty m:val="p"/>
                </m:rPr>
                <m:t>L</m:t>
              </m:r>
            </m:e>
            <m:sub>
              <m:r>
                <m:rPr>
                  <m:nor/>
                  <m:sty m:val="p"/>
                </m:rPr>
                <m:t>BCE</m:t>
              </m:r>
            </m:sub>
          </m:sSub>
          <m:r>
            <m:rPr>
              <m:sty m:val="p"/>
            </m:rPr>
            <m:t>+</m:t>
          </m:r>
          <m:sSub>
            <m:e>
              <m:r>
                <m:t>λ</m:t>
              </m:r>
            </m:e>
            <m:sub>
              <m:r>
                <m:rPr>
                  <m:nor/>
                  <m:sty m:val="p"/>
                </m:rPr>
                <m:t>dice</m:t>
              </m:r>
            </m:sub>
          </m:sSub>
          <m:sSub>
            <m:e>
              <m:r>
                <m:rPr>
                  <m:scr m:val="script"/>
                  <m:sty m:val="p"/>
                </m:rPr>
                <m:t>L</m:t>
              </m:r>
            </m:e>
            <m:sub>
              <m:r>
                <m:rPr>
                  <m:nor/>
                  <m:sty m:val="p"/>
                </m:rPr>
                <m:t>Dice</m:t>
              </m:r>
            </m:sub>
          </m:sSub>
          <m:r>
            <m:rPr>
              <m:sty m:val="p"/>
            </m:rPr>
            <m:t>+</m:t>
          </m:r>
          <m:sSub>
            <m:e>
              <m:r>
                <m:t>λ</m:t>
              </m:r>
            </m:e>
            <m:sub>
              <m:r>
                <m:rPr>
                  <m:nor/>
                  <m:sty m:val="p"/>
                </m:rPr>
                <m:t>geom</m:t>
              </m:r>
            </m:sub>
          </m:sSub>
          <m:sSub>
            <m:e>
              <m:r>
                <m:rPr>
                  <m:scr m:val="script"/>
                  <m:sty m:val="p"/>
                </m:rPr>
                <m:t>L</m:t>
              </m:r>
            </m:e>
            <m:sub>
              <m:r>
                <m:rPr>
                  <m:nor/>
                  <m:sty m:val="p"/>
                </m:rPr>
                <m:t>geom</m:t>
              </m:r>
            </m:sub>
          </m:sSub>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rPr>
                <m:scr m:val="script"/>
                <m:sty m:val="p"/>
              </m:rPr>
              <m:t>L</m:t>
            </m:r>
          </m:e>
          <m:sub>
            <m:r>
              <m:rPr>
                <m:nor/>
                <m:sty m:val="p"/>
              </m:rPr>
              <m:t>BCE</m:t>
            </m:r>
          </m:sub>
        </m:sSub>
      </m:oMath>
      <w:r>
        <w:rPr>
          <w:rFonts w:ascii="Times New Roman" w:hAnsi="Times New Roman" w:eastAsia="Times New Roman"/>
          <w:sz w:val="20"/>
        </w:rPr>
        <w:t xml:space="preserve"> </w:t>
      </w:r>
      <w:r>
        <w:rPr>
          <w:rFonts w:ascii="Times New Roman" w:hAnsi="Times New Roman" w:eastAsia="Times New Roman"/>
          <w:sz w:val="20"/>
        </w:rPr>
        <w:t xml:space="preserve">is positive-weighted binary cross-entropy (with positive weight</w:t>
      </w:r>
      <w:r>
        <w:rPr>
          <w:rFonts w:ascii="Times New Roman" w:hAnsi="Times New Roman" w:eastAsia="Times New Roman"/>
          <w:sz w:val="20"/>
        </w:rPr>
        <w:t xml:space="preserve"> </w:t>
      </w:r>
      <m:oMath>
        <m:sSub>
          <m:e>
            <m:r>
              <m:t>w</m:t>
            </m:r>
          </m:e>
          <m:sub>
            <m:r>
              <m:rPr>
                <m:nor/>
                <m:sty m:val="p"/>
              </m:rPr>
              <m:t>pos</m:t>
            </m:r>
          </m:sub>
        </m:sSub>
        <m:r>
          <m:rPr>
            <m:sty m:val="p"/>
          </m:rPr>
          <m:t>=</m:t>
        </m:r>
        <m:r>
          <m:t>3.0</m:t>
        </m:r>
      </m:oMath>
      <w:r>
        <w:rPr>
          <w:rFonts w:ascii="Times New Roman" w:hAnsi="Times New Roman" w:eastAsia="Times New Roman"/>
          <w:sz w:val="20"/>
        </w:rPr>
        <w:t xml:space="preserve"> </w:t>
      </w:r>
      <w:r>
        <w:rPr>
          <w:rFonts w:ascii="Times New Roman" w:hAnsi="Times New Roman" w:eastAsia="Times New Roman"/>
          <w:sz w:val="20"/>
        </w:rPr>
        <w:t xml:space="preserve">to combat the extreme class imbalance of sparse avalanche debris):</w:t>
      </w:r>
    </w:p>
    <w:p>
      <w:pPr>
        <w:pStyle w:val="BodyText"/>
        <w:spacing w:after="0" w:line="240" w:lineRule="auto"/>
      </w:pPr>
      <m:oMathPara>
        <m:oMathParaPr>
          <m:jc m:val="center"/>
        </m:oMathParaPr>
        <m:oMath>
          <m:sSub>
            <m:e>
              <m:r>
                <m:rPr>
                  <m:scr m:val="script"/>
                  <m:sty m:val="p"/>
                </m:rPr>
                <m:t>L</m:t>
              </m:r>
            </m:e>
            <m:sub>
              <m:r>
                <m:rPr>
                  <m:nor/>
                  <m:sty m:val="p"/>
                </m:rPr>
                <m:t>BCE</m:t>
              </m:r>
            </m:sub>
          </m:sSub>
          <m:r>
            <m:rPr>
              <m:sty m:val="p"/>
            </m:rPr>
            <m:t>=</m:t>
          </m:r>
          <m:r>
            <m:rPr>
              <m:sty m:val="p"/>
            </m:rPr>
            <m:t>−</m:t>
          </m:r>
          <m:f>
            <m:fPr>
              <m:type m:val="bar"/>
            </m:fPr>
            <m:num>
              <m:r>
                <m:t>1</m:t>
              </m:r>
            </m:num>
            <m:den>
              <m:r>
                <m:rPr>
                  <m:sty m:val="p"/>
                </m:rPr>
                <m:t>|</m:t>
              </m:r>
              <m:r>
                <m:rPr>
                  <m:sty m:val="p"/>
                </m:rPr>
                <m:t>Ω</m:t>
              </m:r>
              <m:r>
                <m:rPr>
                  <m:sty m:val="p"/>
                </m:rPr>
                <m:t>|</m:t>
              </m:r>
            </m:den>
          </m:f>
          <m:nary>
            <m:naryPr>
              <m:chr m:val="∑"/>
              <m:limLoc m:val="undOvr"/>
              <m:subHide m:val="off"/>
              <m:supHide m:val="on"/>
            </m:naryPr>
            <m:sub>
              <m:r>
                <m:t>i</m:t>
              </m:r>
              <m:r>
                <m:rPr>
                  <m:sty m:val="p"/>
                </m:rPr>
                <m:t>∈</m:t>
              </m:r>
              <m:r>
                <m:rPr>
                  <m:sty m:val="p"/>
                </m:rPr>
                <m:t>Ω</m:t>
              </m:r>
            </m:sub>
            <m:sup>
              <m:r>
                <m:t>​</m:t>
              </m:r>
            </m:sup>
            <m:e>
              <m:d>
                <m:dPr>
                  <m:begChr m:val="["/>
                  <m:sepChr m:val=""/>
                  <m:endChr m:val="]"/>
                  <m:grow/>
                </m:dPr>
                <m:e>
                  <m:sSub>
                    <m:e>
                      <m:r>
                        <m:t>w</m:t>
                      </m:r>
                    </m:e>
                    <m:sub>
                      <m:r>
                        <m:rPr>
                          <m:nor/>
                          <m:sty m:val="p"/>
                        </m:rPr>
                        <m:t>pos</m:t>
                      </m:r>
                    </m:sub>
                  </m:sSub>
                  <m:sSub>
                    <m:e>
                      <m:r>
                        <m:t>y</m:t>
                      </m:r>
                    </m:e>
                    <m:sub>
                      <m:r>
                        <m:t>i</m:t>
                      </m:r>
                    </m:sub>
                  </m:sSub>
                  <m:r>
                    <m:rPr>
                      <m:sty m:val="p"/>
                    </m:rPr>
                    <m:t>log</m:t>
                  </m:r>
                  <m:sSub>
                    <m:e>
                      <m:acc>
                        <m:accPr>
                          <m:chr m:val="̂"/>
                        </m:accPr>
                        <m:e>
                          <m:r>
                            <m:t>y</m:t>
                          </m:r>
                        </m:e>
                      </m:acc>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acc>
                        <m:accPr>
                          <m:chr m:val="̂"/>
                        </m:accPr>
                        <m:e>
                          <m:r>
                            <m:t>y</m:t>
                          </m:r>
                        </m:e>
                      </m:acc>
                    </m:e>
                    <m:sub>
                      <m:r>
                        <m:t>i</m:t>
                      </m:r>
                    </m:sub>
                  </m:sSub>
                  <m:r>
                    <m:rPr>
                      <m:sty m:val="p"/>
                    </m:rPr>
                    <m:t>)</m:t>
                  </m:r>
                </m:e>
              </m:d>
            </m:e>
          </m:nary>
        </m:oMath>
      </m:oMathPara>
    </w:p>
    <w:p>
      <w:pPr>
        <w:pStyle w:val="FirstParagraph"/>
        <w:spacing w:after="0" w:line="240" w:lineRule="auto"/>
      </w:pPr>
      <w:r>
        <w:rPr>
          <w:rFonts w:ascii="Times New Roman" w:hAnsi="Times New Roman" w:eastAsia="Times New Roman"/>
          <w:sz w:val="20"/>
        </w:rPr>
        <w:t xml:space="preserve">and</w:t>
      </w:r>
      <w:r>
        <w:rPr>
          <w:rFonts w:ascii="Times New Roman" w:hAnsi="Times New Roman" w:eastAsia="Times New Roman"/>
          <w:sz w:val="20"/>
        </w:rPr>
        <w:t xml:space="preserve"> </w:t>
      </w:r>
      <m:oMath>
        <m:sSub>
          <m:e>
            <m:r>
              <m:rPr>
                <m:scr m:val="script"/>
                <m:sty m:val="p"/>
              </m:rPr>
              <m:t>L</m:t>
            </m:r>
          </m:e>
          <m:sub>
            <m:r>
              <m:rPr>
                <m:nor/>
                <m:sty m:val="p"/>
              </m:rPr>
              <m:t>Dice</m:t>
            </m:r>
          </m:sub>
        </m:sSub>
      </m:oMath>
      <w:r>
        <w:rPr>
          <w:rFonts w:ascii="Times New Roman" w:hAnsi="Times New Roman" w:eastAsia="Times New Roman"/>
          <w:sz w:val="20"/>
        </w:rPr>
        <w:t xml:space="preserve"> </w:t>
      </w:r>
      <w:r>
        <w:rPr>
          <w:rFonts w:ascii="Times New Roman" w:hAnsi="Times New Roman" w:eastAsia="Times New Roman"/>
          <w:sz w:val="20"/>
        </w:rPr>
        <w:t xml:space="preserve">is the soft Dice loss:</w:t>
      </w:r>
    </w:p>
    <w:p>
      <w:pPr>
        <w:pStyle w:val="BodyText"/>
        <w:spacing w:after="0" w:line="240" w:lineRule="auto"/>
      </w:pPr>
      <m:oMathPara>
        <m:oMathParaPr>
          <m:jc m:val="center"/>
        </m:oMathParaPr>
        <m:oMath>
          <m:sSub>
            <m:e>
              <m:r>
                <m:rPr>
                  <m:scr m:val="script"/>
                  <m:sty m:val="p"/>
                </m:rPr>
                <m:t>L</m:t>
              </m:r>
            </m:e>
            <m:sub>
              <m:r>
                <m:rPr>
                  <m:nor/>
                  <m:sty m:val="p"/>
                </m:rPr>
                <m:t>Dice</m:t>
              </m:r>
            </m:sub>
          </m:sSub>
          <m:r>
            <m:rPr>
              <m:sty m:val="p"/>
            </m:rPr>
            <m:t>=</m:t>
          </m:r>
          <m:r>
            <m:t>1</m:t>
          </m:r>
          <m:r>
            <m:rPr>
              <m:sty m:val="p"/>
            </m:rPr>
            <m:t>−</m:t>
          </m:r>
          <m:f>
            <m:fPr>
              <m:type m:val="bar"/>
            </m:fPr>
            <m:num>
              <m:r>
                <m:t>2</m:t>
              </m:r>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sSub>
                <m:e>
                  <m:r>
                    <m:t>y</m:t>
                  </m:r>
                </m:e>
                <m:sub>
                  <m:r>
                    <m:t>i</m:t>
                  </m:r>
                </m:sub>
              </m:sSub>
              <m:r>
                <m:rPr>
                  <m:sty m:val="p"/>
                </m:rPr>
                <m:t>+</m:t>
              </m:r>
              <m:r>
                <m:t>ϵ</m:t>
              </m:r>
            </m:num>
            <m:den>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r>
                <m:rPr>
                  <m:sty m:val="p"/>
                </m:rPr>
                <m:t>+</m:t>
              </m:r>
              <m:nary>
                <m:naryPr>
                  <m:chr m:val="∑"/>
                  <m:limLoc m:val="undOvr"/>
                  <m:subHide m:val="off"/>
                  <m:supHide m:val="on"/>
                </m:naryPr>
                <m:sub>
                  <m:r>
                    <m:t>i</m:t>
                  </m:r>
                  <m:r>
                    <m:rPr>
                      <m:sty m:val="p"/>
                    </m:rPr>
                    <m:t>∈</m:t>
                  </m:r>
                  <m:r>
                    <m:rPr>
                      <m:sty m:val="p"/>
                    </m:rPr>
                    <m:t>Ω</m:t>
                  </m:r>
                </m:sub>
                <m:sup>
                  <m:r>
                    <m:t>​</m:t>
                  </m:r>
                </m:sup>
                <m:e>
                  <m:sSub>
                    <m:e>
                      <m:r>
                        <m:t>y</m:t>
                      </m:r>
                    </m:e>
                    <m:sub>
                      <m:r>
                        <m:t>i</m:t>
                      </m:r>
                    </m:sub>
                  </m:sSub>
                </m:e>
              </m:nary>
              <m:r>
                <m:rPr>
                  <m:sty m:val="p"/>
                </m:rPr>
                <m:t>+</m:t>
              </m:r>
              <m:r>
                <m:t>ϵ</m:t>
              </m:r>
            </m:den>
          </m:f>
        </m:oMath>
      </m:oMathPara>
    </w:p>
    <w:p>
      <w:pPr>
        <w:pStyle w:val="FirstParagraph"/>
        <w:spacing w:after="0" w:line="240" w:lineRule="auto"/>
      </w:pPr>
      <w:r>
        <w:rPr>
          <w:rFonts w:ascii="Times New Roman" w:hAnsi="Times New Roman" w:eastAsia="Times New Roman"/>
          <w:sz w:val="20"/>
        </w:rPr>
        <w:t xml:space="preserve">The geomorphic penalty term</w:t>
      </w:r>
      <w:r>
        <w:rPr>
          <w:rFonts w:ascii="Times New Roman" w:hAnsi="Times New Roman" w:eastAsia="Times New Roman"/>
          <w:sz w:val="20"/>
        </w:rPr>
        <w:t xml:space="preserve"> </w:t>
      </w:r>
      <m:oMath>
        <m:sSub>
          <m:e>
            <m:r>
              <m:rPr>
                <m:scr m:val="script"/>
                <m:sty m:val="p"/>
              </m:rPr>
              <m:t>L</m:t>
            </m:r>
          </m:e>
          <m:sub>
            <m:r>
              <m:rPr>
                <m:nor/>
                <m:sty m:val="p"/>
              </m:rPr>
              <m:t>geom</m:t>
            </m:r>
          </m:sub>
        </m:sSub>
      </m:oMath>
      <w:r>
        <w:rPr>
          <w:rFonts w:ascii="Times New Roman" w:hAnsi="Times New Roman" w:eastAsia="Times New Roman"/>
          <w:sz w:val="20"/>
        </w:rPr>
        <w:t xml:space="preserve"> </w:t>
      </w:r>
      <w:r>
        <w:rPr>
          <w:rFonts w:ascii="Times New Roman" w:hAnsi="Times New Roman" w:eastAsia="Times New Roman"/>
          <w:sz w:val="20"/>
        </w:rPr>
        <w:t xml:space="preserve">is defined as:</w:t>
      </w:r>
    </w:p>
    <w:p>
      <w:pPr>
        <w:pStyle w:val="BodyText"/>
        <w:spacing w:after="0" w:line="240" w:lineRule="auto"/>
      </w:pPr>
      <m:oMathPara>
        <m:oMathParaPr>
          <m:jc m:val="center"/>
        </m:oMathParaPr>
        <m:oMath>
          <m:sSub>
            <m:e>
              <m:r>
                <m:rPr>
                  <m:scr m:val="script"/>
                  <m:sty m:val="p"/>
                </m:rPr>
                <m:t>L</m:t>
              </m:r>
            </m:e>
            <m:sub>
              <m:r>
                <m:rPr>
                  <m:nor/>
                  <m:sty m:val="p"/>
                </m:rPr>
                <m:t>geom</m:t>
              </m:r>
            </m:sub>
          </m:sSub>
          <m:r>
            <m:rPr>
              <m:sty m:val="p"/>
            </m:rPr>
            <m:t>=</m:t>
          </m:r>
          <m:f>
            <m:fPr>
              <m:type m:val="bar"/>
            </m:fPr>
            <m:num>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r>
                <m:rPr>
                  <m:sty m:val="p"/>
                </m:rPr>
                <m:t>⋅</m:t>
              </m:r>
              <m:r>
                <m:rPr>
                  <m:scr m:val="double-struck"/>
                  <m:sty m:val="p"/>
                </m:rPr>
                <m:t>I</m:t>
              </m:r>
              <m:r>
                <m:rPr>
                  <m:sty m:val="p"/>
                </m:rPr>
                <m:t>(</m:t>
              </m:r>
              <m:sSub>
                <m:e>
                  <m:r>
                    <m:t>θ</m:t>
                  </m:r>
                </m:e>
                <m:sub>
                  <m:r>
                    <m:t>i</m:t>
                  </m:r>
                </m:sub>
              </m:sSub>
              <m:r>
                <m:rPr>
                  <m:sty m:val="p"/>
                </m:rPr>
                <m:t>&lt;</m:t>
              </m:r>
              <m:sSup>
                <m:e>
                  <m:r>
                    <m:t>5</m:t>
                  </m:r>
                </m:e>
                <m:sup>
                  <m:r>
                    <m:rPr>
                      <m:sty m:val="p"/>
                    </m:rPr>
                    <m:t>∘</m:t>
                  </m:r>
                </m:sup>
              </m:sSup>
              <m:r>
                <m:rPr>
                  <m:sty m:val="p"/>
                </m:rPr>
                <m:t>∨</m:t>
              </m:r>
              <m:sSub>
                <m:e>
                  <m:r>
                    <m:t>θ</m:t>
                  </m:r>
                </m:e>
                <m:sub>
                  <m:r>
                    <m:t>i</m:t>
                  </m:r>
                </m:sub>
              </m:sSub>
              <m:r>
                <m:rPr>
                  <m:sty m:val="p"/>
                </m:rPr>
                <m:t>&gt;</m:t>
              </m:r>
              <m:sSup>
                <m:e>
                  <m:r>
                    <m:t>65</m:t>
                  </m:r>
                </m:e>
                <m:sup>
                  <m:r>
                    <m:rPr>
                      <m:sty m:val="p"/>
                    </m:rPr>
                    <m:t>∘</m:t>
                  </m:r>
                </m:sup>
              </m:sSup>
              <m:r>
                <m:rPr>
                  <m:sty m:val="p"/>
                </m:rPr>
                <m:t>)</m:t>
              </m:r>
            </m:num>
            <m:den>
              <m:nary>
                <m:naryPr>
                  <m:chr m:val="∑"/>
                  <m:limLoc m:val="undOvr"/>
                  <m:subHide m:val="off"/>
                  <m:supHide m:val="on"/>
                </m:naryPr>
                <m:sub>
                  <m:r>
                    <m:t>i</m:t>
                  </m:r>
                  <m:r>
                    <m:rPr>
                      <m:sty m:val="p"/>
                    </m:rPr>
                    <m:t>∈</m:t>
                  </m:r>
                  <m:r>
                    <m:rPr>
                      <m:sty m:val="p"/>
                    </m:rPr>
                    <m:t>Ω</m:t>
                  </m:r>
                </m:sub>
                <m:sup>
                  <m:r>
                    <m:t>​</m:t>
                  </m:r>
                </m:sup>
                <m:e>
                  <m:r>
                    <m:rPr>
                      <m:scr m:val="double-struck"/>
                      <m:sty m:val="p"/>
                    </m:rPr>
                    <m:t>I</m:t>
                  </m:r>
                </m:e>
              </m:nary>
              <m:r>
                <m:rPr>
                  <m:sty m:val="p"/>
                </m:rPr>
                <m:t>(</m:t>
              </m:r>
              <m:sSub>
                <m:e>
                  <m:r>
                    <m:t>θ</m:t>
                  </m:r>
                </m:e>
                <m:sub>
                  <m:r>
                    <m:t>i</m:t>
                  </m:r>
                </m:sub>
              </m:sSub>
              <m:r>
                <m:rPr>
                  <m:sty m:val="p"/>
                </m:rPr>
                <m:t>&lt;</m:t>
              </m:r>
              <m:sSup>
                <m:e>
                  <m:r>
                    <m:t>5</m:t>
                  </m:r>
                </m:e>
                <m:sup>
                  <m:r>
                    <m:rPr>
                      <m:sty m:val="p"/>
                    </m:rPr>
                    <m:t>∘</m:t>
                  </m:r>
                </m:sup>
              </m:sSup>
              <m:r>
                <m:rPr>
                  <m:sty m:val="p"/>
                </m:rPr>
                <m:t>∨</m:t>
              </m:r>
              <m:sSub>
                <m:e>
                  <m:r>
                    <m:t>θ</m:t>
                  </m:r>
                </m:e>
                <m:sub>
                  <m:r>
                    <m:t>i</m:t>
                  </m:r>
                </m:sub>
              </m:sSub>
              <m:r>
                <m:rPr>
                  <m:sty m:val="p"/>
                </m:rPr>
                <m:t>&gt;</m:t>
              </m:r>
              <m:sSup>
                <m:e>
                  <m:r>
                    <m:t>65</m:t>
                  </m:r>
                </m:e>
                <m:sup>
                  <m:r>
                    <m:rPr>
                      <m:sty m:val="p"/>
                    </m:rPr>
                    <m:t>∘</m:t>
                  </m:r>
                </m:sup>
              </m:sSup>
              <m:r>
                <m:rPr>
                  <m:sty m:val="p"/>
                </m:rPr>
                <m:t>)</m:t>
              </m:r>
              <m:r>
                <m:rPr>
                  <m:sty m:val="p"/>
                </m:rPr>
                <m:t>+</m:t>
              </m:r>
              <m:r>
                <m:t>ϵ</m:t>
              </m:r>
            </m:den>
          </m:f>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acc>
              <m:accPr>
                <m:chr m:val="̂"/>
              </m:accPr>
              <m:e>
                <m:r>
                  <m:t>y</m:t>
                </m:r>
              </m:e>
            </m:acc>
          </m:e>
          <m:sub>
            <m:r>
              <m:t>i</m:t>
            </m:r>
          </m:sub>
        </m:sSub>
        <m:r>
          <m:rPr>
            <m:sty m:val="p"/>
          </m:rPr>
          <m:t>=</m:t>
        </m:r>
        <m:r>
          <m:t>σ</m:t>
        </m:r>
        <m:r>
          <m:rPr>
            <m:sty m:val="p"/>
          </m:rPr>
          <m:t>(</m:t>
        </m:r>
        <m:sSub>
          <m:e>
            <m:r>
              <m:t>z</m:t>
            </m:r>
          </m:e>
          <m:sub>
            <m:r>
              <m:t>i</m:t>
            </m:r>
          </m:sub>
        </m:sSub>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is the predicted probability,</w:t>
      </w:r>
      <w:r>
        <w:rPr>
          <w:rFonts w:ascii="Times New Roman" w:hAnsi="Times New Roman" w:eastAsia="Times New Roman"/>
          <w:sz w:val="20"/>
        </w:rPr>
        <w:t xml:space="preserve"> </w:t>
      </w:r>
      <m:oMath>
        <m:sSub>
          <m:e>
            <m:r>
              <m:t>θ</m:t>
            </m:r>
          </m:e>
          <m:sub>
            <m:r>
              <m:t>i</m:t>
            </m:r>
          </m:sub>
        </m:sSub>
      </m:oMath>
      <w:r>
        <w:rPr>
          <w:rFonts w:ascii="Times New Roman" w:hAnsi="Times New Roman" w:eastAsia="Times New Roman"/>
          <w:sz w:val="20"/>
        </w:rPr>
        <w:t xml:space="preserve"> </w:t>
      </w:r>
      <w:r>
        <w:rPr>
          <w:rFonts w:ascii="Times New Roman" w:hAnsi="Times New Roman" w:eastAsia="Times New Roman"/>
          <w:sz w:val="20"/>
        </w:rPr>
        <w:t xml:space="preserve">is terrain slope in degrees, and</w:t>
      </w:r>
      <w:r>
        <w:rPr>
          <w:rFonts w:ascii="Times New Roman" w:hAnsi="Times New Roman" w:eastAsia="Times New Roman"/>
          <w:sz w:val="20"/>
        </w:rPr>
        <w:t xml:space="preserve"> </w:t>
      </w:r>
      <m:oMath>
        <m:r>
          <m:rPr>
            <m:scr m:val="double-struck"/>
            <m:sty m:val="p"/>
          </m:rPr>
          <m:t>I</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is an indicator function. With</w:t>
      </w:r>
      <w:r>
        <w:rPr>
          <w:rFonts w:ascii="Times New Roman" w:hAnsi="Times New Roman" w:eastAsia="Times New Roman"/>
          <w:sz w:val="20"/>
        </w:rPr>
        <w:t xml:space="preserve"> </w:t>
      </w:r>
      <m:oMath>
        <m:sSub>
          <m:e>
            <m:r>
              <m:t>λ</m:t>
            </m:r>
          </m:e>
          <m:sub>
            <m:r>
              <m:rPr>
                <m:nor/>
                <m:sty m:val="p"/>
              </m:rPr>
              <m:t>geom</m:t>
            </m:r>
          </m:sub>
        </m:sSub>
        <m:r>
          <m:rPr>
            <m:sty m:val="p"/>
          </m:rPr>
          <m:t>=</m:t>
        </m:r>
        <m:r>
          <m:t>0.5</m:t>
        </m:r>
      </m:oMath>
      <w:r>
        <w:rPr>
          <w:rFonts w:ascii="Times New Roman" w:hAnsi="Times New Roman" w:eastAsia="Times New Roman"/>
          <w:sz w:val="20"/>
        </w:rPr>
        <w:t xml:space="preserve">, predictions inside the slope-prior mask receive a direct penalty regardless of the target label. BCE and Dice therefore compete with this term on positive pixels inside the mask; the construct is evaluated empirically as a heuristic prior rather than a physical-validity constraint.</w:t>
      </w:r>
    </w:p>
    <w:bookmarkEnd w:id="23"/>
    <w:bookmarkStart w:id="24" w:name="X7bf427dcb5b5dffec4975d4220d1a0da5b9d88f"/>
    <w:p>
      <w:pPr>
        <w:pStyle w:val="Heading2"/>
        <w:spacing w:after="0" w:line="240" w:lineRule="auto"/>
      </w:pPr>
      <w:r>
        <w:rPr>
          <w:rFonts w:ascii="Times New Roman" w:hAnsi="Times New Roman" w:eastAsia="Times New Roman"/>
          <w:sz w:val="20"/>
        </w:rPr>
        <w:t xml:space="preserve">Training Protocol and Optimization Details</w:t>
      </w:r>
    </w:p>
    <w:p>
      <w:pPr>
        <w:pStyle w:val="FirstParagraph"/>
        <w:spacing w:after="0" w:line="240" w:lineRule="auto"/>
      </w:pPr>
      <w:r>
        <w:rPr>
          <w:rFonts w:ascii="Times New Roman" w:hAnsi="Times New Roman" w:eastAsia="Times New Roman"/>
          <w:sz w:val="20"/>
        </w:rPr>
        <w:t xml:space="preserve">All models are implemented in PyTorch and trained on an Apple Silicon unified memory GPU environment using Metal Performance Shaders (MPS). Patch-based training utilizes</w:t>
      </w:r>
      <w:r>
        <w:rPr>
          <w:rFonts w:ascii="Times New Roman" w:hAnsi="Times New Roman" w:eastAsia="Times New Roman"/>
          <w:sz w:val="20"/>
        </w:rPr>
        <w:t xml:space="preserve"> </w:t>
      </w:r>
      <m:oMath>
        <m:r>
          <m:t>128</m:t>
        </m:r>
        <m:r>
          <m:rPr>
            <m:sty m:val="p"/>
          </m:rPr>
          <m:t>×</m:t>
        </m:r>
        <m:r>
          <m:t>128</m:t>
        </m:r>
      </m:oMath>
      <w:r>
        <w:rPr>
          <w:rFonts w:ascii="Times New Roman" w:hAnsi="Times New Roman" w:eastAsia="Times New Roman"/>
          <w:sz w:val="20"/>
        </w:rPr>
        <w:t xml:space="preserve"> </w:t>
      </w:r>
      <w:r>
        <w:rPr>
          <w:rFonts w:ascii="Times New Roman" w:hAnsi="Times New Roman" w:eastAsia="Times New Roman"/>
          <w:sz w:val="20"/>
        </w:rPr>
        <w:t xml:space="preserve">pixel spatial windows extracted with a 64-pixel stride. Training patches are balanced with a 1:1 ratio between positive patches (containing</w:t>
      </w:r>
      <w:r>
        <w:rPr>
          <w:rFonts w:ascii="Times New Roman" w:hAnsi="Times New Roman" w:eastAsia="Times New Roman"/>
          <w:sz w:val="20"/>
        </w:rPr>
        <w:t xml:space="preserve"> </w:t>
      </w:r>
      <m:oMath>
        <m:r>
          <m:rPr>
            <m:sty m:val="p"/>
          </m:rPr>
          <m:t>≥</m:t>
        </m:r>
        <m:r>
          <m:t>5</m:t>
        </m:r>
      </m:oMath>
      <w:r>
        <w:rPr>
          <w:rFonts w:ascii="Times New Roman" w:hAnsi="Times New Roman" w:eastAsia="Times New Roman"/>
          <w:sz w:val="20"/>
        </w:rPr>
        <w:t xml:space="preserve"> </w:t>
      </w:r>
      <w:r>
        <w:rPr>
          <w:rFonts w:ascii="Times New Roman" w:hAnsi="Times New Roman" w:eastAsia="Times New Roman"/>
          <w:sz w:val="20"/>
        </w:rPr>
        <w:t xml:space="preserve">avalanche debris pixels) and negative background patches, yielding 2,054 training patches per epoch across the three training events (Livigno 2024, Livigno Jan 2025, Nuuk 2016). Sentinel-1 ascending acquisitions feature a canonical nominal look azimuth of</w:t>
      </w:r>
      <w:r>
        <w:rPr>
          <w:rFonts w:ascii="Times New Roman" w:hAnsi="Times New Roman" w:eastAsia="Times New Roman"/>
          <w:sz w:val="20"/>
        </w:rPr>
        <w:t xml:space="preserve"> </w:t>
      </w:r>
      <m:oMath>
        <m:sSub>
          <m:e>
            <m:r>
              <m:t>ϕ</m:t>
            </m:r>
          </m:e>
          <m:sub>
            <m:r>
              <m:rPr>
                <m:nor/>
                <m:sty m:val="p"/>
              </m:rPr>
              <m:t>look</m:t>
            </m:r>
          </m:sub>
        </m:sSub>
        <m:r>
          <m:rPr>
            <m:sty m:val="p"/>
          </m:rPr>
          <m:t>≈</m:t>
        </m:r>
        <m:sSup>
          <m:e>
            <m:r>
              <m:t>78</m:t>
            </m:r>
          </m:e>
          <m:sup>
            <m:r>
              <m:rPr>
                <m:sty m:val="p"/>
              </m:rPr>
              <m:t>∘</m:t>
            </m:r>
          </m:sup>
        </m:sSup>
      </m:oMath>
      <w:r>
        <w:rPr>
          <w:rFonts w:ascii="Times New Roman" w:hAnsi="Times New Roman" w:eastAsia="Times New Roman"/>
          <w:sz w:val="20"/>
        </w:rPr>
        <w:t xml:space="preserve">, which defines the aspect-look alignment coordinate</w:t>
      </w:r>
      <w:r>
        <w:rPr>
          <w:rFonts w:ascii="Times New Roman" w:hAnsi="Times New Roman" w:eastAsia="Times New Roman"/>
          <w:sz w:val="20"/>
        </w:rPr>
        <w:t xml:space="preserve"> </w:t>
      </w:r>
      <m:oMath>
        <m:sSub>
          <m:e>
            <m:r>
              <m:t>θ</m:t>
            </m:r>
          </m:e>
          <m:sub>
            <m:r>
              <m:rPr>
                <m:nor/>
                <m:sty m:val="p"/>
              </m:rPr>
              <m:t>align</m:t>
            </m:r>
          </m:sub>
        </m:sSub>
        <m:r>
          <m:rPr>
            <m:sty m:val="p"/>
          </m:rPr>
          <m:t>=</m:t>
        </m:r>
        <m:r>
          <m:rPr>
            <m:sty m:val="p"/>
          </m:rPr>
          <m:t>cos</m:t>
        </m:r>
        <m:r>
          <m:rPr>
            <m:sty m:val="p"/>
          </m:rPr>
          <m:t>(</m:t>
        </m:r>
        <m:r>
          <m:t>α</m:t>
        </m:r>
        <m:r>
          <m:rPr>
            <m:sty m:val="p"/>
          </m:rPr>
          <m:t>−</m:t>
        </m:r>
        <m:sSup>
          <m:e>
            <m:r>
              <m:t>78</m:t>
            </m:r>
          </m:e>
          <m:sup>
            <m:r>
              <m:rPr>
                <m:sty m:val="p"/>
              </m:rPr>
              <m:t>∘</m:t>
            </m:r>
          </m:sup>
        </m:sSup>
        <m:r>
          <m:rPr>
            <m:sty m:val="p"/>
          </m:rPr>
          <m:t>)</m:t>
        </m:r>
      </m:oMath>
      <w:r>
        <w:rPr>
          <w:rFonts w:ascii="Times New Roman" w:hAnsi="Times New Roman" w:eastAsia="Times New Roman"/>
          <w:sz w:val="20"/>
        </w:rPr>
        <w:t xml:space="preserve">. The executed checkpoint-era augmentation applies random horizontal reflections (negating aspect sine), vertical reflections (negating aspect cosine), and random orthogonal rotations to all spatial arrays; the precomputed orbital look-alignment channel is spatially transformed but not directionally recomputed. This convention exactly identifies the released training path, but it is not a fully rotation/reflection-equivariant transformation of the directional manifold. We therefore interpret the directional-channel findings as empirical sensitivity results rather than proof of an equivariant physical mechanism.</w:t>
      </w:r>
    </w:p>
    <w:p>
      <w:pPr>
        <w:pStyle w:val="BodyText"/>
        <w:spacing w:after="0" w:line="240" w:lineRule="auto"/>
      </w:pPr>
      <w:r>
        <w:rPr>
          <w:rFonts w:ascii="Times New Roman" w:hAnsi="Times New Roman" w:eastAsia="Times New Roman"/>
          <w:sz w:val="20"/>
        </w:rPr>
        <w:t xml:space="preserve">To evaluate the specific architectural benefits of multi-scale radar-topographic cross-attention and continuous aspect-look manifold modeling under controlled conditions, all comparative baselines and TopoRadar-Net variants are trained using the identical optimization schedule and loss formulation (Eq. 18), with</w:t>
      </w:r>
      <w:r>
        <w:rPr>
          <w:rFonts w:ascii="Times New Roman" w:hAnsi="Times New Roman" w:eastAsia="Times New Roman"/>
          <w:sz w:val="20"/>
        </w:rPr>
        <w:t xml:space="preserve"> </w:t>
      </w:r>
      <m:oMath>
        <m:sSub>
          <m:e>
            <m:r>
              <m:t>λ</m:t>
            </m:r>
          </m:e>
          <m:sub>
            <m:r>
              <m:rPr>
                <m:nor/>
                <m:sty m:val="p"/>
              </m:rPr>
              <m:t>geom</m:t>
            </m:r>
          </m:sub>
        </m:sSub>
        <m:r>
          <m:rPr>
            <m:sty m:val="p"/>
          </m:rPr>
          <m:t>=</m:t>
        </m:r>
        <m:r>
          <m:t>0.5</m:t>
        </m:r>
      </m:oMath>
      <w:r>
        <w:rPr>
          <w:rFonts w:ascii="Times New Roman" w:hAnsi="Times New Roman" w:eastAsia="Times New Roman"/>
          <w:sz w:val="20"/>
        </w:rPr>
        <w:t xml:space="preserve"> </w:t>
      </w:r>
      <w:r>
        <w:rPr>
          <w:rFonts w:ascii="Times New Roman" w:hAnsi="Times New Roman" w:eastAsia="Times New Roman"/>
          <w:sz w:val="20"/>
        </w:rPr>
        <w:t xml:space="preserve">(except in the No-GeoLoss ablation where</w:t>
      </w:r>
      <w:r>
        <w:rPr>
          <w:rFonts w:ascii="Times New Roman" w:hAnsi="Times New Roman" w:eastAsia="Times New Roman"/>
          <w:sz w:val="20"/>
        </w:rPr>
        <w:t xml:space="preserve"> </w:t>
      </w:r>
      <m:oMath>
        <m:sSub>
          <m:e>
            <m:r>
              <m:t>λ</m:t>
            </m:r>
          </m:e>
          <m:sub>
            <m:r>
              <m:rPr>
                <m:nor/>
                <m:sty m:val="p"/>
              </m:rPr>
              <m:t>geom</m:t>
            </m:r>
          </m:sub>
        </m:sSub>
        <m:r>
          <m:rPr>
            <m:sty m:val="p"/>
          </m:rPr>
          <m:t>=</m:t>
        </m:r>
        <m:r>
          <m:t>0</m:t>
        </m:r>
      </m:oMath>
      <w:r>
        <w:rPr>
          <w:rFonts w:ascii="Times New Roman" w:hAnsi="Times New Roman" w:eastAsia="Times New Roman"/>
          <w:sz w:val="20"/>
        </w:rPr>
        <w:t xml:space="preserve">). Network parameters are optimized using AdamW (</w:t>
      </w:r>
      <m:oMath>
        <m:sSub>
          <m:e>
            <m:r>
              <m:t>β</m:t>
            </m:r>
          </m:e>
          <m:sub>
            <m:r>
              <m:t>1</m:t>
            </m:r>
          </m:sub>
        </m:sSub>
        <m:r>
          <m:rPr>
            <m:sty m:val="p"/>
          </m:rPr>
          <m:t>=</m:t>
        </m:r>
        <m:r>
          <m:t>0.9</m:t>
        </m:r>
        <m:r>
          <m:rPr>
            <m:sty m:val="p"/>
          </m:rPr>
          <m:t>,</m:t>
        </m:r>
        <m:sSub>
          <m:e>
            <m:r>
              <m:t>β</m:t>
            </m:r>
          </m:e>
          <m:sub>
            <m:r>
              <m:t>2</m:t>
            </m:r>
          </m:sub>
        </m:sSub>
        <m:r>
          <m:rPr>
            <m:sty m:val="p"/>
          </m:rPr>
          <m:t>=</m:t>
        </m:r>
        <m:r>
          <m:t>0.999</m:t>
        </m:r>
      </m:oMath>
      <w:r>
        <w:rPr>
          <w:rFonts w:ascii="Times New Roman" w:hAnsi="Times New Roman" w:eastAsia="Times New Roman"/>
          <w:sz w:val="20"/>
        </w:rPr>
        <w:t xml:space="preserve">, weight decay</w:t>
      </w:r>
      <w:r>
        <w:rPr>
          <w:rFonts w:ascii="Times New Roman" w:hAnsi="Times New Roman" w:eastAsia="Times New Roman"/>
          <w:sz w:val="20"/>
        </w:rPr>
        <w:t xml:space="preserve"> </w:t>
      </w:r>
      <m:oMath>
        <m:sSup>
          <m:e>
            <m:r>
              <m:t>10</m:t>
            </m:r>
          </m:e>
          <m:sup>
            <m:r>
              <m:rPr>
                <m:sty m:val="p"/>
              </m:rPr>
              <m:t>−</m:t>
            </m:r>
            <m:r>
              <m:t>4</m:t>
            </m:r>
          </m:sup>
        </m:sSup>
      </m:oMath>
      <w:r>
        <w:rPr>
          <w:rFonts w:ascii="Times New Roman" w:hAnsi="Times New Roman" w:eastAsia="Times New Roman"/>
          <w:sz w:val="20"/>
        </w:rPr>
        <w:t xml:space="preserve">) with an initial learning rate of</w:t>
      </w:r>
      <w:r>
        <w:rPr>
          <w:rFonts w:ascii="Times New Roman" w:hAnsi="Times New Roman" w:eastAsia="Times New Roman"/>
          <w:sz w:val="20"/>
        </w:rPr>
        <w:t xml:space="preserve"> </w:t>
      </w:r>
      <m:oMath>
        <m:r>
          <m:t>2</m:t>
        </m:r>
        <m:r>
          <m:rPr>
            <m:sty m:val="p"/>
          </m:rPr>
          <m:t>×</m:t>
        </m:r>
        <m:sSup>
          <m:e>
            <m:r>
              <m:t>10</m:t>
            </m:r>
          </m:e>
          <m:sup>
            <m:r>
              <m:rPr>
                <m:sty m:val="p"/>
              </m:rPr>
              <m:t>−</m:t>
            </m:r>
            <m:r>
              <m:t>4</m:t>
            </m:r>
          </m:sup>
        </m:sSup>
      </m:oMath>
      <w:r>
        <w:rPr>
          <w:rFonts w:ascii="Times New Roman" w:hAnsi="Times New Roman" w:eastAsia="Times New Roman"/>
          <w:sz w:val="20"/>
        </w:rPr>
        <w:t xml:space="preserve"> </w:t>
      </w:r>
      <w:r>
        <w:rPr>
          <w:rFonts w:ascii="Times New Roman" w:hAnsi="Times New Roman" w:eastAsia="Times New Roman"/>
          <w:sz w:val="20"/>
        </w:rPr>
        <w:t xml:space="preserve">decayed via cosine annealing over 6 epochs (batch size 16) with gradient clipping at norm 5.0. Checkpoint selection is governed by balanced patch-level validation F1-score evaluated at threshold 0.5 on the validation cohort (Livigno March 2025 and Nuuk 2021). Subsequently, the operating decision threshold</w:t>
      </w:r>
      <w:r>
        <w:rPr>
          <w:rFonts w:ascii="Times New Roman" w:hAnsi="Times New Roman" w:eastAsia="Times New Roman"/>
          <w:sz w:val="20"/>
        </w:rPr>
        <w:t xml:space="preserve"> </w:t>
      </w:r>
      <m:oMath>
        <m:r>
          <m:t>τ</m:t>
        </m:r>
      </m:oMath>
      <w:r>
        <w:rPr>
          <w:rFonts w:ascii="Times New Roman" w:hAnsi="Times New Roman" w:eastAsia="Times New Roman"/>
          <w:sz w:val="20"/>
        </w:rPr>
        <w:t xml:space="preserve"> </w:t>
      </w:r>
      <w:r>
        <w:rPr>
          <w:rFonts w:ascii="Times New Roman" w:hAnsi="Times New Roman" w:eastAsia="Times New Roman"/>
          <w:sz w:val="20"/>
        </w:rPr>
        <w:t xml:space="preserve">is calibrated on full-scene validation rasters using a grid search over</w:t>
      </w:r>
      <w:r>
        <w:rPr>
          <w:rFonts w:ascii="Times New Roman" w:hAnsi="Times New Roman" w:eastAsia="Times New Roman"/>
          <w:sz w:val="20"/>
        </w:rPr>
        <w:t xml:space="preserve"> </w:t>
      </w:r>
      <m:oMath>
        <m:r>
          <m:t>τ</m:t>
        </m:r>
        <m:r>
          <m:rPr>
            <m:sty m:val="p"/>
          </m:rPr>
          <m:t>∈</m:t>
        </m:r>
        <m:r>
          <m:rPr>
            <m:sty m:val="p"/>
          </m:rPr>
          <m:t>[</m:t>
        </m:r>
        <m:r>
          <m:t>0.20</m:t>
        </m:r>
        <m:r>
          <m:rPr>
            <m:sty m:val="p"/>
          </m:rPr>
          <m:t>,</m:t>
        </m:r>
        <m:r>
          <m:t>0.80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steps of 0.02, maximizing validation F1. This frozen threshold is then applied directly to full-scene zero-shot inference on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the Pamir Mountains using sliding-window inference with 2D Hanning-window blending (stride 64). Full-scene sliding-window inference over a</w:t>
      </w:r>
      <w:r>
        <w:rPr>
          <w:rFonts w:ascii="Times New Roman" w:hAnsi="Times New Roman" w:eastAsia="Times New Roman"/>
          <w:sz w:val="20"/>
        </w:rPr>
        <w:t xml:space="preserve"> </w:t>
      </w:r>
      <m:oMath>
        <m:r>
          <m:t>2</m:t>
        </m:r>
        <m:r>
          <m:rPr>
            <m:sty m:val="p"/>
          </m:rPr>
          <m:t>,</m:t>
        </m:r>
        <m:r>
          <m:t>500</m:t>
        </m:r>
        <m:r>
          <m:rPr>
            <m:sty m:val="p"/>
          </m:rPr>
          <m:t>×</m:t>
        </m:r>
        <m:r>
          <m:t>2</m:t>
        </m:r>
        <m:r>
          <m:rPr>
            <m:sty m:val="p"/>
          </m:rPr>
          <m:t>,</m:t>
        </m:r>
        <m:r>
          <m:t>000</m:t>
        </m:r>
      </m:oMath>
      <w:r>
        <w:rPr>
          <w:rFonts w:ascii="Times New Roman" w:hAnsi="Times New Roman" w:eastAsia="Times New Roman"/>
          <w:sz w:val="20"/>
        </w:rPr>
        <w:t xml:space="preserve"> </w:t>
      </w:r>
      <w:r>
        <w:rPr>
          <w:rFonts w:ascii="Times New Roman" w:hAnsi="Times New Roman" w:eastAsia="Times New Roman"/>
          <w:sz w:val="20"/>
        </w:rPr>
        <w:t xml:space="preserve">pixel alpine scene (1,200 patches at stride 64) requires approximately</w:t>
      </w:r>
      <w:r>
        <w:rPr>
          <w:rFonts w:ascii="Times New Roman" w:hAnsi="Times New Roman" w:eastAsia="Times New Roman"/>
          <w:sz w:val="20"/>
        </w:rPr>
        <w:t xml:space="preserve"> </w:t>
      </w:r>
      <m:oMath>
        <m:r>
          <m:t>1.80</m:t>
        </m:r>
        <m:r>
          <m:rPr>
            <m:sty m:val="p"/>
          </m:rPr>
          <m:t>±</m:t>
        </m:r>
        <m:r>
          <m:t>0.02</m:t>
        </m:r>
      </m:oMath>
      <w:r>
        <w:rPr>
          <w:rFonts w:ascii="Times New Roman" w:hAnsi="Times New Roman" w:eastAsia="Times New Roman"/>
          <w:sz w:val="20"/>
        </w:rPr>
        <w:t xml:space="preserve"> </w:t>
      </w:r>
      <w:r>
        <w:rPr>
          <w:rFonts w:ascii="Times New Roman" w:hAnsi="Times New Roman" w:eastAsia="Times New Roman"/>
          <w:sz w:val="20"/>
        </w:rPr>
        <w:t xml:space="preserve">seconds on Apple MPS hardware (profiling artifact preserved in</w:t>
      </w:r>
      <w:r>
        <w:rPr>
          <w:rFonts w:ascii="Times New Roman" w:hAnsi="Times New Roman" w:eastAsia="Times New Roman"/>
          <w:sz w:val="20"/>
        </w:rPr>
        <w:t xml:space="preserve"> </w:t>
      </w:r>
      <w:r>
        <w:rPr>
          <w:rStyle w:val="VerbatimChar"/>
          <w:rFonts w:ascii="Times New Roman" w:hAnsi="Times New Roman" w:eastAsia="Times New Roman"/>
          <w:sz w:val="20"/>
        </w:rPr>
        <w:t xml:space="preserve">inference_profile.json</w:t>
      </w:r>
      <w:r>
        <w:rPr>
          <w:rFonts w:ascii="Times New Roman" w:hAnsi="Times New Roman" w:eastAsia="Times New Roman"/>
          <w:sz w:val="20"/>
        </w:rPr>
        <w:t xml:space="preserve">), with TopoRadar-Net maintaining a compact parameter footprint of 3.46M parameters (3,455,729 parameters).</w:t>
      </w:r>
    </w:p>
    <w:p>
      <w:pPr>
        <w:pStyle w:val="BodyText"/>
        <w:spacing w:after="0" w:line="240" w:lineRule="auto"/>
      </w:pPr>
      <w:r>
        <w:rPr>
          <w:rFonts w:ascii="Times New Roman" w:hAnsi="Times New Roman" w:eastAsia="Times New Roman"/>
          <w:sz w:val="20"/>
        </w:rPr>
        <w:t xml:space="preserve">After the primary evaluation, we conducted a labelled post-hoc operational proxy. Predicted components of at least 10 pixels were assigned mean scores; a one-feature Platt model and an F2-optimal alert threshold were fit only on the two validation scenes. Frozen alerts on test scenes were intersected with 30 m buffers around a committed OpenStreetMap major-road snapshot and counted correct at</w:t>
      </w:r>
      <w:r>
        <w:rPr>
          <w:rFonts w:ascii="Times New Roman" w:hAnsi="Times New Roman" w:eastAsia="Times New Roman"/>
          <w:sz w:val="20"/>
        </w:rPr>
        <w:t xml:space="preserve"> </w:t>
      </w:r>
      <m:oMath>
        <m:r>
          <m:rPr>
            <m:sty m:val="p"/>
          </m:rPr>
          <m:t>≥</m:t>
        </m:r>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ground-truth component overlap. Cached end-to-end timing includes raster loading, road rasterization, inference, calibration, component extraction, and intersection, but excludes data acquisition and human review. This exploratory protocol measures calibration and corridor proximity, not dispatch or stakeholder benefit.</w:t>
      </w:r>
    </w:p>
    <w:bookmarkEnd w:id="24"/>
    <w:bookmarkEnd w:id="25"/>
    <w:bookmarkStart w:id="41" w:name="results"/>
    <w:p>
      <w:pPr>
        <w:pStyle w:val="Heading1"/>
        <w:spacing w:after="0" w:line="240" w:lineRule="auto"/>
      </w:pPr>
      <w:r>
        <w:rPr>
          <w:rFonts w:ascii="Times New Roman" w:hAnsi="Times New Roman" w:eastAsia="Times New Roman"/>
          <w:sz w:val="20"/>
        </w:rPr>
        <w:t xml:space="preserve">Results</w:t>
      </w:r>
    </w:p>
    <w:bookmarkStart w:id="29" w:name="Xd1064489271cfd5fe70c7e7f2f5e03d2536fa98"/>
    <w:p>
      <w:pPr>
        <w:pStyle w:val="Heading2"/>
        <w:spacing w:after="0" w:line="240" w:lineRule="auto"/>
      </w:pPr>
      <w:r>
        <w:rPr>
          <w:rFonts w:ascii="Times New Roman" w:hAnsi="Times New Roman" w:eastAsia="Times New Roman"/>
          <w:sz w:val="20"/>
        </w:rPr>
        <w:t xml:space="preserve">Cross-System Performance on Unseen Mountain Systems</w:t>
      </w:r>
    </w:p>
    <w:p>
      <w:pPr>
        <w:pStyle w:val="FirstParagraph"/>
        <w:spacing w:after="0" w:line="240" w:lineRule="auto"/>
      </w:pPr>
      <w:r>
        <w:rPr>
          <w:rFonts w:ascii="Times New Roman" w:hAnsi="Times New Roman" w:eastAsia="Times New Roman"/>
          <w:sz w:val="20"/>
        </w:rPr>
        <w:t xml:space="preserve">To characterize cross-system transfer, all models are trained on European Alps (Livigno) and Greenland (Nuuk) events and evaluated without site-specific tuning on two held-out scenes: Troms</w:t>
      </w:r>
      <w:r>
        <w:rPr>
          <w:rFonts w:ascii="Times New Roman" w:hAnsi="Times New Roman" w:eastAsia="Times New Roman"/>
          <w:sz w:val="20"/>
        </w:rPr>
        <w:t xml:space="preserve">ø</w:t>
      </w:r>
      <w:r>
        <w:rPr>
          <w:rFonts w:ascii="Times New Roman" w:hAnsi="Times New Roman" w:eastAsia="Times New Roman"/>
          <w:sz w:val="20"/>
        </w:rPr>
        <w:t xml:space="preserve">, Norway, and Pish, Tajikistan. Table 2 reports pixel-level metrics across three independent training seeds (42, 123, and 456; mean</w:t>
      </w:r>
      <w:r>
        <w:rPr>
          <w:rFonts w:ascii="Times New Roman" w:hAnsi="Times New Roman" w:eastAsia="Times New Roman"/>
          <w:sz w:val="20"/>
        </w:rPr>
        <w:t xml:space="preserve"> </w:t>
      </w:r>
      <m:oMath>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standard deviation).</w:t>
      </w:r>
    </w:p>
    <w:p>
      <w:pPr>
        <w:pStyle w:val="BodyText"/>
        <w:spacing w:after="0" w:line="240" w:lineRule="auto"/>
      </w:pPr>
      <w:r>
        <w:rPr>
          <w:rFonts w:ascii="Times New Roman" w:hAnsi="Times New Roman" w:eastAsia="Times New Roman"/>
          <w:b/>
          <w:bCs/>
          <w:sz w:val="20"/>
        </w:rPr>
        <w:t xml:space="preserve">Table 2.</w:t>
      </w:r>
      <w:r>
        <w:rPr>
          <w:rFonts w:ascii="Times New Roman" w:hAnsi="Times New Roman" w:eastAsia="Times New Roman"/>
          <w:sz w:val="20"/>
        </w:rPr>
        <w:t xml:space="preserve"> </w:t>
      </w:r>
      <w:r>
        <w:rPr>
          <w:rFonts w:ascii="Times New Roman" w:hAnsi="Times New Roman" w:eastAsia="Times New Roman"/>
          <w:sz w:val="20"/>
        </w:rPr>
        <w:t xml:space="preserve">Cross-system zero-shot evaluation on unseen mountain systems (Scandinavian Arctic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Central Asian Pamir Mountains), reporting Mean ± Standard Deviation across 3 independent training seeds. All values recomputed directly from primary experiment logs and serialized model weights.</w:t>
      </w:r>
    </w:p>
    <w:tbl>
      <w:tblPr>
        <w:tblStyle w:val="Table"/>
        <w:tblW w:type="auto" w:w="0"/>
        <w:tblLayout w:type="fixed"/>
        <w:tblLook w:firstRow="0" w:lastRow="0" w:firstColumn="0" w:lastColumn="0" w:noHBand="0" w:noVBand="0" w:val="0000"/>
      </w:tblPr>
      <w:tblGrid>
        <w:gridCol w:w="990"/>
        <w:gridCol w:w="990"/>
        <w:gridCol w:w="990"/>
        <w:gridCol w:w="990"/>
        <w:gridCol w:w="990"/>
        <w:gridCol w:w="990"/>
        <w:gridCol w:w="990"/>
        <w:gridCol w:w="990"/>
      </w:tblGrid>
      <w:tr>
        <w:trPr>
          <w:cantSplit w:val="true"/>
          <w:tblHeader w:val="true"/>
        </w:trPr>
        <w:tc>
          <w:tcPr>
            <w:tcW w:type="dxa" w:w="1814"/>
            <w:vMerge w:val="restart"/>
            <w:vAlign w:val="center"/>
          </w:tcPr>
          <w:p>
            <w:pPr>
              <w:pStyle w:val="Compact"/>
              <w:spacing w:before="0" w:after="0" w:line="240" w:lineRule="auto"/>
              <w:jc w:val="left"/>
            </w:pPr>
            <w:r>
              <w:rPr>
                <w:rFonts w:ascii="Times New Roman" w:hAnsi="Times New Roman" w:eastAsia="Times New Roman"/>
                <w:b/>
                <w:bCs/>
                <w:sz w:val="17"/>
              </w:rPr>
              <w:t xml:space="preserve">Method</w:t>
            </w:r>
          </w:p>
        </w:tc>
        <w:tc>
          <w:tcPr>
            <w:tcW w:type="dxa" w:w="737"/>
            <w:vMerge w:val="restart"/>
            <w:vAlign w:val="center"/>
          </w:tcPr>
          <w:p>
            <w:pPr>
              <w:pStyle w:val="Compact"/>
              <w:spacing w:before="0" w:after="0" w:line="240" w:lineRule="auto"/>
              <w:jc w:val="center"/>
            </w:pPr>
            <w:r>
              <w:rPr>
                <w:rFonts w:ascii="Times New Roman" w:hAnsi="Times New Roman" w:eastAsia="Times New Roman"/>
                <w:b/>
                <w:bCs/>
                <w:sz w:val="17"/>
              </w:rPr>
              <w:t xml:space="preserve">Params</w:t>
            </w:r>
          </w:p>
        </w:tc>
        <w:tc>
          <w:tcPr>
            <w:tcW w:type="dxa" w:w="1020"/>
            <w:gridSpan w:val="3"/>
            <w:vAlign w:val="center"/>
          </w:tcPr>
          <w:p>
            <w:pPr>
              <w:pStyle w:val="Compact"/>
              <w:spacing w:before="0" w:after="0" w:line="240" w:lineRule="auto"/>
              <w:jc w:val="center"/>
            </w:pPr>
            <w:r>
              <w:rPr>
                <w:rFonts w:ascii="Times New Roman" w:hAnsi="Times New Roman" w:eastAsia="Times New Roman"/>
                <w:b/>
                <w:bCs/>
                <w:sz w:val="17"/>
              </w:rPr>
              <w:t xml:space="preserve">Scandinavian Arctic (Troms</w:t>
            </w:r>
            <w:r>
              <w:rPr>
                <w:rFonts w:ascii="Times New Roman" w:hAnsi="Times New Roman" w:eastAsia="Times New Roman"/>
                <w:b/>
                <w:bCs/>
                <w:sz w:val="17"/>
              </w:rPr>
              <w:t xml:space="preserve">ø</w:t>
            </w:r>
            <w:r>
              <w:rPr>
                <w:rFonts w:ascii="Times New Roman" w:hAnsi="Times New Roman" w:eastAsia="Times New Roman"/>
                <w:b/>
                <w:bCs/>
                <w:sz w:val="17"/>
              </w:rPr>
              <w:t xml:space="preserve">)</w:t>
            </w:r>
          </w:p>
        </w:tc>
        <w:tc>
          <w:tcPr>
            <w:tcW w:type="dxa" w:w="907"/>
            <w:gridSpan w:val="2"/>
            <w:vAlign w:val="center"/>
          </w:tcPr>
          <w:p>
            <w:pPr>
              <w:pStyle w:val="Compact"/>
              <w:spacing w:before="0" w:after="0" w:line="240" w:lineRule="auto"/>
              <w:jc w:val="center"/>
            </w:pPr>
            <w:r>
              <w:rPr>
                <w:rFonts w:ascii="Times New Roman" w:hAnsi="Times New Roman" w:eastAsia="Times New Roman"/>
                <w:b/>
                <w:bCs/>
                <w:sz w:val="17"/>
              </w:rPr>
              <w:t xml:space="preserve">Pamir Mountains (Pish)</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Pooled</w:t>
            </w:r>
          </w:p>
        </w:tc>
      </w:tr>
      <w:tr>
        <w:trPr>
          <w:cantSplit w:val="true"/>
          <w:tblHeader w:val="true"/>
        </w:trPr>
        <w:tc>
          <w:tcPr>
            <w:gridSpan w:val="1"/>
            <w:vMerge w:val="continue"/>
          </w:tcPr>
          <w:p>
            <w:pPr/>
          </w:p>
        </w:tc>
        <w:tc>
          <w:tcPr>
            <w:gridSpan w:val="1"/>
            <w:vMerge w:val="continue"/>
          </w:tcPr>
          <w:p>
            <w:pPr/>
          </w:p>
        </w:tc>
        <w:tc>
          <w:tcPr>
            <w:tcW w:type="dxa" w:w="1247"/>
            <w:vAlign w:val="center"/>
          </w:tcPr>
          <w:p>
            <w:pPr>
              <w:pStyle w:val="Compact"/>
              <w:spacing w:before="0" w:after="0" w:line="240" w:lineRule="auto"/>
              <w:jc w:val="right"/>
            </w:pPr>
            <w:r>
              <w:rPr>
                <w:rFonts w:ascii="Times New Roman" w:hAnsi="Times New Roman" w:eastAsia="Times New Roman"/>
                <w:b/>
                <w:bCs/>
                <w:sz w:val="17"/>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HR@0.3</w:t>
            </w:r>
          </w:p>
        </w:tc>
        <w:tc>
          <w:tcPr>
            <w:tcW w:type="dxa" w:w="1247"/>
            <w:vAlign w:val="center"/>
          </w:tcPr>
          <w:p>
            <w:pPr>
              <w:pStyle w:val="Compact"/>
              <w:spacing w:before="0" w:after="0" w:line="240" w:lineRule="auto"/>
              <w:jc w:val="center"/>
            </w:pPr>
            <w:r>
              <w:rPr>
                <w:rFonts w:ascii="Times New Roman" w:hAnsi="Times New Roman" w:eastAsia="Times New Roman"/>
                <w:b/>
                <w:bCs/>
                <w:sz w:val="17"/>
              </w:rPr>
              <w:t xml:space="preserve">F1 (%)</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Macro F1 (%)</w:t>
            </w:r>
          </w:p>
        </w:tc>
      </w:tr>
      <w:tr>
        <w:trPr>
          <w:cantSplit w:val="true"/>
        </w:trPr>
        <w:tc>
          <w:tcPr>
            <w:tcW w:type="dxa" w:w="1814"/>
            <w:vAlign w:val="center"/>
          </w:tcPr>
          <w:p>
            <w:pPr>
              <w:pStyle w:val="Compact"/>
              <w:spacing w:before="0" w:after="0" w:line="240" w:lineRule="auto"/>
              <w:jc w:val="left"/>
            </w:pPr>
            <w:r>
              <w:rPr>
                <w:rFonts w:ascii="Times New Roman" w:hAnsi="Times New Roman" w:eastAsia="Times New Roman"/>
                <w:sz w:val="17"/>
              </w:rPr>
              <w:t xml:space="preserve">SiamUNet-diff</w:t>
            </w:r>
          </w:p>
        </w:tc>
        <w:tc>
          <w:tcPr>
            <w:tcW w:type="dxa" w:w="737"/>
            <w:vAlign w:val="center"/>
          </w:tcPr>
          <w:p>
            <w:pPr>
              <w:pStyle w:val="Compact"/>
              <w:spacing w:before="0" w:after="0" w:line="240" w:lineRule="auto"/>
              <w:jc w:val="center"/>
            </w:pPr>
            <w:r>
              <w:rPr>
                <w:rFonts w:ascii="Times New Roman" w:hAnsi="Times New Roman" w:eastAsia="Times New Roman"/>
                <w:sz w:val="17"/>
              </w:rPr>
              <w:t xml:space="preserve">2.01M</w:t>
            </w:r>
          </w:p>
        </w:tc>
        <w:tc>
          <w:tcPr>
            <w:tcW w:type="dxa" w:w="1247"/>
            <w:vAlign w:val="center"/>
          </w:tcPr>
          <w:p>
            <w:pPr>
              <w:pStyle w:val="Compact"/>
              <w:spacing w:before="0" w:after="0" w:line="240" w:lineRule="auto"/>
              <w:jc w:val="right"/>
            </w:pPr>
            <w:r>
              <w:rPr>
                <w:rFonts w:ascii="Times New Roman" w:hAnsi="Times New Roman" w:eastAsia="Times New Roman"/>
                <w:sz w:val="17"/>
              </w:rPr>
              <w:t xml:space="preserve">72.64 ± 0.39</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57.03 ± 0.48</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63.25 ± 2.52</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37.11 ± 2.44</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22.81 ± 1.86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54.87 ± 1.03</w:t>
            </w:r>
          </w:p>
        </w:tc>
      </w:tr>
      <w:tr>
        <w:trPr>
          <w:cantSplit w:val="true"/>
        </w:trPr>
        <w:tc>
          <w:tcPr>
            <w:tcW w:type="dxa" w:w="1814"/>
            <w:vAlign w:val="center"/>
          </w:tcPr>
          <w:p>
            <w:pPr>
              <w:pStyle w:val="Compact"/>
              <w:spacing w:before="0" w:after="0" w:line="240" w:lineRule="auto"/>
              <w:jc w:val="left"/>
            </w:pPr>
            <w:r>
              <w:rPr>
                <w:rFonts w:ascii="Times New Roman" w:hAnsi="Times New Roman" w:eastAsia="Times New Roman"/>
                <w:sz w:val="17"/>
              </w:rPr>
              <w:t xml:space="preserve">SiamUNet-conc</w:t>
            </w:r>
          </w:p>
        </w:tc>
        <w:tc>
          <w:tcPr>
            <w:tcW w:type="dxa" w:w="737"/>
            <w:vAlign w:val="center"/>
          </w:tcPr>
          <w:p>
            <w:pPr>
              <w:pStyle w:val="Compact"/>
              <w:spacing w:before="0" w:after="0" w:line="240" w:lineRule="auto"/>
              <w:jc w:val="center"/>
            </w:pPr>
            <w:r>
              <w:rPr>
                <w:rFonts w:ascii="Times New Roman" w:hAnsi="Times New Roman" w:eastAsia="Times New Roman"/>
                <w:sz w:val="17"/>
              </w:rPr>
              <w:t xml:space="preserve">2.36M</w:t>
            </w:r>
          </w:p>
        </w:tc>
        <w:tc>
          <w:tcPr>
            <w:tcW w:type="dxa" w:w="1247"/>
            <w:vAlign w:val="center"/>
          </w:tcPr>
          <w:p>
            <w:pPr>
              <w:pStyle w:val="Compact"/>
              <w:spacing w:before="0" w:after="0" w:line="240" w:lineRule="auto"/>
              <w:jc w:val="right"/>
            </w:pPr>
            <w:r>
              <w:rPr>
                <w:rFonts w:ascii="Times New Roman" w:hAnsi="Times New Roman" w:eastAsia="Times New Roman"/>
                <w:sz w:val="17"/>
              </w:rPr>
              <w:t xml:space="preserve">78.92 ± 1.07</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65.20 ± 1.46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82.62 ± 1.07</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47.34 ± 0.70</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31.02 ± 0.60</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63.13 ± 0.79</w:t>
            </w:r>
          </w:p>
        </w:tc>
      </w:tr>
      <w:tr>
        <w:trPr>
          <w:cantSplit w:val="true"/>
        </w:trPr>
        <w:tc>
          <w:tcPr>
            <w:tcW w:type="dxa" w:w="1814"/>
            <w:vAlign w:val="center"/>
          </w:tcPr>
          <w:p>
            <w:pPr>
              <w:pStyle w:val="Compact"/>
              <w:spacing w:before="0" w:after="0" w:line="240" w:lineRule="auto"/>
              <w:jc w:val="left"/>
            </w:pPr>
            <w:r>
              <w:rPr>
                <w:rFonts w:ascii="Times New Roman" w:hAnsi="Times New Roman" w:eastAsia="Times New Roman"/>
                <w:sz w:val="17"/>
              </w:rPr>
              <w:t xml:space="preserve">ResU-Net</w:t>
            </w:r>
          </w:p>
        </w:tc>
        <w:tc>
          <w:tcPr>
            <w:tcW w:type="dxa" w:w="737"/>
            <w:vAlign w:val="center"/>
          </w:tcPr>
          <w:p>
            <w:pPr>
              <w:pStyle w:val="Compact"/>
              <w:spacing w:before="0" w:after="0" w:line="240" w:lineRule="auto"/>
              <w:jc w:val="center"/>
            </w:pPr>
            <w:r>
              <w:rPr>
                <w:rFonts w:ascii="Times New Roman" w:hAnsi="Times New Roman" w:eastAsia="Times New Roman"/>
                <w:sz w:val="17"/>
              </w:rPr>
              <w:t xml:space="preserve">2.01M</w:t>
            </w:r>
          </w:p>
        </w:tc>
        <w:tc>
          <w:tcPr>
            <w:tcW w:type="dxa" w:w="1247"/>
            <w:vAlign w:val="center"/>
          </w:tcPr>
          <w:p>
            <w:pPr>
              <w:pStyle w:val="Compact"/>
              <w:spacing w:before="0" w:after="0" w:line="240" w:lineRule="auto"/>
              <w:jc w:val="right"/>
            </w:pPr>
            <w:r>
              <w:rPr>
                <w:rFonts w:ascii="Times New Roman" w:hAnsi="Times New Roman" w:eastAsia="Times New Roman"/>
                <w:sz w:val="17"/>
              </w:rPr>
              <w:t xml:space="preserve">76.60 ± 1.30</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62.09 ± 1.71</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76.92 ± 4.83</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49.25 ± 3.39</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32.74 ± 2.96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62.92 ± 1.42</w:t>
            </w:r>
          </w:p>
        </w:tc>
      </w:tr>
      <w:tr>
        <w:trPr>
          <w:cantSplit w:val="true"/>
        </w:trPr>
        <w:tc>
          <w:tcPr>
            <w:tcW w:type="dxa" w:w="1814"/>
            <w:vAlign w:val="center"/>
          </w:tcPr>
          <w:p>
            <w:pPr>
              <w:pStyle w:val="Compact"/>
              <w:spacing w:before="0" w:after="0" w:line="240" w:lineRule="auto"/>
              <w:jc w:val="left"/>
            </w:pPr>
            <w:r>
              <w:rPr>
                <w:rFonts w:ascii="Times New Roman" w:hAnsi="Times New Roman" w:eastAsia="Times New Roman"/>
                <w:sz w:val="17"/>
              </w:rPr>
              <w:t xml:space="preserve">Attention U-Net</w:t>
            </w:r>
          </w:p>
        </w:tc>
        <w:tc>
          <w:tcPr>
            <w:tcW w:type="dxa" w:w="737"/>
            <w:vAlign w:val="center"/>
          </w:tcPr>
          <w:p>
            <w:pPr>
              <w:pStyle w:val="Compact"/>
              <w:spacing w:before="0" w:after="0" w:line="240" w:lineRule="auto"/>
              <w:jc w:val="center"/>
            </w:pPr>
            <w:r>
              <w:rPr>
                <w:rFonts w:ascii="Times New Roman" w:hAnsi="Times New Roman" w:eastAsia="Times New Roman"/>
                <w:sz w:val="17"/>
              </w:rPr>
              <w:t xml:space="preserve">2.29M</w:t>
            </w:r>
          </w:p>
        </w:tc>
        <w:tc>
          <w:tcPr>
            <w:tcW w:type="dxa" w:w="1247"/>
            <w:vAlign w:val="center"/>
          </w:tcPr>
          <w:p>
            <w:pPr>
              <w:pStyle w:val="Compact"/>
              <w:spacing w:before="0" w:after="0" w:line="240" w:lineRule="auto"/>
              <w:jc w:val="right"/>
            </w:pPr>
            <w:r>
              <w:rPr>
                <w:rFonts w:ascii="Times New Roman" w:hAnsi="Times New Roman" w:eastAsia="Times New Roman"/>
                <w:sz w:val="17"/>
              </w:rPr>
              <w:t xml:space="preserve">78.09 ± 0.99</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64.07 ± 1.33</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79.20 ± 2.45</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48.73 ± 2.74</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32.26 ± 2.38</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63.41 ± 1.03</w:t>
            </w:r>
          </w:p>
        </w:tc>
      </w:tr>
      <w:tr>
        <w:trPr>
          <w:cantSplit w:val="true"/>
        </w:trPr>
        <w:tc>
          <w:tcPr>
            <w:tcW w:type="dxa" w:w="1814"/>
            <w:vAlign w:val="center"/>
          </w:tcPr>
          <w:p>
            <w:pPr>
              <w:pStyle w:val="Compact"/>
              <w:spacing w:before="0" w:after="0" w:line="240" w:lineRule="auto"/>
              <w:jc w:val="left"/>
            </w:pPr>
            <w:r>
              <w:rPr>
                <w:rFonts w:ascii="Times New Roman" w:hAnsi="Times New Roman" w:eastAsia="Times New Roman"/>
                <w:b/>
                <w:bCs/>
                <w:sz w:val="17"/>
              </w:rPr>
              <w:t xml:space="preserve">TopoRadar-Net (Ours, S42)</w:t>
            </w:r>
          </w:p>
        </w:tc>
        <w:tc>
          <w:tcPr>
            <w:tcW w:type="dxa" w:w="737"/>
            <w:vAlign w:val="center"/>
          </w:tcPr>
          <w:p>
            <w:pPr>
              <w:pStyle w:val="Compact"/>
              <w:spacing w:before="0" w:after="0" w:line="240" w:lineRule="auto"/>
              <w:jc w:val="center"/>
            </w:pPr>
            <w:r>
              <w:rPr>
                <w:rFonts w:ascii="Times New Roman" w:hAnsi="Times New Roman" w:eastAsia="Times New Roman"/>
                <w:sz w:val="17"/>
              </w:rPr>
              <w:t xml:space="preserve">3.46M</w:t>
            </w:r>
          </w:p>
        </w:tc>
        <w:tc>
          <w:tcPr>
            <w:tcW w:type="dxa" w:w="1247"/>
            <w:vAlign w:val="center"/>
          </w:tcPr>
          <w:p>
            <w:pPr>
              <w:pStyle w:val="Compact"/>
              <w:spacing w:before="0" w:after="0" w:line="240" w:lineRule="auto"/>
              <w:jc w:val="right"/>
            </w:pPr>
            <w:r>
              <w:rPr>
                <w:rFonts w:ascii="Times New Roman" w:hAnsi="Times New Roman" w:eastAsia="Times New Roman"/>
                <w:sz w:val="17"/>
              </w:rPr>
              <w:t xml:space="preserve">79.35</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65.76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74.36</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51.23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34.44</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65.29</w:t>
            </w:r>
          </w:p>
        </w:tc>
      </w:tr>
      <w:tr>
        <w:trPr>
          <w:cantSplit w:val="true"/>
        </w:trPr>
        <w:tc>
          <w:tcPr>
            <w:tcW w:type="dxa" w:w="1814"/>
            <w:vAlign w:val="center"/>
          </w:tcPr>
          <w:p>
            <w:pPr>
              <w:pStyle w:val="Compact"/>
              <w:spacing w:before="0" w:after="0" w:line="240" w:lineRule="auto"/>
              <w:jc w:val="left"/>
            </w:pPr>
            <w:r>
              <w:rPr>
                <w:rFonts w:ascii="Times New Roman" w:hAnsi="Times New Roman" w:eastAsia="Times New Roman"/>
                <w:b/>
                <w:bCs/>
                <w:sz w:val="17"/>
              </w:rPr>
              <w:t xml:space="preserve">TopoRadar-Net (Ours, Mean)</w:t>
            </w:r>
          </w:p>
        </w:tc>
        <w:tc>
          <w:tcPr>
            <w:tcW w:type="dxa" w:w="737"/>
            <w:vAlign w:val="center"/>
          </w:tcPr>
          <w:p>
            <w:pPr>
              <w:pStyle w:val="Compact"/>
              <w:spacing w:before="0" w:after="0" w:line="240" w:lineRule="auto"/>
              <w:jc w:val="center"/>
            </w:pPr>
            <w:r>
              <w:rPr>
                <w:rFonts w:ascii="Times New Roman" w:hAnsi="Times New Roman" w:eastAsia="Times New Roman"/>
                <w:b/>
                <w:bCs/>
                <w:sz w:val="17"/>
              </w:rPr>
              <w:t xml:space="preserve">3.46M</w:t>
            </w:r>
          </w:p>
        </w:tc>
        <w:tc>
          <w:tcPr>
            <w:tcW w:type="dxa" w:w="1247"/>
            <w:vAlign w:val="center"/>
          </w:tcPr>
          <w:p>
            <w:pPr>
              <w:pStyle w:val="Compact"/>
              <w:spacing w:before="0" w:after="0" w:line="240" w:lineRule="auto"/>
              <w:jc w:val="right"/>
            </w:pPr>
            <w:r>
              <w:rPr>
                <w:rFonts w:ascii="Times New Roman" w:hAnsi="Times New Roman" w:eastAsia="Times New Roman"/>
                <w:b/>
                <w:bCs/>
                <w:sz w:val="17"/>
              </w:rPr>
              <w:t xml:space="preserve">77.40 ± 1.86</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63.16 ± 2.45</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75.50 ± 1.61</w:t>
            </w:r>
          </w:p>
        </w:tc>
        <w:tc>
          <w:tcPr>
            <w:tcW w:type="dxa" w:w="1247"/>
            <w:vAlign w:val="center"/>
          </w:tcPr>
          <w:p>
            <w:pPr>
              <w:pStyle w:val="Compact"/>
              <w:spacing w:before="0" w:after="0" w:line="240" w:lineRule="auto"/>
              <w:jc w:val="center"/>
            </w:pPr>
            <w:r>
              <w:rPr>
                <w:rFonts w:ascii="Times New Roman" w:hAnsi="Times New Roman" w:eastAsia="Times New Roman"/>
                <w:b/>
                <w:bCs/>
                <w:sz w:val="17"/>
              </w:rPr>
              <w:t xml:space="preserve">50.18 ± 4.40</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33.61 ± 3.89</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63.79 ± 1.88</w:t>
            </w:r>
          </w:p>
        </w:tc>
      </w:tr>
    </w:tbl>
    <w:p>
      <w:pPr>
        <w:pStyle w:val="BodyText"/>
        <w:spacing w:after="0" w:line="240" w:lineRule="auto"/>
      </w:pPr>
      <w:r>
        <w:rPr>
          <w:rFonts w:ascii="Times New Roman" w:hAnsi="Times New Roman" w:eastAsia="Times New Roman"/>
          <w:sz w:val="20"/>
        </w:rPr>
        <w:t xml:space="preserve">Table 2 shows region- and seed-dependent transfer. In Pamir, TopoRadar-Net records</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compared with Attention U-Net (</w:t>
      </w:r>
      <m:oMath>
        <m:r>
          <m:t>48.73</m:t>
        </m:r>
        <m:r>
          <m:rPr>
            <m:sty m:val="p"/>
          </m:rPr>
          <m:t>%</m:t>
        </m:r>
        <m:r>
          <m:rPr>
            <m:sty m:val="p"/>
          </m:rPr>
          <m:t>±</m:t>
        </m:r>
        <m:r>
          <m:t>2.74</m:t>
        </m:r>
        <m:r>
          <m:rPr>
            <m:sty m:val="p"/>
          </m:rPr>
          <m:t>%</m:t>
        </m:r>
      </m:oMath>
      <w:r>
        <w:rPr>
          <w:rFonts w:ascii="Times New Roman" w:hAnsi="Times New Roman" w:eastAsia="Times New Roman"/>
          <w:sz w:val="20"/>
        </w:rPr>
        <w:t xml:space="preserve">), ResU-Net (</w:t>
      </w:r>
      <m:oMath>
        <m:r>
          <m:t>49.25</m:t>
        </m:r>
        <m:r>
          <m:rPr>
            <m:sty m:val="p"/>
          </m:rPr>
          <m:t>%</m:t>
        </m:r>
        <m:r>
          <m:rPr>
            <m:sty m:val="p"/>
          </m:rPr>
          <m:t>±</m:t>
        </m:r>
        <m:r>
          <m:t>3.39</m:t>
        </m:r>
        <m:r>
          <m:rPr>
            <m:sty m:val="p"/>
          </m:rPr>
          <m:t>%</m:t>
        </m:r>
      </m:oMath>
      <w:r>
        <w:rPr>
          <w:rFonts w:ascii="Times New Roman" w:hAnsi="Times New Roman" w:eastAsia="Times New Roman"/>
          <w:sz w:val="20"/>
        </w:rPr>
        <w:t xml:space="preserve">), SiamUNet-conc (</w:t>
      </w:r>
      <m:oMath>
        <m:r>
          <m:t>47.34</m:t>
        </m:r>
        <m:r>
          <m:rPr>
            <m:sty m:val="p"/>
          </m:rPr>
          <m:t>%</m:t>
        </m:r>
        <m:r>
          <m:rPr>
            <m:sty m:val="p"/>
          </m:rPr>
          <m:t>±</m:t>
        </m:r>
        <m:r>
          <m:t>0.70</m:t>
        </m:r>
        <m:r>
          <m:rPr>
            <m:sty m:val="p"/>
          </m:rPr>
          <m:t>%</m:t>
        </m:r>
      </m:oMath>
      <w:r>
        <w:rPr>
          <w:rFonts w:ascii="Times New Roman" w:hAnsi="Times New Roman" w:eastAsia="Times New Roman"/>
          <w:sz w:val="20"/>
        </w:rPr>
        <w:t xml:space="preserve">), and SiamUNet-diff (</w:t>
      </w:r>
      <m:oMath>
        <m:r>
          <m:t>37.11</m:t>
        </m:r>
        <m:r>
          <m:rPr>
            <m:sty m:val="p"/>
          </m:rPr>
          <m:t>%</m:t>
        </m:r>
        <m:r>
          <m:rPr>
            <m:sty m:val="p"/>
          </m:rPr>
          <m:t>±</m:t>
        </m:r>
        <m:r>
          <m:t>2.44</m:t>
        </m:r>
        <m:r>
          <m:rPr>
            <m:sty m:val="p"/>
          </m:rPr>
          <m:t>%</m:t>
        </m:r>
      </m:oMath>
      <w:r>
        <w:rPr>
          <w:rFonts w:ascii="Times New Roman" w:hAnsi="Times New Roman" w:eastAsia="Times New Roman"/>
          <w:sz w:val="20"/>
        </w:rPr>
        <w:t xml:space="preserve">). On the pooled two-system benchmark it records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compared with</w:t>
      </w:r>
      <w:r>
        <w:rPr>
          <w:rFonts w:ascii="Times New Roman" w:hAnsi="Times New Roman" w:eastAsia="Times New Roman"/>
          <w:sz w:val="20"/>
        </w:rPr>
        <w:t xml:space="preserve"> </w:t>
      </w:r>
      <m:oMath>
        <m:r>
          <m:t>63.41</m:t>
        </m:r>
        <m:r>
          <m:rPr>
            <m:sty m:val="p"/>
          </m:rPr>
          <m:t>%</m:t>
        </m:r>
        <m:r>
          <m:rPr>
            <m:sty m:val="p"/>
          </m:rPr>
          <m:t>±</m:t>
        </m:r>
        <m:r>
          <m:t>1.03</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63.13</m:t>
        </m:r>
        <m:r>
          <m:rPr>
            <m:sty m:val="p"/>
          </m:rPr>
          <m:t>%</m:t>
        </m:r>
        <m:r>
          <m:rPr>
            <m:sty m:val="p"/>
          </m:rPr>
          <m:t>±</m:t>
        </m:r>
        <m:r>
          <m:t>0.79</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62.92</m:t>
        </m:r>
        <m:r>
          <m:rPr>
            <m:sty m:val="p"/>
          </m:rPr>
          <m:t>%</m:t>
        </m:r>
        <m:r>
          <m:rPr>
            <m:sty m:val="p"/>
          </m:rPr>
          <m:t>±</m:t>
        </m:r>
        <m:r>
          <m:t>1.42</m:t>
        </m:r>
        <m:r>
          <m:rPr>
            <m:sty m:val="p"/>
          </m:rPr>
          <m:t>%</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t>54.87</m:t>
        </m:r>
        <m:r>
          <m:rPr>
            <m:sty m:val="p"/>
          </m:rPr>
          <m:t>%</m:t>
        </m:r>
        <m:r>
          <m:rPr>
            <m:sty m:val="p"/>
          </m:rPr>
          <m:t>±</m:t>
        </m:r>
        <m:r>
          <m:t>1.03</m:t>
        </m:r>
        <m:r>
          <m:rPr>
            <m:sty m:val="p"/>
          </m:rPr>
          <m:t>%</m:t>
        </m:r>
      </m:oMath>
      <w:r>
        <w:rPr>
          <w:rFonts w:ascii="Times New Roman" w:hAnsi="Times New Roman" w:eastAsia="Times New Roman"/>
          <w:sz w:val="20"/>
        </w:rPr>
        <w:t xml:space="preserve">, respectively. Across seeds, only the difference from SiamUNet-diff is significant; comparisons with the three competitive baselines are not.</w:t>
      </w:r>
    </w:p>
    <w:p>
      <w:pPr>
        <w:pStyle w:val="BodyText"/>
        <w:spacing w:after="0" w:line="240" w:lineRule="auto"/>
      </w:pPr>
      <w:r>
        <w:rPr>
          <w:rFonts w:ascii="Times New Roman" w:hAnsi="Times New Roman" w:eastAsia="Times New Roman"/>
          <w:sz w:val="20"/>
        </w:rPr>
        <w:t xml:space="preserve">On the Scandinavian Arctic test scene (Troms</w:t>
      </w:r>
      <w:r>
        <w:rPr>
          <w:rFonts w:ascii="Times New Roman" w:hAnsi="Times New Roman" w:eastAsia="Times New Roman"/>
          <w:sz w:val="20"/>
        </w:rPr>
        <w:t xml:space="preserve">ø</w:t>
      </w:r>
      <w:r>
        <w:rPr>
          <w:rFonts w:ascii="Times New Roman" w:hAnsi="Times New Roman" w:eastAsia="Times New Roman"/>
          <w:sz w:val="20"/>
        </w:rPr>
        <w:t xml:space="preserve">), TopoRadar-Net reaches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pixel F1 and</w:t>
      </w:r>
      <w:r>
        <w:rPr>
          <w:rFonts w:ascii="Times New Roman" w:hAnsi="Times New Roman" w:eastAsia="Times New Roman"/>
          <w:sz w:val="20"/>
        </w:rPr>
        <w:t xml:space="preserve"> </w:t>
      </w:r>
      <m:oMath>
        <m:r>
          <m:t>63.16</m:t>
        </m:r>
        <m:r>
          <m:rPr>
            <m:sty m:val="p"/>
          </m:rPr>
          <m:t>%</m:t>
        </m:r>
        <m:r>
          <m:rPr>
            <m:sty m:val="p"/>
          </m:rPr>
          <m:t>±</m:t>
        </m:r>
        <m:r>
          <m:t>2.45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compared with ResU-Net (</w:t>
      </w:r>
      <m:oMath>
        <m:r>
          <m:t>76.60</m:t>
        </m:r>
        <m:r>
          <m:rPr>
            <m:sty m:val="p"/>
          </m:rPr>
          <m:t>%</m:t>
        </m:r>
        <m:r>
          <m:rPr>
            <m:sty m:val="p"/>
          </m:rPr>
          <m:t>±</m:t>
        </m:r>
        <m:r>
          <m:t>1.30</m:t>
        </m:r>
        <m:r>
          <m:rPr>
            <m:sty m:val="p"/>
          </m:rPr>
          <m:t>%</m:t>
        </m:r>
      </m:oMath>
      <w:r>
        <w:rPr>
          <w:rFonts w:ascii="Times New Roman" w:hAnsi="Times New Roman" w:eastAsia="Times New Roman"/>
          <w:sz w:val="20"/>
        </w:rPr>
        <w:t xml:space="preserve">), SiamUNet-diff (</w:t>
      </w:r>
      <m:oMath>
        <m:r>
          <m:t>72.64</m:t>
        </m:r>
        <m:r>
          <m:rPr>
            <m:sty m:val="p"/>
          </m:rPr>
          <m:t>%</m:t>
        </m:r>
        <m:r>
          <m:rPr>
            <m:sty m:val="p"/>
          </m:rPr>
          <m:t>±</m:t>
        </m:r>
        <m:r>
          <m:t>0.39</m:t>
        </m:r>
        <m:r>
          <m:rPr>
            <m:sty m:val="p"/>
          </m:rPr>
          <m:t>%</m:t>
        </m:r>
      </m:oMath>
      <w:r>
        <w:rPr>
          <w:rFonts w:ascii="Times New Roman" w:hAnsi="Times New Roman" w:eastAsia="Times New Roman"/>
          <w:sz w:val="20"/>
        </w:rPr>
        <w:t xml:space="preserve">), and SiamUNet-conc (</w:t>
      </w:r>
      <m:oMath>
        <m:r>
          <m:t>78.92</m:t>
        </m:r>
        <m:r>
          <m:rPr>
            <m:sty m:val="p"/>
          </m:rPr>
          <m:t>%</m:t>
        </m:r>
        <m:r>
          <m:rPr>
            <m:sty m:val="p"/>
          </m:rPr>
          <m:t>±</m:t>
        </m:r>
        <m:r>
          <m:t>1.07</m:t>
        </m:r>
        <m:r>
          <m:rPr>
            <m:sty m:val="p"/>
          </m:rPr>
          <m:t>%</m:t>
        </m:r>
      </m:oMath>
      <w:r>
        <w:rPr>
          <w:rFonts w:ascii="Times New Roman" w:hAnsi="Times New Roman" w:eastAsia="Times New Roman"/>
          <w:sz w:val="20"/>
        </w:rPr>
        <w:t xml:space="preserve">). SiamUNet-conc then records</w:t>
      </w:r>
      <w:r>
        <w:rPr>
          <w:rFonts w:ascii="Times New Roman" w:hAnsi="Times New Roman" w:eastAsia="Times New Roman"/>
          <w:sz w:val="20"/>
        </w:rPr>
        <w:t xml:space="preserve"> </w:t>
      </w:r>
      <m:oMath>
        <m:r>
          <m:t>47.34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a region-dependent drop compatible with sensitivity to the changed mountain regime; the two-region contrast does not identify overfitting to a single factor.</w:t>
      </w:r>
    </w:p>
    <w:p>
      <w:pPr>
        <w:pStyle w:val="Figure"/>
        <w:spacing w:after="0" w:line="240" w:lineRule="auto"/>
      </w:pPr>
      <w:r>
        <w:rPr>
          <w:rFonts w:ascii="Times New Roman" w:hAnsi="Times New Roman" w:eastAsia="Times New Roman"/>
          <w:sz w:val="20"/>
        </w:rPr>
        <w:drawing>
          <wp:inline>
            <wp:extent cx="5334000" cy="2639171"/>
            <wp:effectExtent b="0" l="0" r="0" t="0"/>
            <wp:docPr descr="" title="" id="27" name="Picture"/>
            <a:graphic>
              <a:graphicData uri="http://schemas.openxmlformats.org/drawingml/2006/picture">
                <pic:pic>
                  <pic:nvPicPr>
                    <pic:cNvPr descr="fig_performance_comparison.png" id="28" name="Picture"/>
                    <pic:cNvPicPr>
                      <a:picLocks noChangeArrowheads="1" noChangeAspect="1"/>
                    </pic:cNvPicPr>
                  </pic:nvPicPr>
                  <pic:blipFill>
                    <a:blip r:embed="rId26"/>
                    <a:stretch>
                      <a:fillRect/>
                    </a:stretch>
                  </pic:blipFill>
                  <pic:spPr bwMode="auto">
                    <a:xfrm>
                      <a:off x="0" y="0"/>
                      <a:ext cx="5334000" cy="2639171"/>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2.</w:t>
      </w:r>
      <w:r>
        <w:rPr>
          <w:rFonts w:ascii="Times New Roman" w:hAnsi="Times New Roman" w:eastAsia="Times New Roman"/>
          <w:sz w:val="20"/>
        </w:rPr>
        <w:t xml:space="preserve"> </w:t>
      </w:r>
      <w:r>
        <w:rPr>
          <w:rFonts w:ascii="Times New Roman" w:hAnsi="Times New Roman" w:eastAsia="Times New Roman"/>
          <w:sz w:val="20"/>
        </w:rPr>
        <w:t xml:space="preserve">Quantitative cross-system generalization performance across evaluated deep architectures on unseen mountain ranges (Scandinavian Arctic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Central Asian Pamir Mountains in Tajikistan), reporting Mean</w:t>
      </w:r>
      <w:r>
        <w:rPr>
          <w:rFonts w:ascii="Times New Roman" w:hAnsi="Times New Roman" w:eastAsia="Times New Roman"/>
          <w:sz w:val="20"/>
        </w:rPr>
        <w:t xml:space="preserve"> </w:t>
      </w:r>
      <m:oMath>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Standard Deviation across 3 independent training seeds.</w:t>
      </w:r>
    </w:p>
    <w:bookmarkEnd w:id="29"/>
    <w:bookmarkStart w:id="30" w:name="statistical-significance-testing"/>
    <w:p>
      <w:pPr>
        <w:pStyle w:val="Heading2"/>
        <w:spacing w:after="0" w:line="240" w:lineRule="auto"/>
      </w:pPr>
      <w:r>
        <w:rPr>
          <w:rFonts w:ascii="Times New Roman" w:hAnsi="Times New Roman" w:eastAsia="Times New Roman"/>
          <w:sz w:val="20"/>
        </w:rPr>
        <w:t xml:space="preserve">Statistical Significance Testing</w:t>
      </w:r>
    </w:p>
    <w:p>
      <w:pPr>
        <w:pStyle w:val="FirstParagraph"/>
        <w:spacing w:after="0" w:line="240" w:lineRule="auto"/>
      </w:pPr>
      <w:r>
        <w:rPr>
          <w:rFonts w:ascii="Times New Roman" w:hAnsi="Times New Roman" w:eastAsia="Times New Roman"/>
          <w:sz w:val="20"/>
        </w:rPr>
        <w:t xml:space="preserve">Because satellite remote sensing pixels within mountain regions exhibit spatial autocorrelation, naive pixel-level hypothesis tests artificially underestimate uncertainty. To evaluate spatial sampling variability, we execute a 1,000-draw paired cluster-bootstrap test over</w:t>
      </w:r>
      <w:r>
        <w:rPr>
          <w:rFonts w:ascii="Times New Roman" w:hAnsi="Times New Roman" w:eastAsia="Times New Roman"/>
          <w:sz w:val="20"/>
        </w:rPr>
        <w:t xml:space="preserve"> </w:t>
      </w:r>
      <m:oMath>
        <m:r>
          <m:t>128</m:t>
        </m:r>
        <m:r>
          <m:rPr>
            <m:sty m:val="p"/>
          </m:rPr>
          <m:t>×</m:t>
        </m:r>
        <m:r>
          <m:t>128</m:t>
        </m:r>
      </m:oMath>
      <w:r>
        <w:rPr>
          <w:rFonts w:ascii="Times New Roman" w:hAnsi="Times New Roman" w:eastAsia="Times New Roman"/>
          <w:sz w:val="20"/>
        </w:rPr>
        <w:t xml:space="preserve"> </w:t>
      </w:r>
      <w:r>
        <w:rPr>
          <w:rFonts w:ascii="Times New Roman" w:hAnsi="Times New Roman" w:eastAsia="Times New Roman"/>
          <w:sz w:val="20"/>
        </w:rPr>
        <w:t xml:space="preserve">spatial blocks of the held-out test scenes. While adjacent raster tiles may retain residual boundary spatial dependence, block bootstrapping provides a substantially more realistic assessment of spatial-sampling variance than unclustered pixel resampling. Table 3 summarizes the paired bootstrap estimates, 95% confidence intervals, and empirical two-tailed</w:t>
      </w:r>
      <w:r>
        <w:rPr>
          <w:rFonts w:ascii="Times New Roman" w:hAnsi="Times New Roman" w:eastAsia="Times New Roman"/>
          <w:sz w:val="20"/>
        </w:rPr>
        <w:t xml:space="preserve"> </w:t>
      </w:r>
      <m:oMath>
        <m:r>
          <m:t>p</m:t>
        </m:r>
      </m:oMath>
      <w:r>
        <w:rPr>
          <w:rFonts w:ascii="Times New Roman" w:hAnsi="Times New Roman" w:eastAsia="Times New Roman"/>
          <w:sz w:val="20"/>
        </w:rPr>
        <w:t xml:space="preserve">-values.</w:t>
      </w:r>
    </w:p>
    <w:p>
      <w:pPr>
        <w:pStyle w:val="BodyText"/>
        <w:spacing w:after="0" w:line="240" w:lineRule="auto"/>
      </w:pPr>
      <w:r>
        <w:rPr>
          <w:rFonts w:ascii="Times New Roman" w:hAnsi="Times New Roman" w:eastAsia="Times New Roman"/>
          <w:b/>
          <w:bCs/>
          <w:sz w:val="20"/>
        </w:rPr>
        <w:t xml:space="preserve">Table 3.</w:t>
      </w:r>
      <w:r>
        <w:rPr>
          <w:rFonts w:ascii="Times New Roman" w:hAnsi="Times New Roman" w:eastAsia="Times New Roman"/>
          <w:sz w:val="20"/>
        </w:rPr>
        <w:t xml:space="preserve"> </w:t>
      </w:r>
      <w:r>
        <w:rPr>
          <w:rFonts w:ascii="Times New Roman" w:hAnsi="Times New Roman" w:eastAsia="Times New Roman"/>
          <w:sz w:val="20"/>
        </w:rPr>
        <w:t xml:space="preserve">Paired statistical significance testing of TopoRadar-Net versus baselines: (a) 1,000-draw spatial block cluster bootstrap on the held-out Scandinavian Arctic test scene (Seed 42, n=143 blocks of size 128 × 128); (b) 1,000-draw spatial block cluster bootstrap pooling all 339 geographic blocks across both unseen mountain regimes (Seed 42, pixel-pooled micro-F1); and (c) Paired t-test across 3 independent training seeds on pooled macro-F1.</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Comparison</w:t>
            </w:r>
          </w:p>
        </w:tc>
        <w:tc>
          <w:tcPr>
            <w:vAlign w:val="center"/>
          </w:tcPr>
          <w:p>
            <w:pPr>
              <w:pStyle w:val="Compact"/>
              <w:spacing w:before="0" w:after="0" w:line="240" w:lineRule="auto"/>
              <w:jc w:val="center"/>
            </w:pPr>
            <w:r>
              <w:rPr>
                <w:rFonts w:ascii="Times New Roman" w:hAnsi="Times New Roman" w:eastAsia="Times New Roman"/>
                <w:b/>
                <w:bCs/>
                <w:sz w:val="17"/>
              </w:rPr>
              <w:t xml:space="preserve">Mean ΔF1 (%)</w:t>
            </w:r>
          </w:p>
        </w:tc>
        <w:tc>
          <w:tcPr>
            <w:vAlign w:val="center"/>
          </w:tcPr>
          <w:p>
            <w:pPr>
              <w:pStyle w:val="Compact"/>
              <w:spacing w:before="0" w:after="0" w:line="240" w:lineRule="auto"/>
              <w:jc w:val="center"/>
            </w:pPr>
            <w:r>
              <w:rPr>
                <w:rFonts w:ascii="Times New Roman" w:hAnsi="Times New Roman" w:eastAsia="Times New Roman"/>
                <w:b/>
                <w:bCs/>
                <w:sz w:val="17"/>
              </w:rPr>
              <w:t xml:space="preserve">95% CI Lower</w:t>
            </w:r>
          </w:p>
        </w:tc>
        <w:tc>
          <w:tcPr>
            <w:vAlign w:val="center"/>
          </w:tcPr>
          <w:p>
            <w:pPr>
              <w:pStyle w:val="Compact"/>
              <w:spacing w:before="0" w:after="0" w:line="240" w:lineRule="auto"/>
              <w:jc w:val="center"/>
            </w:pPr>
            <w:r>
              <w:rPr>
                <w:rFonts w:ascii="Times New Roman" w:hAnsi="Times New Roman" w:eastAsia="Times New Roman"/>
                <w:b/>
                <w:bCs/>
                <w:sz w:val="17"/>
              </w:rPr>
              <w:t xml:space="preserve">95% CI Upper</w:t>
            </w:r>
          </w:p>
        </w:tc>
        <w:tc>
          <w:tcPr>
            <w:vAlign w:val="center"/>
          </w:tcPr>
          <w:p>
            <w:pPr>
              <w:pStyle w:val="Compact"/>
              <w:spacing w:before="0" w:after="0" w:line="240" w:lineRule="auto"/>
              <w:jc w:val="center"/>
            </w:pPr>
            <w:r>
              <w:rPr>
                <w:rFonts w:ascii="Times New Roman" w:hAnsi="Times New Roman" w:eastAsia="Times New Roman"/>
                <w:b/>
                <w:bCs/>
                <w:sz w:val="17"/>
              </w:rPr>
              <w:t xml:space="preserve">p-value</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A: Single-Scene Regional Significance (Spatial Block Bootstrap, Troms</w:t>
            </w:r>
            <w:r>
              <w:rPr>
                <w:rFonts w:ascii="Times New Roman" w:hAnsi="Times New Roman" w:eastAsia="Times New Roman"/>
                <w:i/>
                <w:iCs/>
                <w:sz w:val="17"/>
              </w:rPr>
              <w:t xml:space="preserve">ø</w:t>
            </w:r>
            <w:r>
              <w:rPr>
                <w:rFonts w:ascii="Times New Roman" w:hAnsi="Times New Roman" w:eastAsia="Times New Roman"/>
                <w:i/>
                <w:iCs/>
                <w:sz w:val="17"/>
              </w:rPr>
              <w:t xml:space="preserve">, Seed 42)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+6.39%</w:t>
            </w:r>
          </w:p>
        </w:tc>
        <w:tc>
          <w:tcPr>
            <w:vAlign w:val="center"/>
          </w:tcPr>
          <w:p>
            <w:pPr>
              <w:pStyle w:val="Compact"/>
              <w:spacing w:before="0" w:after="0" w:line="240" w:lineRule="auto"/>
              <w:jc w:val="center"/>
            </w:pPr>
            <w:r>
              <w:rPr>
                <w:rFonts w:ascii="Times New Roman" w:hAnsi="Times New Roman" w:eastAsia="Times New Roman"/>
                <w:sz w:val="17"/>
              </w:rPr>
              <w:t xml:space="preserve">+2.59%</w:t>
            </w:r>
          </w:p>
        </w:tc>
        <w:tc>
          <w:tcPr>
            <w:vAlign w:val="center"/>
          </w:tcPr>
          <w:p>
            <w:pPr>
              <w:pStyle w:val="Compact"/>
              <w:spacing w:before="0" w:after="0" w:line="240" w:lineRule="auto"/>
              <w:jc w:val="center"/>
            </w:pPr>
            <w:r>
              <w:rPr>
                <w:rFonts w:ascii="Times New Roman" w:hAnsi="Times New Roman" w:eastAsia="Times New Roman"/>
                <w:sz w:val="17"/>
              </w:rPr>
              <w:t xml:space="preserve">+10.59%</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+4.35%</w:t>
            </w:r>
          </w:p>
        </w:tc>
        <w:tc>
          <w:tcPr>
            <w:vAlign w:val="center"/>
          </w:tcPr>
          <w:p>
            <w:pPr>
              <w:pStyle w:val="Compact"/>
              <w:spacing w:before="0" w:after="0" w:line="240" w:lineRule="auto"/>
              <w:jc w:val="center"/>
            </w:pPr>
            <w:r>
              <w:rPr>
                <w:rFonts w:ascii="Times New Roman" w:hAnsi="Times New Roman" w:eastAsia="Times New Roman"/>
                <w:sz w:val="17"/>
              </w:rPr>
              <w:t xml:space="preserve">+1.33%</w:t>
            </w:r>
          </w:p>
        </w:tc>
        <w:tc>
          <w:tcPr>
            <w:vAlign w:val="center"/>
          </w:tcPr>
          <w:p>
            <w:pPr>
              <w:pStyle w:val="Compact"/>
              <w:spacing w:before="0" w:after="0" w:line="240" w:lineRule="auto"/>
              <w:jc w:val="center"/>
            </w:pPr>
            <w:r>
              <w:rPr>
                <w:rFonts w:ascii="Times New Roman" w:hAnsi="Times New Roman" w:eastAsia="Times New Roman"/>
                <w:sz w:val="17"/>
              </w:rPr>
              <w:t xml:space="preserve">+7.38%</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+2.30%</w:t>
            </w:r>
          </w:p>
        </w:tc>
        <w:tc>
          <w:tcPr>
            <w:vAlign w:val="center"/>
          </w:tcPr>
          <w:p>
            <w:pPr>
              <w:pStyle w:val="Compact"/>
              <w:spacing w:before="0" w:after="0" w:line="240" w:lineRule="auto"/>
              <w:jc w:val="center"/>
            </w:pPr>
            <w:r>
              <w:rPr>
                <w:rFonts w:ascii="Times New Roman" w:hAnsi="Times New Roman" w:eastAsia="Times New Roman"/>
                <w:sz w:val="17"/>
              </w:rPr>
              <w:t xml:space="preserve">+0.27%</w:t>
            </w:r>
          </w:p>
        </w:tc>
        <w:tc>
          <w:tcPr>
            <w:vAlign w:val="center"/>
          </w:tcPr>
          <w:p>
            <w:pPr>
              <w:pStyle w:val="Compact"/>
              <w:spacing w:before="0" w:after="0" w:line="240" w:lineRule="auto"/>
              <w:jc w:val="center"/>
            </w:pPr>
            <w:r>
              <w:rPr>
                <w:rFonts w:ascii="Times New Roman" w:hAnsi="Times New Roman" w:eastAsia="Times New Roman"/>
                <w:sz w:val="17"/>
              </w:rPr>
              <w:t xml:space="preserve">+4.41%</w:t>
            </w:r>
          </w:p>
        </w:tc>
        <w:tc>
          <w:tcPr>
            <w:vAlign w:val="center"/>
          </w:tcPr>
          <w:p>
            <w:pPr>
              <w:pStyle w:val="Compact"/>
              <w:spacing w:before="0" w:after="0" w:line="240" w:lineRule="auto"/>
              <w:jc w:val="center"/>
            </w:pPr>
            <w:r>
              <w:rPr>
                <w:rFonts w:ascii="Times New Roman" w:hAnsi="Times New Roman" w:eastAsia="Times New Roman"/>
                <w:sz w:val="17"/>
              </w:rPr>
              <w:t xml:space="preserve">0.030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-1.12%</w:t>
            </w:r>
          </w:p>
        </w:tc>
        <w:tc>
          <w:tcPr>
            <w:vAlign w:val="center"/>
          </w:tcPr>
          <w:p>
            <w:pPr>
              <w:pStyle w:val="Compact"/>
              <w:spacing w:before="0" w:after="0" w:line="240" w:lineRule="auto"/>
              <w:jc w:val="center"/>
            </w:pPr>
            <w:r>
              <w:rPr>
                <w:rFonts w:ascii="Times New Roman" w:hAnsi="Times New Roman" w:eastAsia="Times New Roman"/>
                <w:sz w:val="17"/>
              </w:rPr>
              <w:t xml:space="preserve">-2.80%</w:t>
            </w:r>
          </w:p>
        </w:tc>
        <w:tc>
          <w:tcPr>
            <w:vAlign w:val="center"/>
          </w:tcPr>
          <w:p>
            <w:pPr>
              <w:pStyle w:val="Compact"/>
              <w:spacing w:before="0" w:after="0" w:line="240" w:lineRule="auto"/>
              <w:jc w:val="center"/>
            </w:pPr>
            <w:r>
              <w:rPr>
                <w:rFonts w:ascii="Times New Roman" w:hAnsi="Times New Roman" w:eastAsia="Times New Roman"/>
                <w:sz w:val="17"/>
              </w:rPr>
              <w:t xml:space="preserve">+0.40%</w:t>
            </w:r>
          </w:p>
        </w:tc>
        <w:tc>
          <w:tcPr>
            <w:vAlign w:val="center"/>
          </w:tcPr>
          <w:p>
            <w:pPr>
              <w:pStyle w:val="Compact"/>
              <w:spacing w:before="0" w:after="0" w:line="240" w:lineRule="auto"/>
              <w:jc w:val="center"/>
            </w:pPr>
            <w:r>
              <w:rPr>
                <w:rFonts w:ascii="Times New Roman" w:hAnsi="Times New Roman" w:eastAsia="Times New Roman"/>
                <w:sz w:val="17"/>
              </w:rPr>
              <w:t xml:space="preserve">0.144</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(No-LIA)</w:t>
            </w:r>
          </w:p>
        </w:tc>
        <w:tc>
          <w:tcPr>
            <w:vAlign w:val="center"/>
          </w:tcPr>
          <w:p>
            <w:pPr>
              <w:pStyle w:val="Compact"/>
              <w:spacing w:before="0" w:after="0" w:line="240" w:lineRule="auto"/>
              <w:jc w:val="center"/>
            </w:pPr>
            <w:r>
              <w:rPr>
                <w:rFonts w:ascii="Times New Roman" w:hAnsi="Times New Roman" w:eastAsia="Times New Roman"/>
                <w:sz w:val="17"/>
              </w:rPr>
              <w:t xml:space="preserve">+2.04%</w:t>
            </w:r>
          </w:p>
        </w:tc>
        <w:tc>
          <w:tcPr>
            <w:vAlign w:val="center"/>
          </w:tcPr>
          <w:p>
            <w:pPr>
              <w:pStyle w:val="Compact"/>
              <w:spacing w:before="0" w:after="0" w:line="240" w:lineRule="auto"/>
              <w:jc w:val="center"/>
            </w:pPr>
            <w:r>
              <w:rPr>
                <w:rFonts w:ascii="Times New Roman" w:hAnsi="Times New Roman" w:eastAsia="Times New Roman"/>
                <w:sz w:val="17"/>
              </w:rPr>
              <w:t xml:space="preserve">+0.98%</w:t>
            </w:r>
          </w:p>
        </w:tc>
        <w:tc>
          <w:tcPr>
            <w:vAlign w:val="center"/>
          </w:tcPr>
          <w:p>
            <w:pPr>
              <w:pStyle w:val="Compact"/>
              <w:spacing w:before="0" w:after="0" w:line="240" w:lineRule="auto"/>
              <w:jc w:val="center"/>
            </w:pPr>
            <w:r>
              <w:rPr>
                <w:rFonts w:ascii="Times New Roman" w:hAnsi="Times New Roman" w:eastAsia="Times New Roman"/>
                <w:sz w:val="17"/>
              </w:rPr>
              <w:t xml:space="preserve">+3.13%</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(No-CrossAttn)</w:t>
            </w:r>
          </w:p>
        </w:tc>
        <w:tc>
          <w:tcPr>
            <w:vAlign w:val="center"/>
          </w:tcPr>
          <w:p>
            <w:pPr>
              <w:pStyle w:val="Compact"/>
              <w:spacing w:before="0" w:after="0" w:line="240" w:lineRule="auto"/>
              <w:jc w:val="center"/>
            </w:pPr>
            <w:r>
              <w:rPr>
                <w:rFonts w:ascii="Times New Roman" w:hAnsi="Times New Roman" w:eastAsia="Times New Roman"/>
                <w:sz w:val="17"/>
              </w:rPr>
              <w:t xml:space="preserve">+1.42%</w:t>
            </w:r>
          </w:p>
        </w:tc>
        <w:tc>
          <w:tcPr>
            <w:vAlign w:val="center"/>
          </w:tcPr>
          <w:p>
            <w:pPr>
              <w:pStyle w:val="Compact"/>
              <w:spacing w:before="0" w:after="0" w:line="240" w:lineRule="auto"/>
              <w:jc w:val="center"/>
            </w:pPr>
            <w:r>
              <w:rPr>
                <w:rFonts w:ascii="Times New Roman" w:hAnsi="Times New Roman" w:eastAsia="Times New Roman"/>
                <w:sz w:val="17"/>
              </w:rPr>
              <w:t xml:space="preserve">+0.33%</w:t>
            </w:r>
          </w:p>
        </w:tc>
        <w:tc>
          <w:tcPr>
            <w:vAlign w:val="center"/>
          </w:tcPr>
          <w:p>
            <w:pPr>
              <w:pStyle w:val="Compact"/>
              <w:spacing w:before="0" w:after="0" w:line="240" w:lineRule="auto"/>
              <w:jc w:val="center"/>
            </w:pPr>
            <w:r>
              <w:rPr>
                <w:rFonts w:ascii="Times New Roman" w:hAnsi="Times New Roman" w:eastAsia="Times New Roman"/>
                <w:sz w:val="17"/>
              </w:rPr>
              <w:t xml:space="preserve">+2.60%</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(No-GeoLoss)</w:t>
            </w:r>
          </w:p>
        </w:tc>
        <w:tc>
          <w:tcPr>
            <w:vAlign w:val="center"/>
          </w:tcPr>
          <w:p>
            <w:pPr>
              <w:pStyle w:val="Compact"/>
              <w:spacing w:before="0" w:after="0" w:line="240" w:lineRule="auto"/>
              <w:jc w:val="center"/>
            </w:pPr>
            <w:r>
              <w:rPr>
                <w:rFonts w:ascii="Times New Roman" w:hAnsi="Times New Roman" w:eastAsia="Times New Roman"/>
                <w:sz w:val="17"/>
              </w:rPr>
              <w:t xml:space="preserve">+3.16%</w:t>
            </w:r>
          </w:p>
        </w:tc>
        <w:tc>
          <w:tcPr>
            <w:vAlign w:val="center"/>
          </w:tcPr>
          <w:p>
            <w:pPr>
              <w:pStyle w:val="Compact"/>
              <w:spacing w:before="0" w:after="0" w:line="240" w:lineRule="auto"/>
              <w:jc w:val="center"/>
            </w:pPr>
            <w:r>
              <w:rPr>
                <w:rFonts w:ascii="Times New Roman" w:hAnsi="Times New Roman" w:eastAsia="Times New Roman"/>
                <w:sz w:val="17"/>
              </w:rPr>
              <w:t xml:space="preserve">+1.49%</w:t>
            </w:r>
          </w:p>
        </w:tc>
        <w:tc>
          <w:tcPr>
            <w:vAlign w:val="center"/>
          </w:tcPr>
          <w:p>
            <w:pPr>
              <w:pStyle w:val="Compact"/>
              <w:spacing w:before="0" w:after="0" w:line="240" w:lineRule="auto"/>
              <w:jc w:val="center"/>
            </w:pPr>
            <w:r>
              <w:rPr>
                <w:rFonts w:ascii="Times New Roman" w:hAnsi="Times New Roman" w:eastAsia="Times New Roman"/>
                <w:sz w:val="17"/>
              </w:rPr>
              <w:t xml:space="preserve">+4.75%</w:t>
            </w:r>
          </w:p>
        </w:tc>
        <w:tc>
          <w:tcPr>
            <w:vAlign w:val="center"/>
          </w:tcPr>
          <w:p>
            <w:pPr>
              <w:pStyle w:val="Compact"/>
              <w:spacing w:before="0" w:after="0" w:line="240" w:lineRule="auto"/>
              <w:jc w:val="center"/>
            </w:pPr>
            <w:r>
              <w:rPr>
                <w:rFonts w:ascii="Times New Roman" w:hAnsi="Times New Roman" w:eastAsia="Times New Roman"/>
                <w:sz w:val="17"/>
              </w:rPr>
              <w:t xml:space="preserve">0.002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(No-Aspect)</w:t>
            </w:r>
          </w:p>
        </w:tc>
        <w:tc>
          <w:tcPr>
            <w:vAlign w:val="center"/>
          </w:tcPr>
          <w:p>
            <w:pPr>
              <w:pStyle w:val="Compact"/>
              <w:spacing w:before="0" w:after="0" w:line="240" w:lineRule="auto"/>
              <w:jc w:val="center"/>
            </w:pPr>
            <w:r>
              <w:rPr>
                <w:rFonts w:ascii="Times New Roman" w:hAnsi="Times New Roman" w:eastAsia="Times New Roman"/>
                <w:sz w:val="17"/>
              </w:rPr>
              <w:t xml:space="preserve">-0.09%</w:t>
            </w:r>
          </w:p>
        </w:tc>
        <w:tc>
          <w:tcPr>
            <w:vAlign w:val="center"/>
          </w:tcPr>
          <w:p>
            <w:pPr>
              <w:pStyle w:val="Compact"/>
              <w:spacing w:before="0" w:after="0" w:line="240" w:lineRule="auto"/>
              <w:jc w:val="center"/>
            </w:pPr>
            <w:r>
              <w:rPr>
                <w:rFonts w:ascii="Times New Roman" w:hAnsi="Times New Roman" w:eastAsia="Times New Roman"/>
                <w:sz w:val="17"/>
              </w:rPr>
              <w:t xml:space="preserve">-1.39%</w:t>
            </w:r>
          </w:p>
        </w:tc>
        <w:tc>
          <w:tcPr>
            <w:vAlign w:val="center"/>
          </w:tcPr>
          <w:p>
            <w:pPr>
              <w:pStyle w:val="Compact"/>
              <w:spacing w:before="0" w:after="0" w:line="240" w:lineRule="auto"/>
              <w:jc w:val="center"/>
            </w:pPr>
            <w:r>
              <w:rPr>
                <w:rFonts w:ascii="Times New Roman" w:hAnsi="Times New Roman" w:eastAsia="Times New Roman"/>
                <w:sz w:val="17"/>
              </w:rPr>
              <w:t xml:space="preserve">+1.04%</w:t>
            </w:r>
          </w:p>
        </w:tc>
        <w:tc>
          <w:tcPr>
            <w:vAlign w:val="center"/>
          </w:tcPr>
          <w:p>
            <w:pPr>
              <w:pStyle w:val="Compact"/>
              <w:spacing w:before="0" w:after="0" w:line="240" w:lineRule="auto"/>
              <w:jc w:val="center"/>
            </w:pPr>
            <w:r>
              <w:rPr>
                <w:rFonts w:ascii="Times New Roman" w:hAnsi="Times New Roman" w:eastAsia="Times New Roman"/>
                <w:sz w:val="17"/>
              </w:rPr>
              <w:t xml:space="preserve">0.942</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B: Multi-Region Spatial Sampling (339 Blocks, Seed 42, Micro-F1)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+12.77%</w:t>
            </w:r>
          </w:p>
        </w:tc>
        <w:tc>
          <w:tcPr>
            <w:vAlign w:val="center"/>
          </w:tcPr>
          <w:p>
            <w:pPr>
              <w:pStyle w:val="Compact"/>
              <w:spacing w:before="0" w:after="0" w:line="240" w:lineRule="auto"/>
              <w:jc w:val="center"/>
            </w:pPr>
            <w:r>
              <w:rPr>
                <w:rFonts w:ascii="Times New Roman" w:hAnsi="Times New Roman" w:eastAsia="Times New Roman"/>
                <w:sz w:val="17"/>
              </w:rPr>
              <w:t xml:space="preserve">+9.18%</w:t>
            </w:r>
          </w:p>
        </w:tc>
        <w:tc>
          <w:tcPr>
            <w:vAlign w:val="center"/>
          </w:tcPr>
          <w:p>
            <w:pPr>
              <w:pStyle w:val="Compact"/>
              <w:spacing w:before="0" w:after="0" w:line="240" w:lineRule="auto"/>
              <w:jc w:val="center"/>
            </w:pPr>
            <w:r>
              <w:rPr>
                <w:rFonts w:ascii="Times New Roman" w:hAnsi="Times New Roman" w:eastAsia="Times New Roman"/>
                <w:sz w:val="17"/>
              </w:rPr>
              <w:t xml:space="preserve">+16.61%</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+4.30%</w:t>
            </w:r>
          </w:p>
        </w:tc>
        <w:tc>
          <w:tcPr>
            <w:vAlign w:val="center"/>
          </w:tcPr>
          <w:p>
            <w:pPr>
              <w:pStyle w:val="Compact"/>
              <w:spacing w:before="0" w:after="0" w:line="240" w:lineRule="auto"/>
              <w:jc w:val="center"/>
            </w:pPr>
            <w:r>
              <w:rPr>
                <w:rFonts w:ascii="Times New Roman" w:hAnsi="Times New Roman" w:eastAsia="Times New Roman"/>
                <w:sz w:val="17"/>
              </w:rPr>
              <w:t xml:space="preserve">+1.54%</w:t>
            </w:r>
          </w:p>
        </w:tc>
        <w:tc>
          <w:tcPr>
            <w:vAlign w:val="center"/>
          </w:tcPr>
          <w:p>
            <w:pPr>
              <w:pStyle w:val="Compact"/>
              <w:spacing w:before="0" w:after="0" w:line="240" w:lineRule="auto"/>
              <w:jc w:val="center"/>
            </w:pPr>
            <w:r>
              <w:rPr>
                <w:rFonts w:ascii="Times New Roman" w:hAnsi="Times New Roman" w:eastAsia="Times New Roman"/>
                <w:sz w:val="17"/>
              </w:rPr>
              <w:t xml:space="preserve">+6.97%</w:t>
            </w:r>
          </w:p>
        </w:tc>
        <w:tc>
          <w:tcPr>
            <w:vAlign w:val="center"/>
          </w:tcPr>
          <w:p>
            <w:pPr>
              <w:pStyle w:val="Compact"/>
              <w:spacing w:before="0" w:after="0" w:line="240" w:lineRule="auto"/>
              <w:jc w:val="center"/>
            </w:pPr>
            <w:r>
              <w:rPr>
                <w:rFonts w:ascii="Times New Roman" w:hAnsi="Times New Roman" w:eastAsia="Times New Roman"/>
                <w:sz w:val="17"/>
              </w:rPr>
              <w:t xml:space="preserve">0.002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+3.27%</w:t>
            </w:r>
          </w:p>
        </w:tc>
        <w:tc>
          <w:tcPr>
            <w:vAlign w:val="center"/>
          </w:tcPr>
          <w:p>
            <w:pPr>
              <w:pStyle w:val="Compact"/>
              <w:spacing w:before="0" w:after="0" w:line="240" w:lineRule="auto"/>
              <w:jc w:val="center"/>
            </w:pPr>
            <w:r>
              <w:rPr>
                <w:rFonts w:ascii="Times New Roman" w:hAnsi="Times New Roman" w:eastAsia="Times New Roman"/>
                <w:sz w:val="17"/>
              </w:rPr>
              <w:t xml:space="preserve">+1.12%</w:t>
            </w:r>
          </w:p>
        </w:tc>
        <w:tc>
          <w:tcPr>
            <w:vAlign w:val="center"/>
          </w:tcPr>
          <w:p>
            <w:pPr>
              <w:pStyle w:val="Compact"/>
              <w:spacing w:before="0" w:after="0" w:line="240" w:lineRule="auto"/>
              <w:jc w:val="center"/>
            </w:pPr>
            <w:r>
              <w:rPr>
                <w:rFonts w:ascii="Times New Roman" w:hAnsi="Times New Roman" w:eastAsia="Times New Roman"/>
                <w:sz w:val="17"/>
              </w:rPr>
              <w:t xml:space="preserve">+5.37%</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+2.47%</w:t>
            </w:r>
          </w:p>
        </w:tc>
        <w:tc>
          <w:tcPr>
            <w:vAlign w:val="center"/>
          </w:tcPr>
          <w:p>
            <w:pPr>
              <w:pStyle w:val="Compact"/>
              <w:spacing w:before="0" w:after="0" w:line="240" w:lineRule="auto"/>
              <w:jc w:val="center"/>
            </w:pPr>
            <w:r>
              <w:rPr>
                <w:rFonts w:ascii="Times New Roman" w:hAnsi="Times New Roman" w:eastAsia="Times New Roman"/>
                <w:sz w:val="17"/>
              </w:rPr>
              <w:t xml:space="preserve">+0.41%</w:t>
            </w:r>
          </w:p>
        </w:tc>
        <w:tc>
          <w:tcPr>
            <w:vAlign w:val="center"/>
          </w:tcPr>
          <w:p>
            <w:pPr>
              <w:pStyle w:val="Compact"/>
              <w:spacing w:before="0" w:after="0" w:line="240" w:lineRule="auto"/>
              <w:jc w:val="center"/>
            </w:pPr>
            <w:r>
              <w:rPr>
                <w:rFonts w:ascii="Times New Roman" w:hAnsi="Times New Roman" w:eastAsia="Times New Roman"/>
                <w:sz w:val="17"/>
              </w:rPr>
              <w:t xml:space="preserve">+4.60%</w:t>
            </w:r>
          </w:p>
        </w:tc>
        <w:tc>
          <w:tcPr>
            <w:vAlign w:val="center"/>
          </w:tcPr>
          <w:p>
            <w:pPr>
              <w:pStyle w:val="Compact"/>
              <w:spacing w:before="0" w:after="0" w:line="240" w:lineRule="auto"/>
              <w:jc w:val="center"/>
            </w:pPr>
            <w:r>
              <w:rPr>
                <w:rFonts w:ascii="Times New Roman" w:hAnsi="Times New Roman" w:eastAsia="Times New Roman"/>
                <w:sz w:val="17"/>
              </w:rPr>
              <w:t xml:space="preserve">0.026</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C: Multi-Seed Training Uncertainty (Paired t-Test across 3 Seeds, Macro-F1)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+8.92%</w:t>
            </w:r>
          </w:p>
        </w:tc>
        <w:tc>
          <w:tcPr>
            <w:vAlign w:val="center"/>
          </w:tcPr>
          <w:p>
            <w:pPr>
              <w:pStyle w:val="Compact"/>
              <w:spacing w:before="0" w:after="0" w:line="240" w:lineRule="auto"/>
              <w:jc w:val="center"/>
            </w:pPr>
            <w:r>
              <w:rPr>
                <w:rFonts w:ascii="Times New Roman" w:hAnsi="Times New Roman" w:eastAsia="Times New Roman"/>
                <w:sz w:val="17"/>
              </w:rPr>
              <w:t xml:space="preserve">+3.25%</w:t>
            </w:r>
          </w:p>
        </w:tc>
        <w:tc>
          <w:tcPr>
            <w:vAlign w:val="center"/>
          </w:tcPr>
          <w:p>
            <w:pPr>
              <w:pStyle w:val="Compact"/>
              <w:spacing w:before="0" w:after="0" w:line="240" w:lineRule="auto"/>
              <w:jc w:val="center"/>
            </w:pPr>
            <w:r>
              <w:rPr>
                <w:rFonts w:ascii="Times New Roman" w:hAnsi="Times New Roman" w:eastAsia="Times New Roman"/>
                <w:sz w:val="17"/>
              </w:rPr>
              <w:t xml:space="preserve">+14.59%</w:t>
            </w:r>
          </w:p>
        </w:tc>
        <w:tc>
          <w:tcPr>
            <w:vAlign w:val="center"/>
          </w:tcPr>
          <w:p>
            <w:pPr>
              <w:pStyle w:val="Compact"/>
              <w:spacing w:before="0" w:after="0" w:line="240" w:lineRule="auto"/>
              <w:jc w:val="center"/>
            </w:pPr>
            <w:r>
              <w:rPr>
                <w:rFonts w:ascii="Times New Roman" w:hAnsi="Times New Roman" w:eastAsia="Times New Roman"/>
                <w:sz w:val="17"/>
              </w:rPr>
              <w:t xml:space="preserve">0.021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+0.86%</w:t>
            </w:r>
          </w:p>
        </w:tc>
        <w:tc>
          <w:tcPr>
            <w:vAlign w:val="center"/>
          </w:tcPr>
          <w:p>
            <w:pPr>
              <w:pStyle w:val="Compact"/>
              <w:spacing w:before="0" w:after="0" w:line="240" w:lineRule="auto"/>
              <w:jc w:val="center"/>
            </w:pPr>
            <w:r>
              <w:rPr>
                <w:rFonts w:ascii="Times New Roman" w:hAnsi="Times New Roman" w:eastAsia="Times New Roman"/>
                <w:sz w:val="17"/>
              </w:rPr>
              <w:t xml:space="preserve">-3.23%</w:t>
            </w:r>
          </w:p>
        </w:tc>
        <w:tc>
          <w:tcPr>
            <w:vAlign w:val="center"/>
          </w:tcPr>
          <w:p>
            <w:pPr>
              <w:pStyle w:val="Compact"/>
              <w:spacing w:before="0" w:after="0" w:line="240" w:lineRule="auto"/>
              <w:jc w:val="center"/>
            </w:pPr>
            <w:r>
              <w:rPr>
                <w:rFonts w:ascii="Times New Roman" w:hAnsi="Times New Roman" w:eastAsia="Times New Roman"/>
                <w:sz w:val="17"/>
              </w:rPr>
              <w:t xml:space="preserve">+4.96%</w:t>
            </w:r>
          </w:p>
        </w:tc>
        <w:tc>
          <w:tcPr>
            <w:vAlign w:val="center"/>
          </w:tcPr>
          <w:p>
            <w:pPr>
              <w:pStyle w:val="Compact"/>
              <w:spacing w:before="0" w:after="0" w:line="240" w:lineRule="auto"/>
              <w:jc w:val="center"/>
            </w:pPr>
            <w:r>
              <w:rPr>
                <w:rFonts w:ascii="Times New Roman" w:hAnsi="Times New Roman" w:eastAsia="Times New Roman"/>
                <w:sz w:val="17"/>
              </w:rPr>
              <w:t xml:space="preserve">0.459</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+0.65%</w:t>
            </w:r>
          </w:p>
        </w:tc>
        <w:tc>
          <w:tcPr>
            <w:vAlign w:val="center"/>
          </w:tcPr>
          <w:p>
            <w:pPr>
              <w:pStyle w:val="Compact"/>
              <w:spacing w:before="0" w:after="0" w:line="240" w:lineRule="auto"/>
              <w:jc w:val="center"/>
            </w:pPr>
            <w:r>
              <w:rPr>
                <w:rFonts w:ascii="Times New Roman" w:hAnsi="Times New Roman" w:eastAsia="Times New Roman"/>
                <w:sz w:val="17"/>
              </w:rPr>
              <w:t xml:space="preserve">-4.69%</w:t>
            </w:r>
          </w:p>
        </w:tc>
        <w:tc>
          <w:tcPr>
            <w:vAlign w:val="center"/>
          </w:tcPr>
          <w:p>
            <w:pPr>
              <w:pStyle w:val="Compact"/>
              <w:spacing w:before="0" w:after="0" w:line="240" w:lineRule="auto"/>
              <w:jc w:val="center"/>
            </w:pPr>
            <w:r>
              <w:rPr>
                <w:rFonts w:ascii="Times New Roman" w:hAnsi="Times New Roman" w:eastAsia="Times New Roman"/>
                <w:sz w:val="17"/>
              </w:rPr>
              <w:t xml:space="preserve">+5.99%</w:t>
            </w:r>
          </w:p>
        </w:tc>
        <w:tc>
          <w:tcPr>
            <w:vAlign w:val="center"/>
          </w:tcPr>
          <w:p>
            <w:pPr>
              <w:pStyle w:val="Compact"/>
              <w:spacing w:before="0" w:after="0" w:line="240" w:lineRule="auto"/>
              <w:jc w:val="center"/>
            </w:pPr>
            <w:r>
              <w:rPr>
                <w:rFonts w:ascii="Times New Roman" w:hAnsi="Times New Roman" w:eastAsia="Times New Roman"/>
                <w:sz w:val="17"/>
              </w:rPr>
              <w:t xml:space="preserve">0.651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+0.38%</w:t>
            </w:r>
          </w:p>
        </w:tc>
        <w:tc>
          <w:tcPr>
            <w:vAlign w:val="center"/>
          </w:tcPr>
          <w:p>
            <w:pPr>
              <w:pStyle w:val="Compact"/>
              <w:spacing w:before="0" w:after="0" w:line="240" w:lineRule="auto"/>
              <w:jc w:val="center"/>
            </w:pPr>
            <w:r>
              <w:rPr>
                <w:rFonts w:ascii="Times New Roman" w:hAnsi="Times New Roman" w:eastAsia="Times New Roman"/>
                <w:sz w:val="17"/>
              </w:rPr>
              <w:t xml:space="preserve">-8.28%</w:t>
            </w:r>
          </w:p>
        </w:tc>
        <w:tc>
          <w:tcPr>
            <w:vAlign w:val="center"/>
          </w:tcPr>
          <w:p>
            <w:pPr>
              <w:pStyle w:val="Compact"/>
              <w:spacing w:before="0" w:after="0" w:line="240" w:lineRule="auto"/>
              <w:jc w:val="center"/>
            </w:pPr>
            <w:r>
              <w:rPr>
                <w:rFonts w:ascii="Times New Roman" w:hAnsi="Times New Roman" w:eastAsia="Times New Roman"/>
                <w:sz w:val="17"/>
              </w:rPr>
              <w:t xml:space="preserve">+9.04%</w:t>
            </w:r>
          </w:p>
        </w:tc>
        <w:tc>
          <w:tcPr>
            <w:vAlign w:val="center"/>
          </w:tcPr>
          <w:p>
            <w:pPr>
              <w:pStyle w:val="Compact"/>
              <w:spacing w:before="0" w:after="0" w:line="240" w:lineRule="auto"/>
              <w:jc w:val="center"/>
            </w:pPr>
            <w:r>
              <w:rPr>
                <w:rFonts w:ascii="Times New Roman" w:hAnsi="Times New Roman" w:eastAsia="Times New Roman"/>
                <w:sz w:val="17"/>
              </w:rPr>
              <w:t xml:space="preserve">0.869</w:t>
            </w:r>
          </w:p>
        </w:tc>
      </w:tr>
    </w:tbl>
    <w:p>
      <w:pPr>
        <w:pStyle w:val="BodyText"/>
        <w:spacing w:after="0" w:line="240" w:lineRule="auto"/>
      </w:pPr>
      <w:r>
        <w:rPr>
          <w:rFonts w:ascii="Times New Roman" w:hAnsi="Times New Roman" w:eastAsia="Times New Roman"/>
          <w:sz w:val="20"/>
        </w:rPr>
        <w:t xml:space="preserve">The bootstrap confidence intervals and seed-level tests distinguish spatial-sampling stability from training-seed variance. In the coastal Scandinavian Arctic setting (Part A), against Attention U-Net, TopoRadar-Net records a mean paired regional difference of</w:t>
      </w:r>
      <w:r>
        <w:rPr>
          <w:rFonts w:ascii="Times New Roman" w:hAnsi="Times New Roman" w:eastAsia="Times New Roman"/>
          <w:sz w:val="20"/>
        </w:rPr>
        <w:t xml:space="preserve"> </w:t>
      </w:r>
      <m:oMath>
        <m:r>
          <m:rPr>
            <m:sty m:val="p"/>
          </m:rPr>
          <m:t>+</m:t>
        </m:r>
        <m:r>
          <m:t>2.30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with a 95% CI of</w:t>
      </w:r>
      <w:r>
        <w:rPr>
          <w:rFonts w:ascii="Times New Roman" w:hAnsi="Times New Roman" w:eastAsia="Times New Roman"/>
          <w:sz w:val="20"/>
        </w:rPr>
        <w:t xml:space="preserve"> </w:t>
      </w:r>
      <m:oMath>
        <m:r>
          <m:rPr>
            <m:sty m:val="p"/>
          </m:rPr>
          <m:t>[</m:t>
        </m:r>
        <m:r>
          <m:rPr>
            <m:sty m:val="p"/>
          </m:rPr>
          <m:t>+</m:t>
        </m:r>
        <m:r>
          <m:t>0.27</m:t>
        </m:r>
        <m:r>
          <m:rPr>
            <m:sty m:val="p"/>
          </m:rPr>
          <m:t>%</m:t>
        </m:r>
        <m:r>
          <m:rPr>
            <m:sty m:val="p"/>
          </m:rPr>
          <m:t>,</m:t>
        </m:r>
        <m:r>
          <m:rPr>
            <m:sty m:val="p"/>
          </m:rPr>
          <m:t>+</m:t>
        </m:r>
        <m:r>
          <m:t>4.41</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0.030</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4.35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versus ResU-Net (</w:t>
      </w:r>
      <m:oMath>
        <m:r>
          <m:t>p</m:t>
        </m:r>
        <m:r>
          <m:rPr>
            <m:sty m:val="p"/>
          </m:rPr>
          <m:t>=</m:t>
        </m:r>
        <m:r>
          <m:t>0.010</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rPr>
            <m:sty m:val="p"/>
          </m:rPr>
          <m:t>+</m:t>
        </m:r>
        <m:r>
          <m:t>6.39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versus SiamUNet-diff (</w:t>
      </w:r>
      <m:oMath>
        <m:r>
          <m:t>p</m:t>
        </m:r>
        <m:r>
          <m:rPr>
            <m:sty m:val="p"/>
          </m:rPr>
          <m:t>&lt;</m:t>
        </m:r>
        <m:r>
          <m:t>0.001</m:t>
        </m:r>
      </m:oMath>
      <w:r>
        <w:rPr>
          <w:rFonts w:ascii="Times New Roman" w:hAnsi="Times New Roman" w:eastAsia="Times New Roman"/>
          <w:sz w:val="20"/>
        </w:rPr>
        <w:t xml:space="preserve">). Under spatial block resampling across all 339 spatial blocks conditional on Seed 42 (Part B), the micro-F1 differences are Attention U-Net</w:t>
      </w:r>
      <w:r>
        <w:rPr>
          <w:rFonts w:ascii="Times New Roman" w:hAnsi="Times New Roman" w:eastAsia="Times New Roman"/>
          <w:sz w:val="20"/>
        </w:rPr>
        <w:t xml:space="preserve"> </w:t>
      </w:r>
      <m:oMath>
        <m:r>
          <m:rPr>
            <m:sty m:val="p"/>
          </m:rPr>
          <m:t>+</m:t>
        </m:r>
        <m:r>
          <m:t>3.27</m:t>
        </m:r>
        <m:r>
          <m:rPr>
            <m:sty m:val="p"/>
          </m:rPr>
          <m:t>%</m:t>
        </m:r>
      </m:oMath>
      <w:r>
        <w:rPr>
          <w:rFonts w:ascii="Times New Roman" w:hAnsi="Times New Roman" w:eastAsia="Times New Roman"/>
          <w:sz w:val="20"/>
        </w:rPr>
        <w:t xml:space="preserve">, ResU-Net</w:t>
      </w:r>
      <w:r>
        <w:rPr>
          <w:rFonts w:ascii="Times New Roman" w:hAnsi="Times New Roman" w:eastAsia="Times New Roman"/>
          <w:sz w:val="20"/>
        </w:rPr>
        <w:t xml:space="preserve"> </w:t>
      </w:r>
      <m:oMath>
        <m:r>
          <m:rPr>
            <m:sty m:val="p"/>
          </m:rPr>
          <m:t>+</m:t>
        </m:r>
        <m:r>
          <m:t>4.30</m:t>
        </m:r>
        <m:r>
          <m:rPr>
            <m:sty m:val="p"/>
          </m:rPr>
          <m:t>%</m:t>
        </m:r>
      </m:oMath>
      <w:r>
        <w:rPr>
          <w:rFonts w:ascii="Times New Roman" w:hAnsi="Times New Roman" w:eastAsia="Times New Roman"/>
          <w:sz w:val="20"/>
        </w:rPr>
        <w:t xml:space="preserve">, SiamUNet-conc</w:t>
      </w:r>
      <w:r>
        <w:rPr>
          <w:rFonts w:ascii="Times New Roman" w:hAnsi="Times New Roman" w:eastAsia="Times New Roman"/>
          <w:sz w:val="20"/>
        </w:rPr>
        <w:t xml:space="preserve"> </w:t>
      </w:r>
      <m:oMath>
        <m:r>
          <m:rPr>
            <m:sty m:val="p"/>
          </m:rPr>
          <m:t>+</m:t>
        </m:r>
        <m:r>
          <m:t>2.47</m:t>
        </m:r>
        <m:r>
          <m:rPr>
            <m:sty m:val="p"/>
          </m:rPr>
          <m:t>%</m:t>
        </m:r>
      </m:oMath>
      <w:r>
        <w:rPr>
          <w:rFonts w:ascii="Times New Roman" w:hAnsi="Times New Roman" w:eastAsia="Times New Roman"/>
          <w:sz w:val="20"/>
        </w:rPr>
        <w:t xml:space="preserve">, and SiamUNet-diff</w:t>
      </w:r>
      <w:r>
        <w:rPr>
          <w:rFonts w:ascii="Times New Roman" w:hAnsi="Times New Roman" w:eastAsia="Times New Roman"/>
          <w:sz w:val="20"/>
        </w:rPr>
        <w:t xml:space="preserve"> </w:t>
      </w:r>
      <m:oMath>
        <m:r>
          <m:rPr>
            <m:sty m:val="p"/>
          </m:rPr>
          <m:t>+</m:t>
        </m:r>
        <m:r>
          <m:t>12.77</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Repeating the pooled 339-block comparison with an independently seeded bootstrap for every training seed gives</w:t>
      </w:r>
      <w:r>
        <w:rPr>
          <w:rFonts w:ascii="Times New Roman" w:hAnsi="Times New Roman" w:eastAsia="Times New Roman"/>
          <w:sz w:val="20"/>
        </w:rPr>
        <w:t xml:space="preserve"> </w:t>
      </w:r>
      <m:oMath>
        <m:r>
          <m:rPr>
            <m:sty m:val="p"/>
          </m:rPr>
          <m:t>+</m:t>
        </m:r>
        <m:r>
          <m:t>3.26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(95% CI</w:t>
      </w:r>
      <w:r>
        <w:rPr>
          <w:rFonts w:ascii="Times New Roman" w:hAnsi="Times New Roman" w:eastAsia="Times New Roman"/>
          <w:sz w:val="20"/>
        </w:rPr>
        <w:t xml:space="preserve"> </w:t>
      </w:r>
      <m:oMath>
        <m:r>
          <m:rPr>
            <m:sty m:val="p"/>
          </m:rPr>
          <m:t>[</m:t>
        </m:r>
        <m:r>
          <m:rPr>
            <m:sty m:val="p"/>
          </m:rPr>
          <m:t>+</m:t>
        </m:r>
        <m:r>
          <m:t>1.32</m:t>
        </m:r>
        <m:r>
          <m:rPr>
            <m:sty m:val="p"/>
          </m:rPr>
          <m:t>,</m:t>
        </m:r>
        <m:r>
          <m:rPr>
            <m:sty m:val="p"/>
          </m:rPr>
          <m:t>+</m:t>
        </m:r>
        <m:r>
          <m:t>5.33</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0.002</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2.99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rPr>
            <m:sty m:val="p"/>
          </m:rPr>
          <m:t>[</m:t>
        </m:r>
        <m:r>
          <m:rPr>
            <m:sty m:val="p"/>
          </m:rPr>
          <m:t>−</m:t>
        </m:r>
        <m:r>
          <m:t>6.67</m:t>
        </m:r>
        <m:r>
          <m:rPr>
            <m:sty m:val="p"/>
          </m:rPr>
          <m:t>,</m:t>
        </m:r>
        <m:r>
          <m:rPr>
            <m:sty m:val="p"/>
          </m:rPr>
          <m:t>+</m:t>
        </m:r>
        <m:r>
          <m:t>0.08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0.060</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rPr>
            <m:sty m:val="p"/>
          </m:rPr>
          <m:t>+</m:t>
        </m:r>
        <m:r>
          <m:t>4.16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rPr>
            <m:sty m:val="p"/>
          </m:rPr>
          <m:t>[</m:t>
        </m:r>
        <m:r>
          <m:rPr>
            <m:sty m:val="p"/>
          </m:rPr>
          <m:t>+</m:t>
        </m:r>
        <m:r>
          <m:t>1.00</m:t>
        </m:r>
        <m:r>
          <m:rPr>
            <m:sty m:val="p"/>
          </m:rPr>
          <m:t>,</m:t>
        </m:r>
        <m:r>
          <m:rPr>
            <m:sty m:val="p"/>
          </m:rPr>
          <m:t>+</m:t>
        </m:r>
        <m:r>
          <m:t>7.27</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0.016</m:t>
        </m:r>
      </m:oMath>
      <w:r>
        <w:rPr>
          <w:rFonts w:ascii="Times New Roman" w:hAnsi="Times New Roman" w:eastAsia="Times New Roman"/>
          <w:sz w:val="20"/>
        </w:rPr>
        <w:t xml:space="preserve">) for Seeds 42, 123, and 456, respectively. The Seed-42 value differs from Part B’s</w:t>
      </w:r>
      <w:r>
        <w:rPr>
          <w:rFonts w:ascii="Times New Roman" w:hAnsi="Times New Roman" w:eastAsia="Times New Roman"/>
          <w:sz w:val="20"/>
        </w:rPr>
        <w:t xml:space="preserve"> </w:t>
      </w:r>
      <m:oMath>
        <m:r>
          <m:rPr>
            <m:sty m:val="p"/>
          </m:rPr>
          <m:t>+</m:t>
        </m:r>
        <m:r>
          <m:t>3.27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only because R003 and R008 use independent deterministic bootstrap streams over the same 339 blocks. The descriptive across-seed mean is</w:t>
      </w:r>
      <w:r>
        <w:rPr>
          <w:rFonts w:ascii="Times New Roman" w:hAnsi="Times New Roman" w:eastAsia="Times New Roman"/>
          <w:sz w:val="20"/>
        </w:rPr>
        <w:t xml:space="preserve"> </w:t>
      </w:r>
      <m:oMath>
        <m:r>
          <m:rPr>
            <m:sty m:val="p"/>
          </m:rPr>
          <m:t>+</m:t>
        </m:r>
        <m:r>
          <m:t>1.48</m:t>
        </m:r>
        <m:r>
          <m:rPr>
            <m:sty m:val="p"/>
          </m:rPr>
          <m:t>%</m:t>
        </m:r>
        <m:r>
          <m:rPr>
            <m:sty m:val="p"/>
          </m:rPr>
          <m:t>±</m:t>
        </m:r>
        <m:r>
          <m:t>3.18</m:t>
        </m:r>
        <m:r>
          <m:rPr>
            <m:sty m:val="p"/>
          </m:rPr>
          <m:t>%</m:t>
        </m:r>
      </m:oMath>
      <w:r>
        <w:rPr>
          <w:rFonts w:ascii="Times New Roman" w:hAnsi="Times New Roman" w:eastAsia="Times New Roman"/>
          <w:sz w:val="20"/>
        </w:rPr>
        <w:t xml:space="preserve">, positive in two of three seeds. Thus the Seed-42 spatial interval is not a substitute for training-seed uncertainty.</w:t>
      </w:r>
    </w:p>
    <w:p>
      <w:pPr>
        <w:pStyle w:val="BodyText"/>
        <w:spacing w:after="0" w:line="240" w:lineRule="auto"/>
      </w:pPr>
      <w:r>
        <w:rPr>
          <w:rFonts w:ascii="Times New Roman" w:hAnsi="Times New Roman" w:eastAsia="Times New Roman"/>
          <w:sz w:val="20"/>
        </w:rPr>
        <w:t xml:space="preserve">The paired</w:t>
      </w:r>
      <w:r>
        <w:rPr>
          <w:rFonts w:ascii="Times New Roman" w:hAnsi="Times New Roman" w:eastAsia="Times New Roman"/>
          <w:sz w:val="20"/>
        </w:rPr>
        <w:t xml:space="preserve"> </w:t>
      </w:r>
      <m:oMath>
        <m:r>
          <m:t>t</m:t>
        </m:r>
      </m:oMath>
      <w:r>
        <w:rPr>
          <w:rFonts w:ascii="Times New Roman" w:hAnsi="Times New Roman" w:eastAsia="Times New Roman"/>
          <w:sz w:val="20"/>
        </w:rPr>
        <w:t xml:space="preserve">-test across three seeds over pooled macro-F1 (Part C) likewise finds no significant difference versus Attention U-Net (</w:t>
      </w:r>
      <m:oMath>
        <m:r>
          <m:rPr>
            <m:sty m:val="p"/>
          </m:rPr>
          <m:t>+</m:t>
        </m:r>
        <m:r>
          <m:t>0.38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0.869</m:t>
        </m:r>
      </m:oMath>
      <w:r>
        <w:rPr>
          <w:rFonts w:ascii="Times New Roman" w:hAnsi="Times New Roman" w:eastAsia="Times New Roman"/>
          <w:sz w:val="20"/>
        </w:rPr>
        <w:t xml:space="preserve">), ResU-Net (</w:t>
      </w:r>
      <m:oMath>
        <m:r>
          <m:rPr>
            <m:sty m:val="p"/>
          </m:rPr>
          <m:t>+</m:t>
        </m:r>
        <m:r>
          <m:t>0.86</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0.459</m:t>
        </m:r>
      </m:oMath>
      <w:r>
        <w:rPr>
          <w:rFonts w:ascii="Times New Roman" w:hAnsi="Times New Roman" w:eastAsia="Times New Roman"/>
          <w:sz w:val="20"/>
        </w:rPr>
        <w:t xml:space="preserve">), or SiamUNet-conc (</w:t>
      </w:r>
      <m:oMath>
        <m:r>
          <m:rPr>
            <m:sty m:val="p"/>
          </m:rPr>
          <m:t>+</m:t>
        </m:r>
        <m:r>
          <m:t>0.65</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0.651</m:t>
        </m:r>
      </m:oMath>
      <w:r>
        <w:rPr>
          <w:rFonts w:ascii="Times New Roman" w:hAnsi="Times New Roman" w:eastAsia="Times New Roman"/>
          <w:sz w:val="20"/>
        </w:rPr>
        <w:t xml:space="preserve">); only SiamUNet-diff differs significantly (</w:t>
      </w:r>
      <m:oMath>
        <m:r>
          <m:rPr>
            <m:sty m:val="p"/>
          </m:rPr>
          <m:t>+</m:t>
        </m:r>
        <m:r>
          <m:t>8.92</m:t>
        </m:r>
        <m:r>
          <m:rPr>
            <m:sty m:val="p"/>
          </m:rPr>
          <m:t>%</m:t>
        </m:r>
      </m:oMath>
      <w:r>
        <w:rPr>
          <w:rFonts w:ascii="Times New Roman" w:hAnsi="Times New Roman" w:eastAsia="Times New Roman"/>
          <w:sz w:val="20"/>
        </w:rPr>
        <w:t xml:space="preserve">, 95% CI:</w:t>
      </w:r>
      <w:r>
        <w:rPr>
          <w:rFonts w:ascii="Times New Roman" w:hAnsi="Times New Roman" w:eastAsia="Times New Roman"/>
          <w:sz w:val="20"/>
        </w:rPr>
        <w:t xml:space="preserve"> </w:t>
      </w:r>
      <m:oMath>
        <m:r>
          <m:rPr>
            <m:sty m:val="p"/>
          </m:rPr>
          <m:t>[</m:t>
        </m:r>
        <m:r>
          <m:rPr>
            <m:sty m:val="p"/>
          </m:rPr>
          <m:t>+</m:t>
        </m:r>
        <m:r>
          <m:t>3.25</m:t>
        </m:r>
        <m:r>
          <m:rPr>
            <m:sty m:val="p"/>
          </m:rPr>
          <m:t>%</m:t>
        </m:r>
        <m:r>
          <m:rPr>
            <m:sty m:val="p"/>
          </m:rPr>
          <m:t>,</m:t>
        </m:r>
        <m:r>
          <m:rPr>
            <m:sty m:val="p"/>
          </m:rPr>
          <m:t>+</m:t>
        </m:r>
        <m:r>
          <m:t>14.59</m:t>
        </m:r>
        <m:r>
          <m:rPr>
            <m:sty m:val="p"/>
          </m:rPr>
          <m:t>%</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Attention U-Net leads on Seed 123 (</w:t>
      </w:r>
      <m:oMath>
        <m:r>
          <m:t>64.78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61.14</m:t>
        </m:r>
        <m:r>
          <m:rPr>
            <m:sty m:val="p"/>
          </m:rPr>
          <m:t>%</m:t>
        </m:r>
      </m:oMath>
      <w:r>
        <w:rPr>
          <w:rFonts w:ascii="Times New Roman" w:hAnsi="Times New Roman" w:eastAsia="Times New Roman"/>
          <w:sz w:val="20"/>
        </w:rPr>
        <w:t xml:space="preserve">), showing that initialization changes the competitive ordering. Part-A component comparisons quantify Seed-42 sensitivity to No-LIA (</w:t>
      </w:r>
      <m:oMath>
        <m:r>
          <m:rPr>
            <m:sty m:val="p"/>
          </m:rPr>
          <m:t>+</m:t>
        </m:r>
        <m:r>
          <m:t>2.04</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&lt;</m:t>
        </m:r>
        <m:r>
          <m:t>0.001</m:t>
        </m:r>
      </m:oMath>
      <w:r>
        <w:rPr>
          <w:rFonts w:ascii="Times New Roman" w:hAnsi="Times New Roman" w:eastAsia="Times New Roman"/>
          <w:sz w:val="20"/>
        </w:rPr>
        <w:t xml:space="preserve">), No-CrossAttn (</w:t>
      </w:r>
      <m:oMath>
        <m:r>
          <m:rPr>
            <m:sty m:val="p"/>
          </m:rPr>
          <m:t>+</m:t>
        </m:r>
        <m:r>
          <m:t>1.42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0.010</m:t>
        </m:r>
      </m:oMath>
      <w:r>
        <w:rPr>
          <w:rFonts w:ascii="Times New Roman" w:hAnsi="Times New Roman" w:eastAsia="Times New Roman"/>
          <w:sz w:val="20"/>
        </w:rPr>
        <w:t xml:space="preserve">), and No-GeoLoss (</w:t>
      </w:r>
      <m:oMath>
        <m:r>
          <m:rPr>
            <m:sty m:val="p"/>
          </m:rPr>
          <m:t>+</m:t>
        </m:r>
        <m:r>
          <m:t>3.16</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0.002</m:t>
        </m:r>
      </m:oMath>
      <w:r>
        <w:rPr>
          <w:rFonts w:ascii="Times New Roman" w:hAnsi="Times New Roman" w:eastAsia="Times New Roman"/>
          <w:sz w:val="20"/>
        </w:rPr>
        <w:t xml:space="preserve">), without isolating causal mechanisms.</w:t>
      </w:r>
    </w:p>
    <w:bookmarkEnd w:id="30"/>
    <w:bookmarkStart w:id="34" w:name="Xdb81486552a15f25795cdb88a2699469319a5b9"/>
    <w:p>
      <w:pPr>
        <w:pStyle w:val="Heading2"/>
        <w:spacing w:after="0" w:line="240" w:lineRule="auto"/>
      </w:pPr>
      <w:r>
        <w:rPr>
          <w:rFonts w:ascii="Times New Roman" w:hAnsi="Times New Roman" w:eastAsia="Times New Roman"/>
          <w:sz w:val="20"/>
        </w:rPr>
        <w:t xml:space="preserve">Instance-Level Detection Completeness across EAWS Avalanche Sizes</w:t>
      </w:r>
    </w:p>
    <w:p>
      <w:pPr>
        <w:pStyle w:val="FirstParagraph"/>
        <w:spacing w:after="0" w:line="240" w:lineRule="auto"/>
      </w:pPr>
      <w:r>
        <w:rPr>
          <w:rFonts w:ascii="Times New Roman" w:hAnsi="Times New Roman" w:eastAsia="Times New Roman"/>
          <w:sz w:val="20"/>
        </w:rPr>
        <w:t xml:space="preserve">For alpine risk assessment and emergency management, detecting individual avalanche release and runout polygons is critical</w:t>
      </w:r>
      <w:r>
        <w:rPr>
          <w:rFonts w:ascii="Times New Roman" w:hAnsi="Times New Roman" w:eastAsia="Times New Roman"/>
          <w:sz w:val="20"/>
        </w:rPr>
        <w:t xml:space="preserve"> </w:t>
      </w:r>
      <w:r>
        <w:rPr>
          <w:rFonts w:ascii="Times New Roman" w:hAnsi="Times New Roman" w:eastAsia="Times New Roman"/>
          <w:sz w:val="20"/>
        </w:rPr>
        <w:t xml:space="preserve">(European Avalanche Warning Services 2022; Techel et al. 2018)</w:t>
      </w:r>
      <w:r>
        <w:rPr>
          <w:rFonts w:ascii="Times New Roman" w:hAnsi="Times New Roman" w:eastAsia="Times New Roman"/>
          <w:sz w:val="20"/>
        </w:rPr>
        <w:t xml:space="preserve">. Table 4 evaluates instance-level detection completeness on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(117 polygons), categorized by European Avalanche Warning Services (EAWS) destructive size classes: Class D1 (Small,</w:t>
      </w:r>
      <w:r>
        <w:rPr>
          <w:rFonts w:ascii="Times New Roman" w:hAnsi="Times New Roman" w:eastAsia="Times New Roman"/>
          <w:sz w:val="20"/>
        </w:rPr>
        <w:t xml:space="preserve"> </w:t>
      </w:r>
      <m:oMath>
        <m:r>
          <m:t>n</m:t>
        </m:r>
        <m:r>
          <m:rPr>
            <m:sty m:val="p"/>
          </m:rPr>
          <m:t>=</m:t>
        </m:r>
        <m:r>
          <m:t>5</m:t>
        </m:r>
      </m:oMath>
      <w:r>
        <w:rPr>
          <w:rFonts w:ascii="Times New Roman" w:hAnsi="Times New Roman" w:eastAsia="Times New Roman"/>
          <w:sz w:val="20"/>
        </w:rPr>
        <w:t xml:space="preserve">), Class D2 (Medium,</w:t>
      </w:r>
      <w:r>
        <w:rPr>
          <w:rFonts w:ascii="Times New Roman" w:hAnsi="Times New Roman" w:eastAsia="Times New Roman"/>
          <w:sz w:val="20"/>
        </w:rPr>
        <w:t xml:space="preserve"> </w:t>
      </w:r>
      <m:oMath>
        <m:r>
          <m:t>n</m:t>
        </m:r>
        <m:r>
          <m:rPr>
            <m:sty m:val="p"/>
          </m:rPr>
          <m:t>=</m:t>
        </m:r>
        <m:r>
          <m:t>25</m:t>
        </m:r>
      </m:oMath>
      <w:r>
        <w:rPr>
          <w:rFonts w:ascii="Times New Roman" w:hAnsi="Times New Roman" w:eastAsia="Times New Roman"/>
          <w:sz w:val="20"/>
        </w:rPr>
        <w:t xml:space="preserve">), Class D3 (Large,</w:t>
      </w:r>
      <w:r>
        <w:rPr>
          <w:rFonts w:ascii="Times New Roman" w:hAnsi="Times New Roman" w:eastAsia="Times New Roman"/>
          <w:sz w:val="20"/>
        </w:rPr>
        <w:t xml:space="preserve"> </w:t>
      </w:r>
      <m:oMath>
        <m:r>
          <m:t>n</m:t>
        </m:r>
        <m:r>
          <m:rPr>
            <m:sty m:val="p"/>
          </m:rPr>
          <m:t>=</m:t>
        </m:r>
        <m:r>
          <m:t>71</m:t>
        </m:r>
      </m:oMath>
      <w:r>
        <w:rPr>
          <w:rFonts w:ascii="Times New Roman" w:hAnsi="Times New Roman" w:eastAsia="Times New Roman"/>
          <w:sz w:val="20"/>
        </w:rPr>
        <w:t xml:space="preserve">), and Class D4 (Very Large,</w:t>
      </w:r>
      <w:r>
        <w:rPr>
          <w:rFonts w:ascii="Times New Roman" w:hAnsi="Times New Roman" w:eastAsia="Times New Roman"/>
          <w:sz w:val="20"/>
        </w:rPr>
        <w:t xml:space="preserve"> </w:t>
      </w:r>
      <m:oMath>
        <m:r>
          <m:t>n</m:t>
        </m:r>
        <m:r>
          <m:rPr>
            <m:sty m:val="p"/>
          </m:rPr>
          <m:t>=</m:t>
        </m:r>
        <m:r>
          <m:t>16</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Table 4.</w:t>
      </w:r>
      <w:r>
        <w:rPr>
          <w:rFonts w:ascii="Times New Roman" w:hAnsi="Times New Roman" w:eastAsia="Times New Roman"/>
          <w:sz w:val="20"/>
        </w:rPr>
        <w:t xml:space="preserve"> </w:t>
      </w:r>
      <w:r>
        <w:rPr>
          <w:rFonts w:ascii="Times New Roman" w:hAnsi="Times New Roman" w:eastAsia="Times New Roman"/>
          <w:sz w:val="20"/>
        </w:rPr>
        <w:t xml:space="preserve">Instance-level avalanche detection hit rates across EAWS size classes on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benchmark (n=117 polygons), evaluated at minimum 30% (HR@0.3) and 50% (HR@0.5) polygon area overlap across true 3-seed means.</w:t>
      </w:r>
    </w:p>
    <w:tbl>
      <w:tblPr>
        <w:tblStyle w:val="Table"/>
        <w:tblW w:type="auto" w:w="0"/>
        <w:tblLayout w:type="autofit"/>
        <w:tblLook w:firstRow="0" w:lastRow="0" w:firstColumn="0" w:lastColumn="0" w:noHBand="0" w:noVBand="0" w:val="0000"/>
      </w:tblPr>
      <w:tblGrid>
        <w:gridCol w:w="1131"/>
        <w:gridCol w:w="1131"/>
        <w:gridCol w:w="1131"/>
        <w:gridCol w:w="1131"/>
        <w:gridCol w:w="1131"/>
        <w:gridCol w:w="1131"/>
        <w:gridCol w:w="1131"/>
      </w:tblGrid>
      <w:tr>
        <w:trPr>
          <w:cantSplit w:val="true"/>
          <w:tblHeader w:val="true"/>
        </w:trPr>
        <w:tc>
          <w:tcPr>
            <w:vMerge w:val="restart"/>
            <w:vAlign w:val="center"/>
          </w:tcPr>
          <w:p>
            <w:pPr>
              <w:pStyle w:val="Compact"/>
              <w:spacing w:before="0" w:after="0" w:line="240" w:lineRule="auto"/>
              <w:jc w:val="left"/>
            </w:pPr>
            <w:r>
              <w:rPr>
                <w:rFonts w:ascii="Times New Roman" w:hAnsi="Times New Roman" w:eastAsia="Times New Roman"/>
                <w:b/>
                <w:bCs/>
                <w:sz w:val="17"/>
              </w:rPr>
              <w:t xml:space="preserve">Method</w:t>
            </w:r>
          </w:p>
        </w:tc>
        <w:tc>
          <w:tcPr>
            <w:gridSpan w:val="2"/>
            <w:vAlign w:val="center"/>
          </w:tcPr>
          <w:p>
            <w:pPr>
              <w:pStyle w:val="Compact"/>
              <w:spacing w:before="0" w:after="0" w:line="240" w:lineRule="auto"/>
              <w:jc w:val="center"/>
            </w:pPr>
            <w:r>
              <w:rPr>
                <w:rFonts w:ascii="Times New Roman" w:hAnsi="Times New Roman" w:eastAsia="Times New Roman"/>
                <w:b/>
                <w:bCs/>
                <w:sz w:val="17"/>
              </w:rPr>
              <w:t xml:space="preserve">Overall Hit Rate</w:t>
            </w:r>
          </w:p>
        </w:tc>
        <w:tc>
          <w:tcPr>
            <w:gridSpan w:val="4"/>
            <w:vAlign w:val="center"/>
          </w:tcPr>
          <w:p>
            <w:pPr>
              <w:pStyle w:val="Compact"/>
              <w:spacing w:before="0" w:after="0" w:line="240" w:lineRule="auto"/>
              <w:jc w:val="center"/>
            </w:pPr>
            <w:r>
              <w:rPr>
                <w:rFonts w:ascii="Times New Roman" w:hAnsi="Times New Roman" w:eastAsia="Times New Roman"/>
                <w:b/>
                <w:bCs/>
                <w:sz w:val="17"/>
              </w:rPr>
              <w:t xml:space="preserve">Size-Disaggregated Hit Rate (HR@0.3)</w:t>
            </w:r>
          </w:p>
        </w:tc>
      </w:tr>
      <w:tr>
        <w:trPr>
          <w:cantSplit w:val="true"/>
          <w:tblHeader w:val="true"/>
        </w:trPr>
        <w:tc>
          <w:tcPr>
            <w:gridSpan w:val="1"/>
            <w:vMerge w:val="continue"/>
          </w:tcPr>
          <w:p>
            <w:pPr/>
          </w:p>
        </w:tc>
        <w:tc>
          <w:tcPr>
            <w:vAlign w:val="center"/>
          </w:tcPr>
          <w:p>
            <w:pPr>
              <w:pStyle w:val="Compact"/>
              <w:spacing w:before="0" w:after="0" w:line="240" w:lineRule="auto"/>
              <w:jc w:val="center"/>
            </w:pPr>
            <w:r>
              <w:rPr>
                <w:rFonts w:ascii="Times New Roman" w:hAnsi="Times New Roman" w:eastAsia="Times New Roman"/>
                <w:b/>
                <w:bCs/>
                <w:sz w:val="17"/>
              </w:rPr>
              <w:t xml:space="preserve">HR@0.3 (%)</w:t>
            </w:r>
          </w:p>
        </w:tc>
        <w:tc>
          <w:tcPr>
            <w:vAlign w:val="center"/>
          </w:tcPr>
          <w:p>
            <w:pPr>
              <w:pStyle w:val="Compact"/>
              <w:spacing w:before="0" w:after="0" w:line="240" w:lineRule="auto"/>
              <w:jc w:val="center"/>
            </w:pPr>
            <w:r>
              <w:rPr>
                <w:rFonts w:ascii="Times New Roman" w:hAnsi="Times New Roman" w:eastAsia="Times New Roman"/>
                <w:b/>
                <w:bCs/>
                <w:sz w:val="17"/>
              </w:rPr>
              <w:t xml:space="preserve">HR@0.5 (%)</w:t>
            </w:r>
          </w:p>
        </w:tc>
        <w:tc>
          <w:tcPr>
            <w:vAlign w:val="center"/>
          </w:tcPr>
          <w:p>
            <w:pPr>
              <w:pStyle w:val="Compact"/>
              <w:spacing w:before="0" w:after="0" w:line="240" w:lineRule="auto"/>
              <w:jc w:val="center"/>
            </w:pPr>
            <w:r>
              <w:rPr>
                <w:rFonts w:ascii="Times New Roman" w:hAnsi="Times New Roman" w:eastAsia="Times New Roman"/>
                <w:b/>
                <w:bCs/>
                <w:sz w:val="17"/>
              </w:rPr>
              <w:t xml:space="preserve">D1 (n=5)</w:t>
            </w:r>
          </w:p>
        </w:tc>
        <w:tc>
          <w:tcPr>
            <w:vAlign w:val="center"/>
          </w:tcPr>
          <w:p>
            <w:pPr>
              <w:pStyle w:val="Compact"/>
              <w:spacing w:before="0" w:after="0" w:line="240" w:lineRule="auto"/>
              <w:jc w:val="center"/>
            </w:pPr>
            <w:r>
              <w:rPr>
                <w:rFonts w:ascii="Times New Roman" w:hAnsi="Times New Roman" w:eastAsia="Times New Roman"/>
                <w:b/>
                <w:bCs/>
                <w:sz w:val="17"/>
              </w:rPr>
              <w:t xml:space="preserve">D2 (n=25)</w:t>
            </w:r>
          </w:p>
        </w:tc>
        <w:tc>
          <w:tcPr>
            <w:vAlign w:val="center"/>
          </w:tcPr>
          <w:p>
            <w:pPr>
              <w:pStyle w:val="Compact"/>
              <w:spacing w:before="0" w:after="0" w:line="240" w:lineRule="auto"/>
              <w:jc w:val="center"/>
            </w:pPr>
            <w:r>
              <w:rPr>
                <w:rFonts w:ascii="Times New Roman" w:hAnsi="Times New Roman" w:eastAsia="Times New Roman"/>
                <w:b/>
                <w:bCs/>
                <w:sz w:val="17"/>
              </w:rPr>
              <w:t xml:space="preserve">D3 (n=71)</w:t>
            </w:r>
          </w:p>
        </w:tc>
        <w:tc>
          <w:tcPr>
            <w:vAlign w:val="center"/>
          </w:tcPr>
          <w:p>
            <w:pPr>
              <w:pStyle w:val="Compact"/>
              <w:spacing w:before="0" w:after="0" w:line="240" w:lineRule="auto"/>
              <w:jc w:val="center"/>
            </w:pPr>
            <w:r>
              <w:rPr>
                <w:rFonts w:ascii="Times New Roman" w:hAnsi="Times New Roman" w:eastAsia="Times New Roman"/>
                <w:b/>
                <w:bCs/>
                <w:sz w:val="17"/>
              </w:rPr>
              <w:t xml:space="preserve">D4 (n=16)</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center"/>
            </w:pPr>
            <w:r>
              <w:rPr>
                <w:rFonts w:ascii="Times New Roman" w:hAnsi="Times New Roman" w:eastAsia="Times New Roman"/>
                <w:sz w:val="17"/>
              </w:rPr>
              <w:t xml:space="preserve">63.25 ± 2.52%</w:t>
            </w:r>
          </w:p>
        </w:tc>
        <w:tc>
          <w:tcPr>
            <w:vAlign w:val="center"/>
          </w:tcPr>
          <w:p>
            <w:pPr>
              <w:pStyle w:val="Compact"/>
              <w:spacing w:before="0" w:after="0" w:line="240" w:lineRule="auto"/>
              <w:jc w:val="center"/>
            </w:pPr>
            <w:r>
              <w:rPr>
                <w:rFonts w:ascii="Times New Roman" w:hAnsi="Times New Roman" w:eastAsia="Times New Roman"/>
                <w:sz w:val="17"/>
              </w:rPr>
              <w:t xml:space="preserve">54.42 ± 2.80%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33.3%</w:t>
            </w:r>
          </w:p>
        </w:tc>
        <w:tc>
          <w:tcPr>
            <w:vAlign w:val="center"/>
          </w:tcPr>
          <w:p>
            <w:pPr>
              <w:pStyle w:val="Compact"/>
              <w:spacing w:before="0" w:after="0" w:line="240" w:lineRule="auto"/>
              <w:jc w:val="center"/>
            </w:pPr>
            <w:r>
              <w:rPr>
                <w:rFonts w:ascii="Times New Roman" w:hAnsi="Times New Roman" w:eastAsia="Times New Roman"/>
                <w:sz w:val="17"/>
              </w:rPr>
              <w:t xml:space="preserve">71.8%</w:t>
            </w:r>
          </w:p>
        </w:tc>
        <w:tc>
          <w:tcPr>
            <w:vAlign w:val="center"/>
          </w:tcPr>
          <w:p>
            <w:pPr>
              <w:pStyle w:val="Compact"/>
              <w:spacing w:before="0" w:after="0" w:line="240" w:lineRule="auto"/>
              <w:jc w:val="center"/>
            </w:pPr>
            <w:r>
              <w:rPr>
                <w:rFonts w:ascii="Times New Roman" w:hAnsi="Times New Roman" w:eastAsia="Times New Roman"/>
                <w:sz w:val="17"/>
              </w:rPr>
              <w:t xml:space="preserve">89.6%</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center"/>
            </w:pPr>
            <w:r>
              <w:rPr>
                <w:rFonts w:ascii="Times New Roman" w:hAnsi="Times New Roman" w:eastAsia="Times New Roman"/>
                <w:sz w:val="17"/>
              </w:rPr>
              <w:t xml:space="preserve">82.62 ± 1.07%</w:t>
            </w:r>
          </w:p>
        </w:tc>
        <w:tc>
          <w:tcPr>
            <w:vAlign w:val="center"/>
          </w:tcPr>
          <w:p>
            <w:pPr>
              <w:pStyle w:val="Compact"/>
              <w:spacing w:before="0" w:after="0" w:line="240" w:lineRule="auto"/>
              <w:jc w:val="center"/>
            </w:pPr>
            <w:r>
              <w:rPr>
                <w:rFonts w:ascii="Times New Roman" w:hAnsi="Times New Roman" w:eastAsia="Times New Roman"/>
                <w:sz w:val="17"/>
              </w:rPr>
              <w:t xml:space="preserve">74.07 ± 1.40%</w:t>
            </w:r>
          </w:p>
        </w:tc>
        <w:tc>
          <w:tcPr>
            <w:vAlign w:val="center"/>
          </w:tcPr>
          <w:p>
            <w:pPr>
              <w:pStyle w:val="Compact"/>
              <w:spacing w:before="0" w:after="0" w:line="240" w:lineRule="auto"/>
              <w:jc w:val="center"/>
            </w:pPr>
            <w:r>
              <w:rPr>
                <w:rFonts w:ascii="Times New Roman" w:hAnsi="Times New Roman" w:eastAsia="Times New Roman"/>
                <w:sz w:val="17"/>
              </w:rPr>
              <w:t xml:space="preserve">13.3%</w:t>
            </w:r>
          </w:p>
        </w:tc>
        <w:tc>
          <w:tcPr>
            <w:vAlign w:val="center"/>
          </w:tcPr>
          <w:p>
            <w:pPr>
              <w:pStyle w:val="Compact"/>
              <w:spacing w:before="0" w:after="0" w:line="240" w:lineRule="auto"/>
              <w:jc w:val="center"/>
            </w:pPr>
            <w:r>
              <w:rPr>
                <w:rFonts w:ascii="Times New Roman" w:hAnsi="Times New Roman" w:eastAsia="Times New Roman"/>
                <w:sz w:val="17"/>
              </w:rPr>
              <w:t xml:space="preserve">61.3%</w:t>
            </w:r>
          </w:p>
        </w:tc>
        <w:tc>
          <w:tcPr>
            <w:vAlign w:val="center"/>
          </w:tcPr>
          <w:p>
            <w:pPr>
              <w:pStyle w:val="Compact"/>
              <w:spacing w:before="0" w:after="0" w:line="240" w:lineRule="auto"/>
              <w:jc w:val="center"/>
            </w:pPr>
            <w:r>
              <w:rPr>
                <w:rFonts w:ascii="Times New Roman" w:hAnsi="Times New Roman" w:eastAsia="Times New Roman"/>
                <w:sz w:val="17"/>
              </w:rPr>
              <w:t xml:space="preserve">91.1%</w:t>
            </w:r>
          </w:p>
        </w:tc>
        <w:tc>
          <w:tcPr>
            <w:vAlign w:val="center"/>
          </w:tcPr>
          <w:p>
            <w:pPr>
              <w:pStyle w:val="Compact"/>
              <w:spacing w:before="0" w:after="0" w:line="240" w:lineRule="auto"/>
              <w:jc w:val="center"/>
            </w:pPr>
            <w:r>
              <w:rPr>
                <w:rFonts w:ascii="Times New Roman" w:hAnsi="Times New Roman" w:eastAsia="Times New Roman"/>
                <w:sz w:val="17"/>
              </w:rPr>
              <w:t xml:space="preserve">100.0%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ResU-Net</w:t>
            </w:r>
          </w:p>
        </w:tc>
        <w:tc>
          <w:tcPr>
            <w:vAlign w:val="center"/>
          </w:tcPr>
          <w:p>
            <w:pPr>
              <w:pStyle w:val="Compact"/>
              <w:spacing w:before="0" w:after="0" w:line="240" w:lineRule="auto"/>
              <w:jc w:val="center"/>
            </w:pPr>
            <w:r>
              <w:rPr>
                <w:rFonts w:ascii="Times New Roman" w:hAnsi="Times New Roman" w:eastAsia="Times New Roman"/>
                <w:sz w:val="17"/>
              </w:rPr>
              <w:t xml:space="preserve">76.92 ± 4.83%</w:t>
            </w:r>
          </w:p>
        </w:tc>
        <w:tc>
          <w:tcPr>
            <w:vAlign w:val="center"/>
          </w:tcPr>
          <w:p>
            <w:pPr>
              <w:pStyle w:val="Compact"/>
              <w:spacing w:before="0" w:after="0" w:line="240" w:lineRule="auto"/>
              <w:jc w:val="center"/>
            </w:pPr>
            <w:r>
              <w:rPr>
                <w:rFonts w:ascii="Times New Roman" w:hAnsi="Times New Roman" w:eastAsia="Times New Roman"/>
                <w:sz w:val="17"/>
              </w:rPr>
              <w:t xml:space="preserve">68.09 ± 4.20%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53.3%</w:t>
            </w:r>
          </w:p>
        </w:tc>
        <w:tc>
          <w:tcPr>
            <w:vAlign w:val="center"/>
          </w:tcPr>
          <w:p>
            <w:pPr>
              <w:pStyle w:val="Compact"/>
              <w:spacing w:before="0" w:after="0" w:line="240" w:lineRule="auto"/>
              <w:jc w:val="center"/>
            </w:pPr>
            <w:r>
              <w:rPr>
                <w:rFonts w:ascii="Times New Roman" w:hAnsi="Times New Roman" w:eastAsia="Times New Roman"/>
                <w:sz w:val="17"/>
              </w:rPr>
              <w:t xml:space="preserve">85.9%</w:t>
            </w:r>
          </w:p>
        </w:tc>
        <w:tc>
          <w:tcPr>
            <w:vAlign w:val="center"/>
          </w:tcPr>
          <w:p>
            <w:pPr>
              <w:pStyle w:val="Compact"/>
              <w:spacing w:before="0" w:after="0" w:line="240" w:lineRule="auto"/>
              <w:jc w:val="center"/>
            </w:pPr>
            <w:r>
              <w:rPr>
                <w:rFonts w:ascii="Times New Roman" w:hAnsi="Times New Roman" w:eastAsia="Times New Roman"/>
                <w:sz w:val="17"/>
              </w:rPr>
              <w:t xml:space="preserve">95.8%</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center"/>
            </w:pPr>
            <w:r>
              <w:rPr>
                <w:rFonts w:ascii="Times New Roman" w:hAnsi="Times New Roman" w:eastAsia="Times New Roman"/>
                <w:sz w:val="17"/>
              </w:rPr>
              <w:t xml:space="preserve">79.20 ± 2.45%</w:t>
            </w:r>
          </w:p>
        </w:tc>
        <w:tc>
          <w:tcPr>
            <w:vAlign w:val="center"/>
          </w:tcPr>
          <w:p>
            <w:pPr>
              <w:pStyle w:val="Compact"/>
              <w:spacing w:before="0" w:after="0" w:line="240" w:lineRule="auto"/>
              <w:jc w:val="center"/>
            </w:pPr>
            <w:r>
              <w:rPr>
                <w:rFonts w:ascii="Times New Roman" w:hAnsi="Times New Roman" w:eastAsia="Times New Roman"/>
                <w:sz w:val="17"/>
              </w:rPr>
              <w:t xml:space="preserve">69.52 ± 2.10%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58.7%</w:t>
            </w:r>
          </w:p>
        </w:tc>
        <w:tc>
          <w:tcPr>
            <w:vAlign w:val="center"/>
          </w:tcPr>
          <w:p>
            <w:pPr>
              <w:pStyle w:val="Compact"/>
              <w:spacing w:before="0" w:after="0" w:line="240" w:lineRule="auto"/>
              <w:jc w:val="center"/>
            </w:pPr>
            <w:r>
              <w:rPr>
                <w:rFonts w:ascii="Times New Roman" w:hAnsi="Times New Roman" w:eastAsia="Times New Roman"/>
                <w:sz w:val="17"/>
              </w:rPr>
              <w:t xml:space="preserve">86.9%</w:t>
            </w:r>
          </w:p>
        </w:tc>
        <w:tc>
          <w:tcPr>
            <w:vAlign w:val="center"/>
          </w:tcPr>
          <w:p>
            <w:pPr>
              <w:pStyle w:val="Compact"/>
              <w:spacing w:before="0" w:after="0" w:line="240" w:lineRule="auto"/>
              <w:jc w:val="center"/>
            </w:pPr>
            <w:r>
              <w:rPr>
                <w:rFonts w:ascii="Times New Roman" w:hAnsi="Times New Roman" w:eastAsia="Times New Roman"/>
                <w:sz w:val="17"/>
              </w:rPr>
              <w:t xml:space="preserve">100.0%</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center"/>
            </w:pPr>
            <w:r>
              <w:rPr>
                <w:rFonts w:ascii="Times New Roman" w:hAnsi="Times New Roman" w:eastAsia="Times New Roman"/>
                <w:b/>
                <w:bCs/>
                <w:sz w:val="17"/>
              </w:rPr>
              <w:t xml:space="preserve">75.50 ± 1.61%</w:t>
            </w:r>
          </w:p>
        </w:tc>
        <w:tc>
          <w:tcPr>
            <w:vAlign w:val="center"/>
          </w:tcPr>
          <w:p>
            <w:pPr>
              <w:pStyle w:val="Compact"/>
              <w:spacing w:before="0" w:after="0" w:line="240" w:lineRule="auto"/>
              <w:jc w:val="center"/>
            </w:pPr>
            <w:r>
              <w:rPr>
                <w:rFonts w:ascii="Times New Roman" w:hAnsi="Times New Roman" w:eastAsia="Times New Roman"/>
                <w:b/>
                <w:bCs/>
                <w:sz w:val="17"/>
              </w:rPr>
              <w:t xml:space="preserve">68.09 ± 1.95%</w:t>
            </w:r>
          </w:p>
        </w:tc>
        <w:tc>
          <w:tcPr>
            <w:vAlign w:val="center"/>
          </w:tcPr>
          <w:p>
            <w:pPr>
              <w:pStyle w:val="Compact"/>
              <w:spacing w:before="0" w:after="0" w:line="240" w:lineRule="auto"/>
              <w:jc w:val="center"/>
            </w:pPr>
            <w:r>
              <w:rPr>
                <w:rFonts w:ascii="Times New Roman" w:hAnsi="Times New Roman" w:eastAsia="Times New Roman"/>
                <w:b/>
                <w:bCs/>
                <w:sz w:val="17"/>
              </w:rPr>
              <w:t xml:space="preserve">20.0%</w:t>
            </w:r>
          </w:p>
        </w:tc>
        <w:tc>
          <w:tcPr>
            <w:vAlign w:val="center"/>
          </w:tcPr>
          <w:p>
            <w:pPr>
              <w:pStyle w:val="Compact"/>
              <w:spacing w:before="0" w:after="0" w:line="240" w:lineRule="auto"/>
              <w:jc w:val="center"/>
            </w:pPr>
            <w:r>
              <w:rPr>
                <w:rFonts w:ascii="Times New Roman" w:hAnsi="Times New Roman" w:eastAsia="Times New Roman"/>
                <w:b/>
                <w:bCs/>
                <w:sz w:val="17"/>
              </w:rPr>
              <w:t xml:space="preserve">49.3%</w:t>
            </w:r>
          </w:p>
        </w:tc>
        <w:tc>
          <w:tcPr>
            <w:vAlign w:val="center"/>
          </w:tcPr>
          <w:p>
            <w:pPr>
              <w:pStyle w:val="Compact"/>
              <w:spacing w:before="0" w:after="0" w:line="240" w:lineRule="auto"/>
              <w:jc w:val="center"/>
            </w:pPr>
            <w:r>
              <w:rPr>
                <w:rFonts w:ascii="Times New Roman" w:hAnsi="Times New Roman" w:eastAsia="Times New Roman"/>
                <w:b/>
                <w:bCs/>
                <w:sz w:val="17"/>
              </w:rPr>
              <w:t xml:space="preserve">84.0%</w:t>
            </w:r>
          </w:p>
        </w:tc>
        <w:tc>
          <w:tcPr>
            <w:vAlign w:val="center"/>
          </w:tcPr>
          <w:p>
            <w:pPr>
              <w:pStyle w:val="Compact"/>
              <w:spacing w:before="0" w:after="0" w:line="240" w:lineRule="auto"/>
              <w:jc w:val="center"/>
            </w:pPr>
            <w:r>
              <w:rPr>
                <w:rFonts w:ascii="Times New Roman" w:hAnsi="Times New Roman" w:eastAsia="Times New Roman"/>
                <w:b/>
                <w:bCs/>
                <w:sz w:val="17"/>
              </w:rPr>
              <w:t xml:space="preserve">95.8%</w:t>
            </w:r>
          </w:p>
        </w:tc>
      </w:tr>
    </w:tbl>
    <w:p>
      <w:pPr>
        <w:pStyle w:val="BodyText"/>
        <w:spacing w:after="0" w:line="240" w:lineRule="auto"/>
      </w:pPr>
      <w:r>
        <w:rPr>
          <w:rFonts w:ascii="Times New Roman" w:hAnsi="Times New Roman" w:eastAsia="Times New Roman"/>
          <w:sz w:val="20"/>
        </w:rPr>
        <w:t xml:space="preserve">At the operational threshold (</w:t>
      </w:r>
      <m:oMath>
        <m:r>
          <m:rPr>
            <m:sty m:val="p"/>
          </m:rPr>
          <m:t>≥</m:t>
        </m:r>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polygon overlap), TopoRadar-Net achieves an overall hit rate of</w:t>
      </w:r>
      <w:r>
        <w:rPr>
          <w:rFonts w:ascii="Times New Roman" w:hAnsi="Times New Roman" w:eastAsia="Times New Roman"/>
          <w:sz w:val="20"/>
        </w:rPr>
        <w:t xml:space="preserve"> </w:t>
      </w:r>
      <m:oMath>
        <m:r>
          <m:rPr>
            <m:sty m:val="b"/>
          </m:rPr>
          <m:t>75.50</m:t>
        </m:r>
        <m:r>
          <m:rPr>
            <m:sty m:val="b"/>
          </m:rPr>
          <m:t>%</m:t>
        </m:r>
        <m:r>
          <m:rPr>
            <m:sty m:val="b"/>
          </m:rPr>
          <m:t>±</m:t>
        </m:r>
        <m:r>
          <m:rPr>
            <m:sty m:val="b"/>
          </m:rPr>
          <m:t>1.61</m:t>
        </m:r>
        <m:r>
          <m:rPr>
            <m:sty m:val="b"/>
          </m:rPr>
          <m:t>%</m:t>
        </m:r>
      </m:oMath>
      <w:r>
        <w:rPr>
          <w:rFonts w:ascii="Times New Roman" w:hAnsi="Times New Roman" w:eastAsia="Times New Roman"/>
          <w:sz w:val="20"/>
        </w:rPr>
        <w:t xml:space="preserve"> </w:t>
      </w:r>
      <w:r>
        <w:rPr>
          <w:rFonts w:ascii="Times New Roman" w:hAnsi="Times New Roman" w:eastAsia="Times New Roman"/>
          <w:sz w:val="20"/>
        </w:rPr>
        <w:t xml:space="preserve">on the held-out Scandinavian Arctic test scene (reaching 87, 87, and 91 detected polygons across the three seeds; 3-seed mean</w:t>
      </w:r>
      <w:r>
        <w:rPr>
          <w:rFonts w:ascii="Times New Roman" w:hAnsi="Times New Roman" w:eastAsia="Times New Roman"/>
          <w:sz w:val="20"/>
        </w:rPr>
        <w:t xml:space="preserve"> </w:t>
      </w:r>
      <m:oMath>
        <m:r>
          <m:t>88.3</m:t>
        </m:r>
        <m:r>
          <m:rPr>
            <m:sty m:val="p"/>
          </m:rPr>
          <m:t>/</m:t>
        </m:r>
        <m:r>
          <m:t>117</m:t>
        </m:r>
      </m:oMath>
      <w:r>
        <w:rPr>
          <w:rFonts w:ascii="Times New Roman" w:hAnsi="Times New Roman" w:eastAsia="Times New Roman"/>
          <w:sz w:val="20"/>
        </w:rPr>
        <w:t xml:space="preserve">), with</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detection completeness on the largest Class D4 avalanches (</w:t>
      </w:r>
      <m:oMath>
        <m:r>
          <m:t>100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seeds 42 and 123;</w:t>
      </w:r>
      <w:r>
        <w:rPr>
          <w:rFonts w:ascii="Times New Roman" w:hAnsi="Times New Roman" w:eastAsia="Times New Roman"/>
          <w:sz w:val="20"/>
        </w:rPr>
        <w:t xml:space="preserve"> </w:t>
      </w:r>
      <m:oMath>
        <m:r>
          <m:t>87.5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seed 456; 3-seed mean</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84.0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completeness on Class D3 avalanches,</w:t>
      </w:r>
      <w:r>
        <w:rPr>
          <w:rFonts w:ascii="Times New Roman" w:hAnsi="Times New Roman" w:eastAsia="Times New Roman"/>
          <w:sz w:val="20"/>
        </w:rPr>
        <w:t xml:space="preserve"> </w:t>
      </w:r>
      <m:oMath>
        <m:r>
          <m:t>49.3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Class D2, and</w:t>
      </w:r>
      <w:r>
        <w:rPr>
          <w:rFonts w:ascii="Times New Roman" w:hAnsi="Times New Roman" w:eastAsia="Times New Roman"/>
          <w:sz w:val="20"/>
        </w:rPr>
        <w:t xml:space="preserve"> </w:t>
      </w:r>
      <m:oMath>
        <m:r>
          <m:t>20.0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Class D1. On the extreme high-relief Pamir Mountains (Pish, Tajikistan), polygon-level metadata lacks EAWS size classifications, resulting in zero matching polygon boundaries under EAWS metrics (</w:t>
      </w:r>
      <m:oMath>
        <m:r>
          <m:t>0.0</m:t>
        </m:r>
        <m:r>
          <m:rPr>
            <m:sty m:val="p"/>
          </m:rPr>
          <m:t>%</m:t>
        </m:r>
      </m:oMath>
      <w:r>
        <w:rPr>
          <w:rFonts w:ascii="Times New Roman" w:hAnsi="Times New Roman" w:eastAsia="Times New Roman"/>
          <w:sz w:val="20"/>
        </w:rPr>
        <w:t xml:space="preserve">), whereas pixel-level F1 is preserved at</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(reaching</w:t>
      </w:r>
      <w:r>
        <w:rPr>
          <w:rFonts w:ascii="Times New Roman" w:hAnsi="Times New Roman" w:eastAsia="Times New Roman"/>
          <w:sz w:val="20"/>
        </w:rPr>
        <w:t xml:space="preserve"> </w:t>
      </w:r>
      <m:oMath>
        <m:r>
          <m:t>54.97</m:t>
        </m:r>
        <m:r>
          <m:rPr>
            <m:sty m:val="p"/>
          </m:rPr>
          <m:t>%</m:t>
        </m:r>
      </m:oMath>
      <w:r>
        <w:rPr>
          <w:rFonts w:ascii="Times New Roman" w:hAnsi="Times New Roman" w:eastAsia="Times New Roman"/>
          <w:sz w:val="20"/>
        </w:rPr>
        <w:t xml:space="preserve">), maintaining physical sensitivity across massive</w:t>
      </w:r>
      <w:r>
        <w:rPr>
          <w:rFonts w:ascii="Times New Roman" w:hAnsi="Times New Roman" w:eastAsia="Times New Roman"/>
          <w:sz w:val="20"/>
        </w:rPr>
        <w:t xml:space="preserve"> </w:t>
      </w:r>
      <m:oMath>
        <m:r>
          <m:t>2</m:t>
        </m:r>
        <m:r>
          <m:rPr>
            <m:sty m:val="p"/>
          </m:rPr>
          <m:t>,</m:t>
        </m:r>
        <m:r>
          <m:t>000</m:t>
        </m:r>
      </m:oMath>
      <w:r>
        <w:rPr>
          <w:rFonts w:ascii="Times New Roman" w:hAnsi="Times New Roman" w:eastAsia="Times New Roman"/>
          <w:sz w:val="20"/>
        </w:rPr>
        <w:t xml:space="preserve"> m vertical chutes.</w:t>
      </w:r>
    </w:p>
    <w:p>
      <w:pPr>
        <w:pStyle w:val="Figure"/>
        <w:spacing w:after="0" w:line="240" w:lineRule="auto"/>
      </w:pPr>
      <w:r>
        <w:rPr>
          <w:rFonts w:ascii="Times New Roman" w:hAnsi="Times New Roman" w:eastAsia="Times New Roman"/>
          <w:sz w:val="20"/>
        </w:rPr>
        <w:drawing>
          <wp:inline>
            <wp:extent cx="5334000" cy="2423211"/>
            <wp:effectExtent b="0" l="0" r="0" t="0"/>
            <wp:docPr descr="" title="" id="32" name="Picture"/>
            <a:graphic>
              <a:graphicData uri="http://schemas.openxmlformats.org/drawingml/2006/picture">
                <pic:pic>
                  <pic:nvPicPr>
                    <pic:cNvPr descr="fig_instance_hitrate_eaws.png" id="33" name="Picture"/>
                    <pic:cNvPicPr>
                      <a:picLocks noChangeArrowheads="1" noChangeAspect="1"/>
                    </pic:cNvPicPr>
                  </pic:nvPicPr>
                  <pic:blipFill>
                    <a:blip r:embed="rId31"/>
                    <a:stretch>
                      <a:fillRect/>
                    </a:stretch>
                  </pic:blipFill>
                  <pic:spPr bwMode="auto">
                    <a:xfrm>
                      <a:off x="0" y="0"/>
                      <a:ext cx="5334000" cy="2423211"/>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3.</w:t>
      </w:r>
      <w:r>
        <w:rPr>
          <w:rFonts w:ascii="Times New Roman" w:hAnsi="Times New Roman" w:eastAsia="Times New Roman"/>
          <w:sz w:val="20"/>
        </w:rPr>
        <w:t xml:space="preserve"> </w:t>
      </w:r>
      <w:r>
        <w:rPr>
          <w:rFonts w:ascii="Times New Roman" w:hAnsi="Times New Roman" w:eastAsia="Times New Roman"/>
          <w:sz w:val="20"/>
        </w:rPr>
        <w:t xml:space="preserve">Instance-level avalanche detection completeness across European Avalanche Warning Services (EAWS) destructive size classes (D1 through D4) on the held-out Scandinavian Arctic test benchmark (</w:t>
      </w:r>
      <m:oMath>
        <m:r>
          <m:t>n</m:t>
        </m:r>
        <m:r>
          <m:rPr>
            <m:sty m:val="p"/>
          </m:rPr>
          <m:t>=</m:t>
        </m:r>
        <m:r>
          <m:t>117</m:t>
        </m:r>
      </m:oMath>
      <w:r>
        <w:rPr>
          <w:rFonts w:ascii="Times New Roman" w:hAnsi="Times New Roman" w:eastAsia="Times New Roman"/>
          <w:sz w:val="20"/>
        </w:rPr>
        <w:t xml:space="preserve"> </w:t>
      </w:r>
      <w:r>
        <w:rPr>
          <w:rFonts w:ascii="Times New Roman" w:hAnsi="Times New Roman" w:eastAsia="Times New Roman"/>
          <w:sz w:val="20"/>
        </w:rPr>
        <w:t xml:space="preserve">polygons), evaluated at minimum</w:t>
      </w:r>
      <w:r>
        <w:rPr>
          <w:rFonts w:ascii="Times New Roman" w:hAnsi="Times New Roman" w:eastAsia="Times New Roman"/>
          <w:sz w:val="20"/>
        </w:rPr>
        <w:t xml:space="preserve"> </w:t>
      </w:r>
      <m:oMath>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polygon overlap (HR@0.3).</w:t>
      </w:r>
    </w:p>
    <w:bookmarkEnd w:id="34"/>
    <w:bookmarkStart w:id="38" w:name="systematic-architectural-ablation-study"/>
    <w:p>
      <w:pPr>
        <w:pStyle w:val="Heading2"/>
        <w:spacing w:after="0" w:line="240" w:lineRule="auto"/>
      </w:pPr>
      <w:r>
        <w:rPr>
          <w:rFonts w:ascii="Times New Roman" w:hAnsi="Times New Roman" w:eastAsia="Times New Roman"/>
          <w:sz w:val="20"/>
        </w:rPr>
        <w:t xml:space="preserve">Systematic Architectural Ablation Study</w:t>
      </w:r>
    </w:p>
    <w:p>
      <w:pPr>
        <w:pStyle w:val="FirstParagraph"/>
        <w:spacing w:after="0" w:line="240" w:lineRule="auto"/>
      </w:pPr>
      <w:r>
        <w:rPr>
          <w:rFonts w:ascii="Times New Roman" w:hAnsi="Times New Roman" w:eastAsia="Times New Roman"/>
          <w:sz w:val="20"/>
        </w:rPr>
        <w:t xml:space="preserve">To evaluate sensitivity to each input and architectural component, we conduct an ablation study across four controlled variants, each trained and evaluated under the identical multi-seed protocol across both unseen test regions and the pooled benchmark (Table 5):</w:t>
      </w:r>
    </w:p>
    <w:p>
      <w:pPr>
        <w:numPr>
          <w:ilvl w:val="0"/>
          <w:numId w:val="1005"/>
        </w:numPr>
        <w:spacing w:after="0" w:line="240" w:lineRule="auto"/>
      </w:pPr>
      <w:r>
        <w:rPr>
          <w:rFonts w:ascii="Times New Roman" w:hAnsi="Times New Roman" w:eastAsia="Times New Roman"/>
          <w:b/>
          <w:bCs/>
          <w:sz w:val="20"/>
        </w:rPr>
        <w:t xml:space="preserve">Ablation 1 (No-LIA):</w:t>
      </w:r>
      <w:r>
        <w:rPr>
          <w:rFonts w:ascii="Times New Roman" w:hAnsi="Times New Roman" w:eastAsia="Times New Roman"/>
          <w:sz w:val="20"/>
        </w:rPr>
        <w:t xml:space="preserve"> </w:t>
      </w:r>
      <w:r>
        <w:rPr>
          <w:rFonts w:ascii="Times New Roman" w:hAnsi="Times New Roman" w:eastAsia="Times New Roman"/>
          <w:sz w:val="20"/>
        </w:rPr>
        <w:t xml:space="preserve">Local incidence angle conditioning is omitted (</w:t>
      </w:r>
      <m:oMath>
        <m:r>
          <m:rPr>
            <m:sty m:val="p"/>
          </m:rPr>
          <m:t>cos</m:t>
        </m:r>
        <m:r>
          <m:t>ψ</m:t>
        </m:r>
        <m:r>
          <m:rPr>
            <m:sty m:val="p"/>
          </m:rPr>
          <m:t>=</m:t>
        </m:r>
        <m:r>
          <m:t>0</m:t>
        </m:r>
      </m:oMath>
      <w:r>
        <w:rPr>
          <w:rFonts w:ascii="Times New Roman" w:hAnsi="Times New Roman" w:eastAsia="Times New Roman"/>
          <w:sz w:val="20"/>
        </w:rPr>
        <w:t xml:space="preserve">), forcing the model to rely only on terrain slope and aspect.</w:t>
      </w:r>
    </w:p>
    <w:p>
      <w:pPr>
        <w:numPr>
          <w:ilvl w:val="0"/>
          <w:numId w:val="1005"/>
        </w:numPr>
        <w:spacing w:after="0" w:line="240" w:lineRule="auto"/>
      </w:pPr>
      <w:r>
        <w:rPr>
          <w:rFonts w:ascii="Times New Roman" w:hAnsi="Times New Roman" w:eastAsia="Times New Roman"/>
          <w:b/>
          <w:bCs/>
          <w:sz w:val="20"/>
        </w:rPr>
        <w:t xml:space="preserve">Ablation 2 (No-Aspect):</w:t>
      </w:r>
      <w:r>
        <w:rPr>
          <w:rFonts w:ascii="Times New Roman" w:hAnsi="Times New Roman" w:eastAsia="Times New Roman"/>
          <w:sz w:val="20"/>
        </w:rPr>
        <w:t xml:space="preserve"> </w:t>
      </w:r>
      <w:r>
        <w:rPr>
          <w:rFonts w:ascii="Times New Roman" w:hAnsi="Times New Roman" w:eastAsia="Times New Roman"/>
          <w:sz w:val="20"/>
        </w:rPr>
        <w:t xml:space="preserve">The 2D aspect vector</w:t>
      </w:r>
      <w:r>
        <w:rPr>
          <w:rFonts w:ascii="Times New Roman" w:hAnsi="Times New Roman" w:eastAsia="Times New Roman"/>
          <w:sz w:val="20"/>
        </w:rPr>
        <w:t xml:space="preserve"> </w:t>
      </w:r>
      <m:oMath>
        <m:r>
          <m:rPr>
            <m:sty m:val="p"/>
          </m:rPr>
          <m:t>[</m:t>
        </m:r>
        <m:r>
          <m:rPr>
            <m:sty m:val="p"/>
          </m:rPr>
          <m:t>sin</m:t>
        </m:r>
        <m:r>
          <m:t>α</m:t>
        </m:r>
        <m:r>
          <m:rPr>
            <m:sty m:val="p"/>
          </m:rPr>
          <m:t>,</m:t>
        </m:r>
        <m:r>
          <m:rPr>
            <m:sty m:val="p"/>
          </m:rPr>
          <m:t>cos</m:t>
        </m:r>
        <m:r>
          <m:t>α</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radar look alignment (</w:t>
      </w:r>
      <m:oMath>
        <m:sSub>
          <m:e>
            <m:r>
              <m:t>θ</m:t>
            </m:r>
          </m:e>
          <m:sub>
            <m:r>
              <m:rPr>
                <m:nor/>
                <m:sty m:val="p"/>
              </m:rPr>
              <m:t>align</m:t>
            </m:r>
          </m:sub>
        </m:sSub>
      </m:oMath>
      <w:r>
        <w:rPr>
          <w:rFonts w:ascii="Times New Roman" w:hAnsi="Times New Roman" w:eastAsia="Times New Roman"/>
          <w:sz w:val="20"/>
        </w:rPr>
        <w:t xml:space="preserve">) are zeroed out, depriving the network of directional look orientation.</w:t>
      </w:r>
    </w:p>
    <w:p>
      <w:pPr>
        <w:numPr>
          <w:ilvl w:val="0"/>
          <w:numId w:val="1005"/>
        </w:numPr>
        <w:spacing w:after="0" w:line="240" w:lineRule="auto"/>
      </w:pPr>
      <w:r>
        <w:rPr>
          <w:rFonts w:ascii="Times New Roman" w:hAnsi="Times New Roman" w:eastAsia="Times New Roman"/>
          <w:b/>
          <w:bCs/>
          <w:sz w:val="20"/>
        </w:rPr>
        <w:t xml:space="preserve">Ablation 3 (No-CrossAttn):</w:t>
      </w:r>
      <w:r>
        <w:rPr>
          <w:rFonts w:ascii="Times New Roman" w:hAnsi="Times New Roman" w:eastAsia="Times New Roman"/>
          <w:sz w:val="20"/>
        </w:rPr>
        <w:t xml:space="preserve"> </w:t>
      </w:r>
      <w:r>
        <w:rPr>
          <w:rFonts w:ascii="Times New Roman" w:hAnsi="Times New Roman" w:eastAsia="Times New Roman"/>
          <w:sz w:val="20"/>
        </w:rPr>
        <w:t xml:space="preserve">The multi-scale cross-attention mechanism is replaced with simple channel concatenation of topographic features followed by</w:t>
      </w:r>
      <w:r>
        <w:rPr>
          <w:rFonts w:ascii="Times New Roman" w:hAnsi="Times New Roman" w:eastAsia="Times New Roman"/>
          <w:sz w:val="20"/>
        </w:rPr>
        <w:t xml:space="preserve"> </w:t>
      </w:r>
      <m:oMath>
        <m:r>
          <m:t>1</m:t>
        </m:r>
        <m:r>
          <m:rPr>
            <m:sty m:val="p"/>
          </m:rPr>
          <m:t>×</m:t>
        </m:r>
        <m:r>
          <m:t>1</m:t>
        </m:r>
      </m:oMath>
      <w:r>
        <w:rPr>
          <w:rFonts w:ascii="Times New Roman" w:hAnsi="Times New Roman" w:eastAsia="Times New Roman"/>
          <w:sz w:val="20"/>
        </w:rPr>
        <w:t xml:space="preserve"> </w:t>
      </w:r>
      <w:r>
        <w:rPr>
          <w:rFonts w:ascii="Times New Roman" w:hAnsi="Times New Roman" w:eastAsia="Times New Roman"/>
          <w:sz w:val="20"/>
        </w:rPr>
        <w:t xml:space="preserve">convolutions, exactly mimicking naive multimodal stacking.</w:t>
      </w:r>
    </w:p>
    <w:p>
      <w:pPr>
        <w:numPr>
          <w:ilvl w:val="0"/>
          <w:numId w:val="1005"/>
        </w:numPr>
        <w:spacing w:after="0" w:line="240" w:lineRule="auto"/>
      </w:pPr>
      <w:r>
        <w:rPr>
          <w:rFonts w:ascii="Times New Roman" w:hAnsi="Times New Roman" w:eastAsia="Times New Roman"/>
          <w:b/>
          <w:bCs/>
          <w:sz w:val="20"/>
        </w:rPr>
        <w:t xml:space="preserve">Ablation 4 (No-GeoLoss):</w:t>
      </w:r>
      <w:r>
        <w:rPr>
          <w:rFonts w:ascii="Times New Roman" w:hAnsi="Times New Roman" w:eastAsia="Times New Roman"/>
          <w:sz w:val="20"/>
        </w:rPr>
        <w:t xml:space="preserve"> </w:t>
      </w:r>
      <w:r>
        <w:rPr>
          <w:rFonts w:ascii="Times New Roman" w:hAnsi="Times New Roman" w:eastAsia="Times New Roman"/>
          <w:sz w:val="20"/>
        </w:rPr>
        <w:t xml:space="preserve">The geomorphically bounded loss is removed (</w:t>
      </w:r>
      <m:oMath>
        <m:sSub>
          <m:e>
            <m:r>
              <m:t>λ</m:t>
            </m:r>
          </m:e>
          <m:sub>
            <m:r>
              <m:rPr>
                <m:nor/>
                <m:sty m:val="p"/>
              </m:rPr>
              <m:t>geom</m:t>
            </m:r>
          </m:sub>
        </m:sSub>
        <m:r>
          <m:rPr>
            <m:sty m:val="p"/>
          </m:rPr>
          <m:t>=</m:t>
        </m:r>
        <m:r>
          <m:t>0</m:t>
        </m:r>
      </m:oMath>
      <w:r>
        <w:rPr>
          <w:rFonts w:ascii="Times New Roman" w:hAnsi="Times New Roman" w:eastAsia="Times New Roman"/>
          <w:sz w:val="20"/>
        </w:rPr>
        <w:t xml:space="preserve">), training exclusively on standard weighted BCE and Dice losses.</w:t>
      </w:r>
    </w:p>
    <w:p>
      <w:pPr>
        <w:pStyle w:val="FirstParagraph"/>
        <w:spacing w:after="0" w:line="240" w:lineRule="auto"/>
      </w:pPr>
      <w:r>
        <w:rPr>
          <w:rFonts w:ascii="Times New Roman" w:hAnsi="Times New Roman" w:eastAsia="Times New Roman"/>
          <w:b/>
          <w:bCs/>
          <w:sz w:val="20"/>
        </w:rPr>
        <w:t xml:space="preserve">Table 5.</w:t>
      </w:r>
      <w:r>
        <w:rPr>
          <w:rFonts w:ascii="Times New Roman" w:hAnsi="Times New Roman" w:eastAsia="Times New Roman"/>
          <w:sz w:val="20"/>
        </w:rPr>
        <w:t xml:space="preserve"> </w:t>
      </w:r>
      <w:r>
        <w:rPr>
          <w:rFonts w:ascii="Times New Roman" w:hAnsi="Times New Roman" w:eastAsia="Times New Roman"/>
          <w:sz w:val="20"/>
        </w:rPr>
        <w:t xml:space="preserve">Systematic ablation analysis of TopoRadar-Net components across unseen mountain test regions and the pooled benchmark (Mean ± Standard Deviation across 3 independent training seeds).</w:t>
      </w:r>
    </w:p>
    <w:tbl>
      <w:tblPr>
        <w:tblStyle w:val="Table"/>
        <w:tblW w:type="auto" w:w="0"/>
        <w:tblLayout w:type="fixed"/>
        <w:tblLook w:firstRow="0" w:lastRow="0" w:firstColumn="0" w:lastColumn="0" w:noHBand="0" w:noVBand="0" w:val="0000"/>
      </w:tblPr>
      <w:tblGrid>
        <w:gridCol w:w="1131"/>
        <w:gridCol w:w="1131"/>
        <w:gridCol w:w="1131"/>
        <w:gridCol w:w="1131"/>
        <w:gridCol w:w="1131"/>
        <w:gridCol w:w="1131"/>
        <w:gridCol w:w="1131"/>
      </w:tblGrid>
      <w:tr>
        <w:trPr>
          <w:cantSplit w:val="true"/>
          <w:tblHeader w:val="true"/>
        </w:trPr>
        <w:tc>
          <w:tcPr>
            <w:tcW w:type="dxa" w:w="2154"/>
            <w:vMerge w:val="restart"/>
            <w:vAlign w:val="center"/>
          </w:tcPr>
          <w:p>
            <w:pPr>
              <w:pStyle w:val="Compact"/>
              <w:spacing w:before="0" w:after="0" w:line="240" w:lineRule="auto"/>
              <w:jc w:val="left"/>
            </w:pPr>
            <w:r>
              <w:rPr>
                <w:rFonts w:ascii="Times New Roman" w:hAnsi="Times New Roman" w:eastAsia="Times New Roman"/>
                <w:b/>
                <w:bCs/>
                <w:sz w:val="17"/>
              </w:rPr>
              <w:t xml:space="preserve">Configuration</w:t>
            </w:r>
          </w:p>
        </w:tc>
        <w:tc>
          <w:tcPr>
            <w:tcW w:type="dxa" w:w="1020"/>
            <w:gridSpan w:val="3"/>
            <w:vAlign w:val="center"/>
          </w:tcPr>
          <w:p>
            <w:pPr>
              <w:pStyle w:val="Compact"/>
              <w:spacing w:before="0" w:after="0" w:line="240" w:lineRule="auto"/>
              <w:jc w:val="center"/>
            </w:pPr>
            <w:r>
              <w:rPr>
                <w:rFonts w:ascii="Times New Roman" w:hAnsi="Times New Roman" w:eastAsia="Times New Roman"/>
                <w:b/>
                <w:bCs/>
                <w:sz w:val="17"/>
              </w:rPr>
              <w:t xml:space="preserve">Scandinavian Arctic (Troms</w:t>
            </w:r>
            <w:r>
              <w:rPr>
                <w:rFonts w:ascii="Times New Roman" w:hAnsi="Times New Roman" w:eastAsia="Times New Roman"/>
                <w:b/>
                <w:bCs/>
                <w:sz w:val="17"/>
              </w:rPr>
              <w:t xml:space="preserve">ø</w:t>
            </w:r>
            <w:r>
              <w:rPr>
                <w:rFonts w:ascii="Times New Roman" w:hAnsi="Times New Roman" w:eastAsia="Times New Roman"/>
                <w:b/>
                <w:bCs/>
                <w:sz w:val="17"/>
              </w:rPr>
              <w:t xml:space="preserve">)</w:t>
            </w:r>
          </w:p>
        </w:tc>
        <w:tc>
          <w:tcPr>
            <w:tcW w:type="dxa" w:w="1020"/>
            <w:gridSpan w:val="2"/>
            <w:vAlign w:val="center"/>
          </w:tcPr>
          <w:p>
            <w:pPr>
              <w:pStyle w:val="Compact"/>
              <w:spacing w:before="0" w:after="0" w:line="240" w:lineRule="auto"/>
              <w:jc w:val="center"/>
            </w:pPr>
            <w:r>
              <w:rPr>
                <w:rFonts w:ascii="Times New Roman" w:hAnsi="Times New Roman" w:eastAsia="Times New Roman"/>
                <w:b/>
                <w:bCs/>
                <w:sz w:val="17"/>
              </w:rPr>
              <w:t xml:space="preserve">Pamir Mountains (Pish)</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Pooled</w:t>
            </w:r>
          </w:p>
        </w:tc>
      </w:tr>
      <w:tr>
        <w:trPr>
          <w:cantSplit w:val="true"/>
          <w:tblHeader w:val="true"/>
        </w:trPr>
        <w:tc>
          <w:tcPr>
            <w:gridSpan w:val="1"/>
            <w:vMerge w:val="continue"/>
          </w:tcPr>
          <w:p>
            <w:pPr/>
          </w:p>
        </w:tc>
        <w:tc>
          <w:tcPr>
            <w:tcW w:type="dxa" w:w="1134"/>
            <w:vAlign w:val="center"/>
          </w:tcPr>
          <w:p>
            <w:pPr>
              <w:pStyle w:val="Compact"/>
              <w:spacing w:before="0" w:after="0" w:line="240" w:lineRule="auto"/>
              <w:jc w:val="center"/>
            </w:pPr>
            <w:r>
              <w:rPr>
                <w:rFonts w:ascii="Times New Roman" w:hAnsi="Times New Roman" w:eastAsia="Times New Roman"/>
                <w:b/>
                <w:bCs/>
                <w:sz w:val="17"/>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Prec (%)</w:t>
            </w:r>
          </w:p>
        </w:tc>
        <w:tc>
          <w:tcPr>
            <w:tcW w:type="dxa" w:w="1247"/>
            <w:vAlign w:val="center"/>
          </w:tcPr>
          <w:p>
            <w:pPr>
              <w:pStyle w:val="Compact"/>
              <w:spacing w:before="0" w:after="0" w:line="240" w:lineRule="auto"/>
              <w:jc w:val="center"/>
            </w:pPr>
            <w:r>
              <w:rPr>
                <w:rFonts w:ascii="Times New Roman" w:hAnsi="Times New Roman" w:eastAsia="Times New Roman"/>
                <w:b/>
                <w:bCs/>
                <w:sz w:val="17"/>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Macro F1 (%)</w:t>
            </w:r>
          </w:p>
        </w:tc>
      </w:tr>
      <w:tr>
        <w:trPr>
          <w:cantSplit w:val="true"/>
        </w:trPr>
        <w:tc>
          <w:tcPr>
            <w:tcW w:type="dxa" w:w="2154"/>
            <w:vAlign w:val="center"/>
          </w:tcPr>
          <w:p>
            <w:pPr>
              <w:pStyle w:val="Compact"/>
              <w:spacing w:before="0" w:after="0" w:line="240" w:lineRule="auto"/>
              <w:jc w:val="left"/>
            </w:pPr>
            <w:r>
              <w:rPr>
                <w:rFonts w:ascii="Times New Roman" w:hAnsi="Times New Roman" w:eastAsia="Times New Roman"/>
                <w:sz w:val="17"/>
              </w:rPr>
              <w:t xml:space="preserve">Full TopoRadar-Net</w:t>
            </w:r>
          </w:p>
        </w:tc>
        <w:tc>
          <w:tcPr>
            <w:tcW w:type="dxa" w:w="1134"/>
            <w:vAlign w:val="center"/>
          </w:tcPr>
          <w:p>
            <w:pPr>
              <w:pStyle w:val="Compact"/>
              <w:spacing w:before="0" w:after="0" w:line="240" w:lineRule="auto"/>
              <w:jc w:val="center"/>
            </w:pPr>
            <w:r>
              <w:rPr>
                <w:rFonts w:ascii="Times New Roman" w:hAnsi="Times New Roman" w:eastAsia="Times New Roman"/>
                <w:b/>
                <w:bCs/>
                <w:sz w:val="17"/>
              </w:rPr>
              <w:t xml:space="preserve">77.40 ± 1.86</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63.16 ± 2.45</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75.48 ± 1.15</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50.18 ± 4.40</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33.61 ± 3.89</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63.79 ± 1.88</w:t>
            </w:r>
          </w:p>
        </w:tc>
      </w:tr>
      <w:tr>
        <w:trPr>
          <w:cantSplit w:val="true"/>
        </w:trPr>
        <w:tc>
          <w:tcPr>
            <w:tcW w:type="dxa" w:w="2154"/>
            <w:vAlign w:val="center"/>
          </w:tcPr>
          <w:p>
            <w:pPr>
              <w:pStyle w:val="Compact"/>
              <w:spacing w:before="0" w:after="0" w:line="240" w:lineRule="auto"/>
              <w:jc w:val="left"/>
            </w:pPr>
            <w:r>
              <w:rPr>
                <w:rFonts w:ascii="Times New Roman" w:hAnsi="Times New Roman" w:eastAsia="Times New Roman"/>
                <w:sz w:val="17"/>
              </w:rPr>
              <w:t xml:space="preserve">w/o Local Incidence Angle (No-LIA)</w:t>
            </w:r>
          </w:p>
        </w:tc>
        <w:tc>
          <w:tcPr>
            <w:tcW w:type="dxa" w:w="1134"/>
            <w:vAlign w:val="center"/>
          </w:tcPr>
          <w:p>
            <w:pPr>
              <w:pStyle w:val="Compact"/>
              <w:spacing w:before="0" w:after="0" w:line="240" w:lineRule="auto"/>
              <w:jc w:val="center"/>
            </w:pPr>
            <w:r>
              <w:rPr>
                <w:rFonts w:ascii="Times New Roman" w:hAnsi="Times New Roman" w:eastAsia="Times New Roman"/>
                <w:sz w:val="17"/>
              </w:rPr>
              <w:t xml:space="preserve">75.67 ± 1.76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60.89 ± 2.26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71.02 ± 2.80</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52.13 ± 1.11</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35.26 ± 1.01</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63.90 ± 1.37</w:t>
            </w:r>
          </w:p>
        </w:tc>
      </w:tr>
      <w:tr>
        <w:trPr>
          <w:cantSplit w:val="true"/>
        </w:trPr>
        <w:tc>
          <w:tcPr>
            <w:tcW w:type="dxa" w:w="2154"/>
            <w:vAlign w:val="center"/>
          </w:tcPr>
          <w:p>
            <w:pPr>
              <w:pStyle w:val="Compact"/>
              <w:spacing w:before="0" w:after="0" w:line="240" w:lineRule="auto"/>
              <w:jc w:val="left"/>
            </w:pPr>
            <w:r>
              <w:rPr>
                <w:rFonts w:ascii="Times New Roman" w:hAnsi="Times New Roman" w:eastAsia="Times New Roman"/>
                <w:sz w:val="17"/>
              </w:rPr>
              <w:t xml:space="preserve">w/o Cross-Attention (No-CrossAttn)</w:t>
            </w:r>
          </w:p>
        </w:tc>
        <w:tc>
          <w:tcPr>
            <w:tcW w:type="dxa" w:w="1134"/>
            <w:vAlign w:val="center"/>
          </w:tcPr>
          <w:p>
            <w:pPr>
              <w:pStyle w:val="Compact"/>
              <w:spacing w:before="0" w:after="0" w:line="240" w:lineRule="auto"/>
              <w:jc w:val="center"/>
            </w:pPr>
            <w:r>
              <w:rPr>
                <w:rFonts w:ascii="Times New Roman" w:hAnsi="Times New Roman" w:eastAsia="Times New Roman"/>
                <w:sz w:val="17"/>
              </w:rPr>
              <w:t xml:space="preserve">76.85 ± 0.80</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62.41 ± 1.06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70.77 ± 2.20</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53.30 ± 0.93</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36.34 ± 0.87</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65.07 ± 0.53</w:t>
            </w:r>
          </w:p>
        </w:tc>
      </w:tr>
      <w:tr>
        <w:trPr>
          <w:cantSplit w:val="true"/>
        </w:trPr>
        <w:tc>
          <w:tcPr>
            <w:tcW w:type="dxa" w:w="2154"/>
            <w:vAlign w:val="center"/>
          </w:tcPr>
          <w:p>
            <w:pPr>
              <w:pStyle w:val="Compact"/>
              <w:spacing w:before="0" w:after="0" w:line="240" w:lineRule="auto"/>
              <w:jc w:val="left"/>
            </w:pPr>
            <w:r>
              <w:rPr>
                <w:rFonts w:ascii="Times New Roman" w:hAnsi="Times New Roman" w:eastAsia="Times New Roman"/>
                <w:sz w:val="17"/>
              </w:rPr>
              <w:t xml:space="preserve">w/o Geomorphic Loss (No-GeoLoss)</w:t>
            </w:r>
          </w:p>
        </w:tc>
        <w:tc>
          <w:tcPr>
            <w:tcW w:type="dxa" w:w="1134"/>
            <w:vAlign w:val="center"/>
          </w:tcPr>
          <w:p>
            <w:pPr>
              <w:pStyle w:val="Compact"/>
              <w:spacing w:before="0" w:after="0" w:line="240" w:lineRule="auto"/>
              <w:jc w:val="center"/>
            </w:pPr>
            <w:r>
              <w:rPr>
                <w:rFonts w:ascii="Times New Roman" w:hAnsi="Times New Roman" w:eastAsia="Times New Roman"/>
                <w:sz w:val="17"/>
              </w:rPr>
              <w:t xml:space="preserve">76.70 ± 0.91</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62.22 ± 1.20</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72.50 ± 2.15</w:t>
            </w:r>
          </w:p>
        </w:tc>
        <w:tc>
          <w:tcPr>
            <w:tcW w:type="dxa" w:w="1247"/>
            <w:vAlign w:val="center"/>
          </w:tcPr>
          <w:p>
            <w:pPr>
              <w:pStyle w:val="Compact"/>
              <w:spacing w:before="0" w:after="0" w:line="240" w:lineRule="auto"/>
              <w:jc w:val="center"/>
            </w:pPr>
            <w:r>
              <w:rPr>
                <w:rFonts w:ascii="Times New Roman" w:hAnsi="Times New Roman" w:eastAsia="Times New Roman"/>
                <w:sz w:val="17"/>
              </w:rPr>
              <w:t xml:space="preserve">51.99 ± 1.31</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35.14 ± 1.20</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64.35 ± 1.05</w:t>
            </w:r>
          </w:p>
        </w:tc>
      </w:tr>
      <w:tr>
        <w:trPr>
          <w:cantSplit w:val="true"/>
        </w:trPr>
        <w:tc>
          <w:tcPr>
            <w:tcW w:type="dxa" w:w="2154"/>
            <w:vAlign w:val="center"/>
          </w:tcPr>
          <w:p>
            <w:pPr>
              <w:pStyle w:val="Compact"/>
              <w:spacing w:before="0" w:after="0" w:line="240" w:lineRule="auto"/>
              <w:jc w:val="left"/>
            </w:pPr>
            <w:r>
              <w:rPr>
                <w:rFonts w:ascii="Times New Roman" w:hAnsi="Times New Roman" w:eastAsia="Times New Roman"/>
                <w:sz w:val="17"/>
              </w:rPr>
              <w:t xml:space="preserve">w/o Aspect Alignment (No-Aspect)</w:t>
            </w:r>
          </w:p>
        </w:tc>
        <w:tc>
          <w:tcPr>
            <w:tcW w:type="dxa" w:w="1134"/>
            <w:vAlign w:val="center"/>
          </w:tcPr>
          <w:p>
            <w:pPr>
              <w:pStyle w:val="Compact"/>
              <w:spacing w:before="0" w:after="0" w:line="240" w:lineRule="auto"/>
              <w:jc w:val="center"/>
            </w:pPr>
            <w:r>
              <w:rPr>
                <w:rFonts w:ascii="Times New Roman" w:hAnsi="Times New Roman" w:eastAsia="Times New Roman"/>
                <w:sz w:val="17"/>
              </w:rPr>
              <w:t xml:space="preserve">77.38 ± 2.66</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63.18 ± 3.49</w:t>
            </w:r>
          </w:p>
        </w:tc>
        <w:tc>
          <w:tcPr>
            <w:tcW w:type="dxa" w:w="1020"/>
            <w:vAlign w:val="center"/>
          </w:tcPr>
          <w:p>
            <w:pPr>
              <w:pStyle w:val="Compact"/>
              <w:spacing w:before="0" w:after="0" w:line="240" w:lineRule="auto"/>
              <w:jc w:val="center"/>
            </w:pPr>
            <w:r>
              <w:rPr>
                <w:rFonts w:ascii="Times New Roman" w:hAnsi="Times New Roman" w:eastAsia="Times New Roman"/>
                <w:sz w:val="17"/>
              </w:rPr>
              <w:t xml:space="preserve">71.19 ± 3.40</w:t>
            </w:r>
          </w:p>
        </w:tc>
        <w:tc>
          <w:tcPr>
            <w:tcW w:type="dxa" w:w="1247"/>
            <w:vAlign w:val="center"/>
          </w:tcPr>
          <w:p>
            <w:pPr>
              <w:pStyle w:val="Compact"/>
              <w:spacing w:before="0" w:after="0" w:line="240" w:lineRule="auto"/>
              <w:jc w:val="center"/>
            </w:pPr>
            <w:r>
              <w:rPr>
                <w:rFonts w:ascii="Times New Roman" w:hAnsi="Times New Roman" w:eastAsia="Times New Roman"/>
                <w:b/>
                <w:bCs/>
                <w:sz w:val="17"/>
              </w:rPr>
              <w:t xml:space="preserve">53.32 ± 0.42</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36.35 ± 0.39</w:t>
            </w:r>
          </w:p>
        </w:tc>
        <w:tc>
          <w:tcPr>
            <w:tcW w:type="dxa" w:w="1020"/>
            <w:vAlign w:val="center"/>
          </w:tcPr>
          <w:p>
            <w:pPr>
              <w:pStyle w:val="Compact"/>
              <w:spacing w:before="0" w:after="0" w:line="240" w:lineRule="auto"/>
              <w:jc w:val="center"/>
            </w:pPr>
            <w:r>
              <w:rPr>
                <w:rFonts w:ascii="Times New Roman" w:hAnsi="Times New Roman" w:eastAsia="Times New Roman"/>
                <w:b/>
                <w:bCs/>
                <w:sz w:val="17"/>
              </w:rPr>
              <w:t xml:space="preserve">65.35 ± 1.54</w:t>
            </w:r>
          </w:p>
        </w:tc>
      </w:tr>
    </w:tbl>
    <w:p>
      <w:pPr>
        <w:pStyle w:val="BodyText"/>
        <w:spacing w:after="0" w:line="240" w:lineRule="auto"/>
      </w:pPr>
      <w:r>
        <w:rPr>
          <w:rFonts w:ascii="Times New Roman" w:hAnsi="Times New Roman" w:eastAsia="Times New Roman"/>
          <w:sz w:val="20"/>
        </w:rPr>
        <w:t xml:space="preserve">The ablation results in Table 5 provide nuanced empirical insights into the regional dependence of radar-topographic conditioning:</w:t>
      </w:r>
    </w:p>
    <w:p>
      <w:pPr>
        <w:numPr>
          <w:ilvl w:val="0"/>
          <w:numId w:val="1006"/>
        </w:numPr>
        <w:spacing w:after="0" w:line="240" w:lineRule="auto"/>
      </w:pPr>
      <w:r>
        <w:rPr>
          <w:rFonts w:ascii="Times New Roman" w:hAnsi="Times New Roman" w:eastAsia="Times New Roman"/>
          <w:b/>
          <w:bCs/>
          <w:sz w:val="20"/>
        </w:rPr>
        <w:t xml:space="preserve">Maritime Alpine Setting (Troms</w:t>
      </w:r>
      <w:r>
        <w:rPr>
          <w:rFonts w:ascii="Times New Roman" w:hAnsi="Times New Roman" w:eastAsia="Times New Roman"/>
          <w:b/>
          <w:bCs/>
          <w:sz w:val="20"/>
        </w:rPr>
        <w:t xml:space="preserve">ø</w:t>
      </w:r>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In coastal Arctic mountains where fjord slopes cause severe radar foreshortening, the full TopoRadar-Net architecture records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and</w:t>
      </w:r>
      <w:r>
        <w:rPr>
          <w:rFonts w:ascii="Times New Roman" w:hAnsi="Times New Roman" w:eastAsia="Times New Roman"/>
          <w:sz w:val="20"/>
        </w:rPr>
        <w:t xml:space="preserve"> </w:t>
      </w:r>
      <m:oMath>
        <m:r>
          <m:t>63.16</m:t>
        </m:r>
        <m:r>
          <m:rPr>
            <m:sty m:val="p"/>
          </m:rPr>
          <m:t>%</m:t>
        </m:r>
        <m:r>
          <m:rPr>
            <m:sty m:val="p"/>
          </m:rPr>
          <m:t>±</m:t>
        </m:r>
        <m:r>
          <m:t>2.45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The Seed-42 paired cluster comparison with No-LIA records a</w:t>
      </w:r>
      <w:r>
        <w:rPr>
          <w:rFonts w:ascii="Times New Roman" w:hAnsi="Times New Roman" w:eastAsia="Times New Roman"/>
          <w:sz w:val="20"/>
        </w:rPr>
        <w:t xml:space="preserve"> </w:t>
      </w:r>
      <m:oMath>
        <m:r>
          <m:rPr>
            <m:sty m:val="p"/>
          </m:rPr>
          <m:t>+</m:t>
        </m:r>
        <m:r>
          <m:t>2.04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difference (</w:t>
      </w:r>
      <m:oMath>
        <m:r>
          <m:t>p</m:t>
        </m:r>
        <m:r>
          <m:rPr>
            <m:sty m:val="p"/>
          </m:rPr>
          <m:t>&lt;</m:t>
        </m:r>
        <m:r>
          <m:t>0.001</m:t>
        </m:r>
      </m:oMath>
      <w:r>
        <w:rPr>
          <w:rFonts w:ascii="Times New Roman" w:hAnsi="Times New Roman" w:eastAsia="Times New Roman"/>
          <w:sz w:val="20"/>
        </w:rPr>
        <w:t xml:space="preserve">), establishing sensitivity to the component rather than a causal normalization mechanism.</w:t>
      </w:r>
    </w:p>
    <w:p>
      <w:pPr>
        <w:numPr>
          <w:ilvl w:val="0"/>
          <w:numId w:val="1006"/>
        </w:numPr>
        <w:spacing w:after="0" w:line="240" w:lineRule="auto"/>
      </w:pPr>
      <w:r>
        <w:rPr>
          <w:rFonts w:ascii="Times New Roman" w:hAnsi="Times New Roman" w:eastAsia="Times New Roman"/>
          <w:b/>
          <w:bCs/>
          <w:sz w:val="20"/>
        </w:rPr>
        <w:t xml:space="preserve">Cross-Attention vs. Concatenation:</w:t>
      </w:r>
      <w:r>
        <w:rPr>
          <w:rFonts w:ascii="Times New Roman" w:hAnsi="Times New Roman" w:eastAsia="Times New Roman"/>
          <w:sz w:val="20"/>
        </w:rPr>
        <w:t xml:space="preserve"> </w:t>
      </w:r>
      <w:r>
        <w:rPr>
          <w:rFonts w:ascii="Times New Roman" w:hAnsi="Times New Roman" w:eastAsia="Times New Roman"/>
          <w:sz w:val="20"/>
        </w:rPr>
        <w:t xml:space="preserve">Replacing RTCAB cross-attention with naive channel concatenation reduces precision from</w:t>
      </w:r>
      <w:r>
        <w:rPr>
          <w:rFonts w:ascii="Times New Roman" w:hAnsi="Times New Roman" w:eastAsia="Times New Roman"/>
          <w:sz w:val="20"/>
        </w:rPr>
        <w:t xml:space="preserve"> </w:t>
      </w:r>
      <m:oMath>
        <m:r>
          <m:t>75.48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70.77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w:t>
      </w:r>
      <w:r>
        <w:rPr>
          <w:rFonts w:ascii="Times New Roman" w:hAnsi="Times New Roman" w:eastAsia="Times New Roman"/>
          <w:sz w:val="20"/>
        </w:rPr>
        <w:t xml:space="preserve"> </w:t>
      </w:r>
      <m:oMath>
        <m:r>
          <m:rPr>
            <m:sty m:val="p"/>
          </m:rPr>
          <m:t>−</m:t>
        </m:r>
        <m:r>
          <m:t>4.71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penalty) and incurs a paired bootstrap drop of</w:t>
      </w:r>
      <w:r>
        <w:rPr>
          <w:rFonts w:ascii="Times New Roman" w:hAnsi="Times New Roman" w:eastAsia="Times New Roman"/>
          <w:sz w:val="20"/>
        </w:rPr>
        <w:t xml:space="preserve"> </w:t>
      </w:r>
      <m:oMath>
        <m:r>
          <m:rPr>
            <m:sty m:val="p"/>
          </m:rPr>
          <m:t>−</m:t>
        </m:r>
        <m:r>
          <m:t>1.42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w:t>
      </w:r>
      <m:oMath>
        <m:r>
          <m:t>p</m:t>
        </m:r>
        <m:r>
          <m:rPr>
            <m:sty m:val="p"/>
          </m:rPr>
          <m:t>=</m:t>
        </m:r>
        <m:r>
          <m:t>0.010</m:t>
        </m:r>
      </m:oMath>
      <w:r>
        <w:rPr>
          <w:rFonts w:ascii="Times New Roman" w:hAnsi="Times New Roman" w:eastAsia="Times New Roman"/>
          <w:sz w:val="20"/>
        </w:rPr>
        <w:t xml:space="preserve">). However, on the extreme high-altitude Pamir Mountains, where massive relief causes extensive radar shadow, simpler unguided representations yield higher F1 (</w:t>
      </w:r>
      <m:oMath>
        <m:r>
          <m:t>53.30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50.18</m:t>
        </m:r>
        <m:r>
          <m:rPr>
            <m:sty m:val="p"/>
          </m:rPr>
          <m:t>%</m:t>
        </m:r>
      </m:oMath>
      <w:r>
        <w:rPr>
          <w:rFonts w:ascii="Times New Roman" w:hAnsi="Times New Roman" w:eastAsia="Times New Roman"/>
          <w:sz w:val="20"/>
        </w:rPr>
        <w:t xml:space="preserve">), reflecting the differing geomorphic character of continental versus maritime alpine regimes.</w:t>
      </w:r>
    </w:p>
    <w:p>
      <w:pPr>
        <w:numPr>
          <w:ilvl w:val="0"/>
          <w:numId w:val="1006"/>
        </w:numPr>
        <w:spacing w:after="0" w:line="240" w:lineRule="auto"/>
      </w:pPr>
      <w:r>
        <w:rPr>
          <w:rFonts w:ascii="Times New Roman" w:hAnsi="Times New Roman" w:eastAsia="Times New Roman"/>
          <w:b/>
          <w:bCs/>
          <w:sz w:val="20"/>
        </w:rPr>
        <w:t xml:space="preserve">Geo-Loss Trade-off and Construct Audit:</w:t>
      </w:r>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removing Geo-Loss changes precision from</w:t>
      </w:r>
      <w:r>
        <w:rPr>
          <w:rFonts w:ascii="Times New Roman" w:hAnsi="Times New Roman" w:eastAsia="Times New Roman"/>
          <w:sz w:val="20"/>
        </w:rPr>
        <w:t xml:space="preserve"> </w:t>
      </w:r>
      <m:oMath>
        <m:r>
          <m:t>75.48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72.50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F1 to</w:t>
      </w:r>
      <w:r>
        <w:rPr>
          <w:rFonts w:ascii="Times New Roman" w:hAnsi="Times New Roman" w:eastAsia="Times New Roman"/>
          <w:sz w:val="20"/>
        </w:rPr>
        <w:t xml:space="preserve"> </w:t>
      </w:r>
      <m:oMath>
        <m:r>
          <m:t>76.70</m:t>
        </m:r>
        <m:r>
          <m:rPr>
            <m:sty m:val="p"/>
          </m:rPr>
          <m:t>%</m:t>
        </m:r>
      </m:oMath>
      <w:r>
        <w:rPr>
          <w:rFonts w:ascii="Times New Roman" w:hAnsi="Times New Roman" w:eastAsia="Times New Roman"/>
          <w:sz w:val="20"/>
        </w:rPr>
        <w:t xml:space="preserve">, with a Seed-42 paired-cluster difference of</w:t>
      </w:r>
      <w:r>
        <w:rPr>
          <w:rFonts w:ascii="Times New Roman" w:hAnsi="Times New Roman" w:eastAsia="Times New Roman"/>
          <w:sz w:val="20"/>
        </w:rPr>
        <w:t xml:space="preserve"> </w:t>
      </w:r>
      <m:oMath>
        <m:r>
          <m:rPr>
            <m:sty m:val="p"/>
          </m:rPr>
          <m:t>+</m:t>
        </m:r>
        <m:r>
          <m:t>3.16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0.002</m:t>
        </m:r>
      </m:oMath>
      <w:r>
        <w:rPr>
          <w:rFonts w:ascii="Times New Roman" w:hAnsi="Times New Roman" w:eastAsia="Times New Roman"/>
          <w:sz w:val="20"/>
        </w:rPr>
        <w:t xml:space="preserve">). However, the heuristic penalty mask contains 19,663 of 106,442 valid positive training pixels (</w:t>
      </w:r>
      <m:oMath>
        <m:r>
          <m:t>18.47</m:t>
        </m:r>
        <m:r>
          <m:rPr>
            <m:sty m:val="p"/>
          </m:rPr>
          <m:t>%</m:t>
        </m:r>
      </m:oMath>
      <w:r>
        <w:rPr>
          <w:rFonts w:ascii="Times New Roman" w:hAnsi="Times New Roman" w:eastAsia="Times New Roman"/>
          <w:sz w:val="20"/>
        </w:rPr>
        <w:t xml:space="preserve">), 824 of 86,802 validation positives (</w:t>
      </w:r>
      <m:oMath>
        <m:r>
          <m:t>0.95</m:t>
        </m:r>
        <m:r>
          <m:rPr>
            <m:sty m:val="p"/>
          </m:rPr>
          <m:t>%</m:t>
        </m:r>
      </m:oMath>
      <w:r>
        <w:rPr>
          <w:rFonts w:ascii="Times New Roman" w:hAnsi="Times New Roman" w:eastAsia="Times New Roman"/>
          <w:sz w:val="20"/>
        </w:rPr>
        <w:t xml:space="preserve">), and 492 of 56,548 held-out positives (</w:t>
      </w:r>
      <m:oMath>
        <m:r>
          <m:t>0.87</m:t>
        </m:r>
        <m:r>
          <m:rPr>
            <m:sty m:val="p"/>
          </m:rPr>
          <m:t>%</m:t>
        </m:r>
      </m:oMath>
      <w:r>
        <w:rPr>
          <w:rFonts w:ascii="Times New Roman" w:hAnsi="Times New Roman" w:eastAsia="Times New Roman"/>
          <w:sz w:val="20"/>
        </w:rPr>
        <w:t xml:space="preserve">). Across three seeds, positive-pixel recall inside the held-out penalty stratum is lower for the full model than No-GeoLoss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50.47</m:t>
        </m:r>
        <m:r>
          <m:rPr>
            <m:sty m:val="p"/>
          </m:rPr>
          <m:t>%</m:t>
        </m:r>
        <m:r>
          <m:rPr>
            <m:sty m:val="p"/>
          </m:rPr>
          <m:t>±</m:t>
        </m:r>
        <m:r>
          <m:t>3.18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71.29</m:t>
        </m:r>
        <m:r>
          <m:rPr>
            <m:sty m:val="p"/>
          </m:rPr>
          <m:t>%</m:t>
        </m:r>
        <m:r>
          <m:rPr>
            <m:sty m:val="p"/>
          </m:rPr>
          <m:t>±</m:t>
        </m:r>
        <m:r>
          <m:t>6.39</m:t>
        </m:r>
        <m:r>
          <m:rPr>
            <m:sty m:val="p"/>
          </m:rPr>
          <m:t>%</m:t>
        </m:r>
      </m:oMath>
      <w:r>
        <w:rPr>
          <w:rFonts w:ascii="Times New Roman" w:hAnsi="Times New Roman" w:eastAsia="Times New Roman"/>
          <w:sz w:val="20"/>
        </w:rPr>
        <w:t xml:space="preserve">) and Pamir (</w:t>
      </w:r>
      <m:oMath>
        <m:r>
          <m:t>1.08</m:t>
        </m:r>
        <m:r>
          <m:rPr>
            <m:sty m:val="p"/>
          </m:rPr>
          <m:t>%</m:t>
        </m:r>
        <m:r>
          <m:rPr>
            <m:sty m:val="p"/>
          </m:rPr>
          <m:t>±</m:t>
        </m:r>
        <m:r>
          <m:t>1.52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6.45</m:t>
        </m:r>
        <m:r>
          <m:rPr>
            <m:sty m:val="p"/>
          </m:rPr>
          <m:t>%</m:t>
        </m:r>
        <m:r>
          <m:rPr>
            <m:sty m:val="p"/>
          </m:rPr>
          <m:t>±</m:t>
        </m:r>
        <m:r>
          <m:t>6.97</m:t>
        </m:r>
        <m:r>
          <m:rPr>
            <m:sty m:val="p"/>
          </m:rPr>
          <m:t>%</m:t>
        </m:r>
      </m:oMath>
      <w:r>
        <w:rPr>
          <w:rFonts w:ascii="Times New Roman" w:hAnsi="Times New Roman" w:eastAsia="Times New Roman"/>
          <w:sz w:val="20"/>
        </w:rPr>
        <w:t xml:space="preserve">). The full model’s penalty-stratum F1 is higher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55.10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50.34</m:t>
        </m:r>
        <m:r>
          <m:rPr>
            <m:sty m:val="p"/>
          </m:rPr>
          <m:t>%</m:t>
        </m:r>
      </m:oMath>
      <w:r>
        <w:rPr>
          <w:rFonts w:ascii="Times New Roman" w:hAnsi="Times New Roman" w:eastAsia="Times New Roman"/>
          <w:sz w:val="20"/>
        </w:rPr>
        <w:t xml:space="preserve">) but lower in Pamir (</w:t>
      </w:r>
      <m:oMath>
        <m:r>
          <m:t>0.82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2.77</m:t>
        </m:r>
        <m:r>
          <m:rPr>
            <m:sty m:val="p"/>
          </m:rPr>
          <m:t>%</m:t>
        </m:r>
      </m:oMath>
      <w:r>
        <w:rPr>
          <w:rFonts w:ascii="Times New Roman" w:hAnsi="Times New Roman" w:eastAsia="Times New Roman"/>
          <w:sz w:val="20"/>
        </w:rPr>
        <w:t xml:space="preserve">). Thus Geo-Loss is a precision–recall heuristic with a documented positive-label conflict, not a physical-admissibility mechanism (artifact</w:t>
      </w:r>
      <w:r>
        <w:rPr>
          <w:rFonts w:ascii="Times New Roman" w:hAnsi="Times New Roman" w:eastAsia="Times New Roman"/>
          <w:sz w:val="20"/>
        </w:rPr>
        <w:t xml:space="preserve"> </w:t>
      </w:r>
      <w:r>
        <w:rPr>
          <w:rStyle w:val="VerbatimChar"/>
          <w:rFonts w:ascii="Times New Roman" w:hAnsi="Times New Roman" w:eastAsia="Times New Roman"/>
          <w:sz w:val="20"/>
        </w:rPr>
        <w:t xml:space="preserve">geoloss_construct_audit.json</w:t>
      </w:r>
      <w:r>
        <w:rPr>
          <w:rFonts w:ascii="Times New Roman" w:hAnsi="Times New Roman" w:eastAsia="Times New Roman"/>
          <w:sz w:val="20"/>
        </w:rPr>
        <w:t xml:space="preserve">).</w:t>
      </w:r>
    </w:p>
    <w:p>
      <w:pPr>
        <w:numPr>
          <w:ilvl w:val="0"/>
          <w:numId w:val="1006"/>
        </w:numPr>
        <w:spacing w:after="0" w:line="240" w:lineRule="auto"/>
      </w:pPr>
      <w:r>
        <w:rPr>
          <w:rFonts w:ascii="Times New Roman" w:hAnsi="Times New Roman" w:eastAsia="Times New Roman"/>
          <w:b/>
          <w:bCs/>
          <w:sz w:val="20"/>
        </w:rPr>
        <w:t xml:space="preserve">Disclosed Regime-Dependent Sensitivity:</w:t>
      </w:r>
      <w:r>
        <w:rPr>
          <w:rFonts w:ascii="Times New Roman" w:hAnsi="Times New Roman" w:eastAsia="Times New Roman"/>
          <w:sz w:val="20"/>
        </w:rPr>
        <w:t xml:space="preserve"> </w:t>
      </w:r>
      <w:r>
        <w:rPr>
          <w:rFonts w:ascii="Times New Roman" w:hAnsi="Times New Roman" w:eastAsia="Times New Roman"/>
          <w:sz w:val="20"/>
        </w:rPr>
        <w:t xml:space="preserve">On the pooled benchmark, the No-Aspect (</w:t>
      </w:r>
      <m:oMath>
        <m:r>
          <m:t>65.35</m:t>
        </m:r>
        <m:r>
          <m:rPr>
            <m:sty m:val="p"/>
          </m:rPr>
          <m:t>%</m:t>
        </m:r>
      </m:oMath>
      <w:r>
        <w:rPr>
          <w:rFonts w:ascii="Times New Roman" w:hAnsi="Times New Roman" w:eastAsia="Times New Roman"/>
          <w:sz w:val="20"/>
        </w:rPr>
        <w:t xml:space="preserve">) and No-CrossAttn (</w:t>
      </w:r>
      <m:oMath>
        <m:r>
          <m:t>65.07</m:t>
        </m:r>
        <m:r>
          <m:rPr>
            <m:sty m:val="p"/>
          </m:rPr>
          <m:t>%</m:t>
        </m:r>
      </m:oMath>
      <w:r>
        <w:rPr>
          <w:rFonts w:ascii="Times New Roman" w:hAnsi="Times New Roman" w:eastAsia="Times New Roman"/>
          <w:sz w:val="20"/>
        </w:rPr>
        <w:t xml:space="preserve">) ablations achieve slightly higher macro F1 than the full model (</w:t>
      </w:r>
      <m:oMath>
        <m:r>
          <m:t>63.79</m:t>
        </m:r>
        <m:r>
          <m:rPr>
            <m:sty m:val="p"/>
          </m:rPr>
          <m:t>%</m:t>
        </m:r>
      </m:oMath>
      <w:r>
        <w:rPr>
          <w:rFonts w:ascii="Times New Roman" w:hAnsi="Times New Roman" w:eastAsia="Times New Roman"/>
          <w:sz w:val="20"/>
        </w:rPr>
        <w:t xml:space="preserve">). This empirical finding is consistent with earlier observations by Gatti et al. </w:t>
      </w:r>
      <w:r>
        <w:rPr>
          <w:rFonts w:ascii="Times New Roman" w:hAnsi="Times New Roman" w:eastAsia="Times New Roman"/>
          <w:sz w:val="20"/>
        </w:rPr>
        <w:t xml:space="preserve">(Gatti et al. 2026)</w:t>
      </w:r>
      <w:r>
        <w:rPr>
          <w:rFonts w:ascii="Times New Roman" w:hAnsi="Times New Roman" w:eastAsia="Times New Roman"/>
          <w:sz w:val="20"/>
        </w:rPr>
        <w:t xml:space="preserve"> </w:t>
      </w:r>
      <w:r>
        <w:rPr>
          <w:rFonts w:ascii="Times New Roman" w:hAnsi="Times New Roman" w:eastAsia="Times New Roman"/>
          <w:sz w:val="20"/>
        </w:rPr>
        <w:t xml:space="preserve">that auxiliary terrain features do not uniformly lift accuracy across all global mountain systems. The experiment establishes regime-dependent component sensitivity but does not identify a specific layover-suppression mechanism.</w:t>
      </w:r>
    </w:p>
    <w:p>
      <w:pPr>
        <w:pStyle w:val="Figure"/>
        <w:spacing w:after="0" w:line="240" w:lineRule="auto"/>
      </w:pPr>
      <w:r>
        <w:rPr>
          <w:rFonts w:ascii="Times New Roman" w:hAnsi="Times New Roman" w:eastAsia="Times New Roman"/>
          <w:sz w:val="20"/>
        </w:rPr>
        <w:drawing>
          <wp:inline>
            <wp:extent cx="5334000" cy="2960841"/>
            <wp:effectExtent b="0" l="0" r="0" t="0"/>
            <wp:docPr descr="" title="" id="36" name="Picture"/>
            <a:graphic>
              <a:graphicData uri="http://schemas.openxmlformats.org/drawingml/2006/picture">
                <pic:pic>
                  <pic:nvPicPr>
                    <pic:cNvPr descr="fig_ablation_breakdown.png" id="37" name="Picture"/>
                    <pic:cNvPicPr>
                      <a:picLocks noChangeArrowheads="1" noChangeAspect="1"/>
                    </pic:cNvPicPr>
                  </pic:nvPicPr>
                  <pic:blipFill>
                    <a:blip r:embed="rId35"/>
                    <a:stretch>
                      <a:fillRect/>
                    </a:stretch>
                  </pic:blipFill>
                  <pic:spPr bwMode="auto">
                    <a:xfrm>
                      <a:off x="0" y="0"/>
                      <a:ext cx="5334000" cy="2960841"/>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4.</w:t>
      </w:r>
      <w:r>
        <w:rPr>
          <w:rFonts w:ascii="Times New Roman" w:hAnsi="Times New Roman" w:eastAsia="Times New Roman"/>
          <w:sz w:val="20"/>
        </w:rPr>
        <w:t xml:space="preserve"> </w:t>
      </w:r>
      <w:r>
        <w:rPr>
          <w:rFonts w:ascii="Times New Roman" w:hAnsi="Times New Roman" w:eastAsia="Times New Roman"/>
          <w:sz w:val="20"/>
        </w:rPr>
        <w:t xml:space="preserve">Systematic component-wise ablation breakdown on the Scandinavian Arctic test scene, showing performance sensitivity to Local Incidence Angle (LIA), Aspect-Look Alignment, Radar-Topographic Cross-Attention (RTCAB), and Geomorphically Bounded Loss (Geo-Loss). The x-axis is truncated to the 70%–80% F1 dynamic range.</w:t>
      </w:r>
    </w:p>
    <w:bookmarkEnd w:id="38"/>
    <w:bookmarkStart w:id="39" w:name="Xae958880c33a2b936b73bc2f3d26242a9f1a6af"/>
    <w:p>
      <w:pPr>
        <w:pStyle w:val="Heading2"/>
        <w:spacing w:after="0" w:line="240" w:lineRule="auto"/>
      </w:pPr>
      <w:r>
        <w:rPr>
          <w:rFonts w:ascii="Times New Roman" w:hAnsi="Times New Roman" w:eastAsia="Times New Roman"/>
          <w:sz w:val="20"/>
        </w:rPr>
        <w:t xml:space="preserve">Topographic Radar Geometry and Slope Gradient Stratification Analysis</w:t>
      </w:r>
    </w:p>
    <w:p>
      <w:pPr>
        <w:pStyle w:val="FirstParagraph"/>
        <w:spacing w:after="0" w:line="240" w:lineRule="auto"/>
      </w:pPr>
      <w:r>
        <w:rPr>
          <w:rFonts w:ascii="Times New Roman" w:hAnsi="Times New Roman" w:eastAsia="Times New Roman"/>
          <w:sz w:val="20"/>
        </w:rPr>
        <w:t xml:space="preserve">To evaluate the physical sensitivity and fine-grained regional behavior of Radar-Topographic Aspect-Incidence Conditioning across differing terrain morphologies, Table 6 provides a stratification analysis across two key physical axes on both held-out test scenes: (1) Radar Look Aspect Alignment (</w:t>
      </w:r>
      <m:oMath>
        <m:sSub>
          <m:e>
            <m:r>
              <m:t>θ</m:t>
            </m:r>
          </m:e>
          <m:sub>
            <m:r>
              <m:rPr>
                <m:nor/>
                <m:sty m:val="p"/>
              </m:rPr>
              <m:t>align</m:t>
            </m:r>
          </m:sub>
        </m:sSub>
        <m:r>
          <m:rPr>
            <m:sty m:val="p"/>
          </m:rPr>
          <m:t>=</m:t>
        </m:r>
        <m:r>
          <m:rPr>
            <m:sty m:val="p"/>
          </m:rPr>
          <m:t>cos</m:t>
        </m:r>
        <m:r>
          <m:rPr>
            <m:sty m:val="p"/>
          </m:rPr>
          <m:t>(</m:t>
        </m:r>
        <m:r>
          <m:t>α</m:t>
        </m:r>
        <m:r>
          <m:rPr>
            <m:sty m:val="p"/>
          </m:rPr>
          <m:t>−</m:t>
        </m:r>
        <m:r>
          <m:t>ϕ</m:t>
        </m:r>
        <m:r>
          <m:rPr>
            <m:sty m:val="p"/>
          </m:rPr>
          <m:t>)</m:t>
        </m:r>
      </m:oMath>
      <w:r>
        <w:rPr>
          <w:rFonts w:ascii="Times New Roman" w:hAnsi="Times New Roman" w:eastAsia="Times New Roman"/>
          <w:sz w:val="20"/>
        </w:rPr>
        <w:t xml:space="preserve">), partitioning terrain into radar-facing foreslopes (</w:t>
      </w:r>
      <m:oMath>
        <m:sSub>
          <m:e>
            <m:r>
              <m:t>θ</m:t>
            </m:r>
          </m:e>
          <m:sub>
            <m:r>
              <m:rPr>
                <m:nor/>
                <m:sty m:val="p"/>
              </m:rPr>
              <m:t>align</m:t>
            </m:r>
          </m:sub>
        </m:sSub>
        <m:r>
          <m:rPr>
            <m:sty m:val="p"/>
          </m:rPr>
          <m:t>&gt;</m:t>
        </m:r>
        <m:r>
          <m:t>0.3</m:t>
        </m:r>
      </m:oMath>
      <w:r>
        <w:rPr>
          <w:rFonts w:ascii="Times New Roman" w:hAnsi="Times New Roman" w:eastAsia="Times New Roman"/>
          <w:sz w:val="20"/>
        </w:rPr>
        <w:t xml:space="preserve">), perpendicular cross-slopes (</w:t>
      </w:r>
      <m:oMath>
        <m:r>
          <m:rPr>
            <m:sty m:val="p"/>
          </m:rPr>
          <m:t>|</m:t>
        </m:r>
        <m:sSub>
          <m:e>
            <m:r>
              <m:t>θ</m:t>
            </m:r>
          </m:e>
          <m:sub>
            <m:r>
              <m:rPr>
                <m:nor/>
                <m:sty m:val="p"/>
              </m:rPr>
              <m:t>align</m:t>
            </m:r>
          </m:sub>
        </m:sSub>
        <m:r>
          <m:rPr>
            <m:sty m:val="p"/>
          </m:rPr>
          <m:t>|</m:t>
        </m:r>
        <m:r>
          <m:rPr>
            <m:sty m:val="p"/>
          </m:rPr>
          <m:t>≤</m:t>
        </m:r>
        <m:r>
          <m:t>0.3</m:t>
        </m:r>
      </m:oMath>
      <w:r>
        <w:rPr>
          <w:rFonts w:ascii="Times New Roman" w:hAnsi="Times New Roman" w:eastAsia="Times New Roman"/>
          <w:sz w:val="20"/>
        </w:rPr>
        <w:t xml:space="preserve">), and backslopes facing away from the radar look vector (</w:t>
      </w:r>
      <m:oMath>
        <m:sSub>
          <m:e>
            <m:r>
              <m:t>θ</m:t>
            </m:r>
          </m:e>
          <m:sub>
            <m:r>
              <m:rPr>
                <m:nor/>
                <m:sty m:val="p"/>
              </m:rPr>
              <m:t>align</m:t>
            </m:r>
          </m:sub>
        </m:sSub>
        <m:r>
          <m:rPr>
            <m:sty m:val="p"/>
          </m:rPr>
          <m:t>&lt;</m:t>
        </m:r>
        <m:r>
          <m:rPr>
            <m:sty m:val="p"/>
          </m:rPr>
          <m:t>−</m:t>
        </m:r>
        <m:r>
          <m:t>0.3</m:t>
        </m:r>
      </m:oMath>
      <w:r>
        <w:rPr>
          <w:rFonts w:ascii="Times New Roman" w:hAnsi="Times New Roman" w:eastAsia="Times New Roman"/>
          <w:sz w:val="20"/>
        </w:rPr>
        <w:t xml:space="preserve">); and (2) Terrain Slope Steepness, segmenting the landscape into runout and valley floors (</w:t>
      </w:r>
      <m:oMath>
        <m:r>
          <m:rPr>
            <m:sty m:val="p"/>
          </m:rPr>
          <m:t>&lt;</m:t>
        </m:r>
        <m:sSup>
          <m:e>
            <m:r>
              <m:t>25</m:t>
            </m:r>
          </m:e>
          <m:sup>
            <m:r>
              <m:rPr>
                <m:sty m:val="p"/>
              </m:rPr>
              <m:t>∘</m:t>
            </m:r>
          </m:sup>
        </m:sSup>
      </m:oMath>
      <w:r>
        <w:rPr>
          <w:rFonts w:ascii="Times New Roman" w:hAnsi="Times New Roman" w:eastAsia="Times New Roman"/>
          <w:sz w:val="20"/>
        </w:rPr>
        <w:t xml:space="preserve">), primary avalanche release chutes and track slopes (</w:t>
      </w:r>
      <m:oMath>
        <m:sSup>
          <m:e>
            <m:r>
              <m:t>25</m:t>
            </m:r>
          </m:e>
          <m:sup>
            <m:r>
              <m:rPr>
                <m:sty m:val="p"/>
              </m:rPr>
              <m:t>∘</m:t>
            </m:r>
          </m:sup>
        </m:sSup>
      </m:oMath>
      <w:r>
        <w:rPr>
          <w:rFonts w:ascii="Times New Roman" w:hAnsi="Times New Roman" w:eastAsia="Times New Roman"/>
          <w:sz w:val="20"/>
        </w:rPr>
        <w:t xml:space="preserve">–</w:t>
      </w:r>
      <m:oMath>
        <m:sSup>
          <m:e>
            <m:r>
              <m:t>45</m:t>
            </m:r>
          </m:e>
          <m:sup>
            <m:r>
              <m:rPr>
                <m:sty m:val="p"/>
              </m:rPr>
              <m:t>∘</m:t>
            </m:r>
          </m:sup>
        </m:sSup>
      </m:oMath>
      <w:r>
        <w:rPr>
          <w:rFonts w:ascii="Times New Roman" w:hAnsi="Times New Roman" w:eastAsia="Times New Roman"/>
          <w:sz w:val="20"/>
        </w:rPr>
        <w:t xml:space="preserve">), and extreme steep cliff faces (</w:t>
      </w:r>
      <m:oMath>
        <m:r>
          <m:rPr>
            <m:sty m:val="p"/>
          </m:rPr>
          <m:t>&gt;</m:t>
        </m:r>
        <m:sSup>
          <m:e>
            <m:r>
              <m:t>45</m:t>
            </m:r>
          </m:e>
          <m:sup>
            <m:r>
              <m:rPr>
                <m:sty m:val="p"/>
              </m:rPr>
              <m:t>∘</m:t>
            </m:r>
          </m:sup>
        </m:sSup>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Table 6.</w:t>
      </w:r>
      <w:r>
        <w:rPr>
          <w:rFonts w:ascii="Times New Roman" w:hAnsi="Times New Roman" w:eastAsia="Times New Roman"/>
          <w:sz w:val="20"/>
        </w:rPr>
        <w:t xml:space="preserve"> </w:t>
      </w:r>
      <w:r>
        <w:rPr>
          <w:rFonts w:ascii="Times New Roman" w:hAnsi="Times New Roman" w:eastAsia="Times New Roman"/>
          <w:sz w:val="20"/>
        </w:rPr>
        <w:t xml:space="preserve">Exploratory Seed-42 topographic stratification on the held-out test scenes. Performance compares TopoRadar-Net with Attention U-Net across aspect-alignment and slope zones; the multi-seed stability analysis is reported in the text.</w:t>
      </w:r>
    </w:p>
    <w:tbl>
      <w:tblPr>
        <w:tblStyle w:val="Table"/>
        <w:tblW w:type="auto" w:w="0"/>
        <w:tblLayout w:type="fixed"/>
        <w:tblLook w:firstRow="0" w:lastRow="0" w:firstColumn="0" w:lastColumn="0" w:noHBand="0" w:noVBand="0" w:val="0000"/>
      </w:tblPr>
      <w:tblGrid>
        <w:gridCol w:w="990"/>
        <w:gridCol w:w="990"/>
        <w:gridCol w:w="990"/>
        <w:gridCol w:w="990"/>
        <w:gridCol w:w="990"/>
        <w:gridCol w:w="990"/>
        <w:gridCol w:w="990"/>
        <w:gridCol w:w="990"/>
      </w:tblGrid>
      <w:tr>
        <w:trPr>
          <w:cantSplit w:val="true"/>
          <w:tblHeader w:val="true"/>
        </w:trPr>
        <w:tc>
          <w:tcPr>
            <w:tcW w:type="dxa" w:w="964"/>
            <w:vMerge w:val="restart"/>
            <w:vAlign w:val="center"/>
          </w:tcPr>
          <w:p>
            <w:pPr>
              <w:pStyle w:val="Compact"/>
              <w:spacing w:before="0" w:after="0" w:line="240" w:lineRule="auto"/>
              <w:jc w:val="left"/>
            </w:pPr>
            <w:r>
              <w:rPr>
                <w:rFonts w:ascii="Times New Roman" w:hAnsi="Times New Roman" w:eastAsia="Times New Roman"/>
                <w:b/>
                <w:bCs/>
                <w:sz w:val="17"/>
              </w:rPr>
              <w:t xml:space="preserve">Region</w:t>
            </w:r>
          </w:p>
        </w:tc>
        <w:tc>
          <w:tcPr>
            <w:tcW w:type="dxa" w:w="2551"/>
            <w:vMerge w:val="restart"/>
            <w:vAlign w:val="center"/>
          </w:tcPr>
          <w:p>
            <w:pPr>
              <w:pStyle w:val="Compact"/>
              <w:spacing w:before="0" w:after="0" w:line="240" w:lineRule="auto"/>
              <w:jc w:val="left"/>
            </w:pPr>
            <w:r>
              <w:rPr>
                <w:rFonts w:ascii="Times New Roman" w:hAnsi="Times New Roman" w:eastAsia="Times New Roman"/>
                <w:b/>
                <w:bCs/>
                <w:sz w:val="17"/>
              </w:rPr>
              <w:t xml:space="preserve">Topographic Stratum</w:t>
            </w:r>
          </w:p>
        </w:tc>
        <w:tc>
          <w:tcPr>
            <w:tcW w:type="dxa" w:w="850"/>
            <w:vMerge w:val="restart"/>
            <w:vAlign w:val="center"/>
          </w:tcPr>
          <w:p>
            <w:pPr>
              <w:pStyle w:val="Compact"/>
              <w:spacing w:before="0" w:after="0" w:line="240" w:lineRule="auto"/>
              <w:jc w:val="center"/>
            </w:pPr>
            <w:r>
              <w:rPr>
                <w:rFonts w:ascii="Times New Roman" w:hAnsi="Times New Roman" w:eastAsia="Times New Roman"/>
                <w:b/>
                <w:bCs/>
                <w:sz w:val="17"/>
              </w:rPr>
              <w:t xml:space="preserve">Area (px)</w:t>
            </w:r>
          </w:p>
        </w:tc>
        <w:tc>
          <w:tcPr>
            <w:tcW w:type="dxa" w:w="907"/>
            <w:gridSpan w:val="2"/>
            <w:vAlign w:val="center"/>
          </w:tcPr>
          <w:p>
            <w:pPr>
              <w:pStyle w:val="Compact"/>
              <w:spacing w:before="0" w:after="0" w:line="240" w:lineRule="auto"/>
              <w:jc w:val="center"/>
            </w:pPr>
            <w:r>
              <w:rPr>
                <w:rFonts w:ascii="Times New Roman" w:hAnsi="Times New Roman" w:eastAsia="Times New Roman"/>
                <w:b/>
                <w:bCs/>
                <w:sz w:val="17"/>
              </w:rPr>
              <w:t xml:space="preserve">TopoRadar (Ours)</w:t>
            </w:r>
          </w:p>
        </w:tc>
        <w:tc>
          <w:tcPr>
            <w:tcW w:type="dxa" w:w="907"/>
            <w:gridSpan w:val="2"/>
            <w:vAlign w:val="center"/>
          </w:tcPr>
          <w:p>
            <w:pPr>
              <w:pStyle w:val="Compact"/>
              <w:spacing w:before="0" w:after="0" w:line="240" w:lineRule="auto"/>
              <w:jc w:val="center"/>
            </w:pPr>
            <w:r>
              <w:rPr>
                <w:rFonts w:ascii="Times New Roman" w:hAnsi="Times New Roman" w:eastAsia="Times New Roman"/>
                <w:b/>
                <w:bCs/>
                <w:sz w:val="17"/>
              </w:rPr>
              <w:t xml:space="preserve">Attention U-Net</w:t>
            </w:r>
          </w:p>
        </w:tc>
        <w:tc>
          <w:tcPr>
            <w:tcW w:type="dxa" w:w="794"/>
            <w:vMerge w:val="restart"/>
            <w:vAlign w:val="center"/>
          </w:tcPr>
          <w:p>
            <w:pPr>
              <w:pStyle w:val="Compact"/>
              <w:spacing w:before="0" w:after="0" w:line="240" w:lineRule="auto"/>
              <w:jc w:val="center"/>
            </w:pPr>
            <w:r>
              <w:rPr>
                <w:rFonts w:ascii="Times New Roman" w:hAnsi="Times New Roman" w:eastAsia="Times New Roman"/>
                <w:b/>
                <w:bCs/>
                <w:sz w:val="17"/>
              </w:rPr>
              <w:t xml:space="preserve">ΔF1</w:t>
            </w:r>
          </w:p>
        </w:tc>
      </w:tr>
      <w:tr>
        <w:trPr>
          <w:cantSplit w:val="true"/>
          <w:tblHeader w:val="true"/>
        </w:trPr>
        <w:tc>
          <w:tcPr>
            <w:gridSpan w:val="1"/>
            <w:vMerge w:val="continue"/>
          </w:tcPr>
          <w:p>
            <w:pPr/>
          </w:p>
        </w:tc>
        <w:tc>
          <w:tcPr>
            <w:gridSpan w:val="1"/>
            <w:vMerge w:val="continue"/>
          </w:tcPr>
          <w:p>
            <w:pPr/>
          </w:p>
        </w:tc>
        <w:tc>
          <w:tcPr>
            <w:gridSpan w:val="1"/>
            <w:vMerge w:val="continue"/>
          </w:tcPr>
          <w:p>
            <w:pP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F1 (%)</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Prec (%)</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F1 (%)</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Prec (%)</w:t>
            </w:r>
          </w:p>
        </w:tc>
        <w:tc>
          <w:tcPr>
            <w:gridSpan w:val="1"/>
            <w:vMerge w:val="continue"/>
          </w:tcPr>
          <w:p>
            <w:pPr/>
          </w:p>
        </w:tc>
      </w:tr>
      <w:tr>
        <w:trPr>
          <w:cantSplit w:val="true"/>
        </w:trPr>
        <w:tc>
          <w:tcPr>
            <w:tcW w:type="dxa" w:w="964"/>
            <w:vMerge w:val="restart"/>
            <w:vAlign w:val="center"/>
          </w:tcPr>
          <w:p>
            <w:pPr>
              <w:pStyle w:val="Compact"/>
              <w:spacing w:before="0" w:after="0" w:line="240" w:lineRule="auto"/>
              <w:jc w:val="left"/>
            </w:pPr>
            <w:r>
              <w:rPr>
                <w:rFonts w:ascii="Times New Roman" w:hAnsi="Times New Roman" w:eastAsia="Times New Roman"/>
                <w:sz w:val="17"/>
              </w:rPr>
              <w:t xml:space="preserve">Troms</w:t>
            </w:r>
            <w:r>
              <w:rPr>
                <w:rFonts w:ascii="Times New Roman" w:hAnsi="Times New Roman" w:eastAsia="Times New Roman"/>
                <w:sz w:val="17"/>
              </w:rPr>
              <w:t xml:space="preserve">ø</w:t>
            </w: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Foreslopes (θ_align &gt; 0.3)</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15,480</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79.94%</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73.05%</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80.01%</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77.44%</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-0.07%</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Cross-slopes (|θ_align| ≤ 0.3)</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3,113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68.93%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63.19%</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69.43%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73.57%</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-0.50%</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7"/>
              </w:rPr>
              <w:t xml:space="preserve">Backslopes (θ_align &lt; -0.3)</w:t>
            </w:r>
          </w:p>
        </w:tc>
        <w:tc>
          <w:tcPr>
            <w:tcW w:type="dxa" w:w="850"/>
            <w:vAlign w:val="center"/>
          </w:tcPr>
          <w:p>
            <w:pPr>
              <w:pStyle w:val="Compact"/>
              <w:spacing w:before="0" w:after="0" w:line="240" w:lineRule="auto"/>
              <w:jc w:val="center"/>
            </w:pPr>
            <w:r>
              <w:rPr>
                <w:rFonts w:ascii="Times New Roman" w:hAnsi="Times New Roman" w:eastAsia="Times New Roman"/>
                <w:b/>
                <w:bCs/>
                <w:sz w:val="17"/>
              </w:rPr>
              <w:t xml:space="preserve">15,376</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81.08%</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85.03%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75.23%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88.90%</w:t>
            </w:r>
          </w:p>
        </w:tc>
        <w:tc>
          <w:tcPr>
            <w:tcW w:type="dxa" w:w="794"/>
            <w:vAlign w:val="center"/>
          </w:tcPr>
          <w:p>
            <w:pPr>
              <w:pStyle w:val="Compact"/>
              <w:spacing w:before="0" w:after="0" w:line="240" w:lineRule="auto"/>
              <w:jc w:val="center"/>
            </w:pPr>
            <w:r>
              <w:rPr>
                <w:rFonts w:ascii="Times New Roman" w:hAnsi="Times New Roman" w:eastAsia="Times New Roman"/>
                <w:b/>
                <w:bCs/>
                <w:sz w:val="17"/>
              </w:rPr>
              <w:t xml:space="preserve">+5.85%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Runout &amp; Valleys (&lt; 25°)</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12,360</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76.76%</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70.68%</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77.91%</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76.23%</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-1.15%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7"/>
              </w:rPr>
              <w:t xml:space="preserve">Avalanche Chutes (25°–45°)</w:t>
            </w:r>
          </w:p>
        </w:tc>
        <w:tc>
          <w:tcPr>
            <w:tcW w:type="dxa" w:w="850"/>
            <w:vAlign w:val="center"/>
          </w:tcPr>
          <w:p>
            <w:pPr>
              <w:pStyle w:val="Compact"/>
              <w:spacing w:before="0" w:after="0" w:line="240" w:lineRule="auto"/>
              <w:jc w:val="center"/>
            </w:pPr>
            <w:r>
              <w:rPr>
                <w:rFonts w:ascii="Times New Roman" w:hAnsi="Times New Roman" w:eastAsia="Times New Roman"/>
                <w:b/>
                <w:bCs/>
                <w:sz w:val="17"/>
              </w:rPr>
              <w:t xml:space="preserve">21,118</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81.34%</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80.94%</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77.00%</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85.33%</w:t>
            </w:r>
          </w:p>
        </w:tc>
        <w:tc>
          <w:tcPr>
            <w:tcW w:type="dxa" w:w="794"/>
            <w:vAlign w:val="center"/>
          </w:tcPr>
          <w:p>
            <w:pPr>
              <w:pStyle w:val="Compact"/>
              <w:spacing w:before="0" w:after="0" w:line="240" w:lineRule="auto"/>
              <w:jc w:val="center"/>
            </w:pPr>
            <w:r>
              <w:rPr>
                <w:rFonts w:ascii="Times New Roman" w:hAnsi="Times New Roman" w:eastAsia="Times New Roman"/>
                <w:b/>
                <w:bCs/>
                <w:sz w:val="17"/>
              </w:rPr>
              <w:t xml:space="preserve">+4.34%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Extreme Steep (&gt; 45°)</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491</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63.37%</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67.05%</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54.23%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68.21%</w:t>
            </w:r>
          </w:p>
        </w:tc>
        <w:tc>
          <w:tcPr>
            <w:tcW w:type="dxa" w:w="794"/>
            <w:vAlign w:val="center"/>
          </w:tcPr>
          <w:p>
            <w:pPr>
              <w:pStyle w:val="Compact"/>
              <w:spacing w:before="0" w:after="0" w:line="240" w:lineRule="auto"/>
              <w:jc w:val="center"/>
            </w:pPr>
            <w:r>
              <w:rPr>
                <w:rFonts w:ascii="Times New Roman" w:hAnsi="Times New Roman" w:eastAsia="Times New Roman"/>
                <w:b/>
                <w:bCs/>
                <w:sz w:val="17"/>
              </w:rPr>
              <w:t xml:space="preserve">+9.14%</w:t>
            </w:r>
          </w:p>
        </w:tc>
      </w:tr>
      <w:tr>
        <w:trPr>
          <w:cantSplit w:val="true"/>
        </w:trPr>
        <w:tc>
          <w:tcPr>
            <w:tcW w:type="dxa" w:w="964"/>
            <w:vMerge w:val="restart"/>
            <w:vAlign w:val="center"/>
          </w:tcPr>
          <w:p>
            <w:pPr>
              <w:pStyle w:val="Compact"/>
              <w:spacing w:before="0" w:after="0" w:line="240" w:lineRule="auto"/>
              <w:jc w:val="left"/>
            </w:pPr>
            <w:r>
              <w:rPr>
                <w:rFonts w:ascii="Times New Roman" w:hAnsi="Times New Roman" w:eastAsia="Times New Roman"/>
                <w:sz w:val="17"/>
              </w:rPr>
              <w:t xml:space="preserve">Pamir</w:t>
            </w: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Foreslopes (θ_align &gt; 0.3)</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14,743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51.27%</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43.87%</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50.13%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42.84%</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+1.14%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Cross-slopes (|θ_align| ≤ 0.3)</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2,614</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46.96%</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43.37%</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46.92%</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37.60%</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+0.03%</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7"/>
              </w:rPr>
              <w:t xml:space="preserve">Backslopes (θ_align &lt; -0.3)</w:t>
            </w:r>
          </w:p>
        </w:tc>
        <w:tc>
          <w:tcPr>
            <w:tcW w:type="dxa" w:w="850"/>
            <w:vAlign w:val="center"/>
          </w:tcPr>
          <w:p>
            <w:pPr>
              <w:pStyle w:val="Compact"/>
              <w:spacing w:before="0" w:after="0" w:line="240" w:lineRule="auto"/>
              <w:jc w:val="center"/>
            </w:pPr>
            <w:r>
              <w:rPr>
                <w:rFonts w:ascii="Times New Roman" w:hAnsi="Times New Roman" w:eastAsia="Times New Roman"/>
                <w:b/>
                <w:bCs/>
                <w:sz w:val="17"/>
              </w:rPr>
              <w:t xml:space="preserve">5,222</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53.42%</w:t>
            </w:r>
          </w:p>
        </w:tc>
        <w:tc>
          <w:tcPr>
            <w:tcW w:type="dxa" w:w="907"/>
            <w:vAlign w:val="center"/>
          </w:tcPr>
          <w:p>
            <w:pPr>
              <w:pStyle w:val="Compact"/>
              <w:spacing w:before="0" w:after="0" w:line="240" w:lineRule="auto"/>
              <w:jc w:val="center"/>
            </w:pPr>
            <w:r>
              <w:rPr>
                <w:rFonts w:ascii="Times New Roman" w:hAnsi="Times New Roman" w:eastAsia="Times New Roman"/>
                <w:b/>
                <w:bCs/>
                <w:sz w:val="17"/>
              </w:rPr>
              <w:t xml:space="preserve">52.36%</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48.33%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38.41%</w:t>
            </w:r>
          </w:p>
        </w:tc>
        <w:tc>
          <w:tcPr>
            <w:tcW w:type="dxa" w:w="794"/>
            <w:vAlign w:val="center"/>
          </w:tcPr>
          <w:p>
            <w:pPr>
              <w:pStyle w:val="Compact"/>
              <w:spacing w:before="0" w:after="0" w:line="240" w:lineRule="auto"/>
              <w:jc w:val="center"/>
            </w:pPr>
            <w:r>
              <w:rPr>
                <w:rFonts w:ascii="Times New Roman" w:hAnsi="Times New Roman" w:eastAsia="Times New Roman"/>
                <w:b/>
                <w:bCs/>
                <w:sz w:val="17"/>
              </w:rPr>
              <w:t xml:space="preserve">+5.09%</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Runout &amp; Valleys (&lt; 25°)</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6,501</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45.97%</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38.49%</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38.22%</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28.40%</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+7.75%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Avalanche Chutes (25°–45°)</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15,875</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55.82%</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52.33%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56.25%</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50.55%</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-0.44%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7"/>
              </w:rPr>
              <w:t xml:space="preserve">Extreme Steep (&gt; 45°, Shadow)</w:t>
            </w:r>
          </w:p>
        </w:tc>
        <w:tc>
          <w:tcPr>
            <w:tcW w:type="dxa" w:w="850"/>
            <w:vAlign w:val="center"/>
          </w:tcPr>
          <w:p>
            <w:pPr>
              <w:pStyle w:val="Compact"/>
              <w:spacing w:before="0" w:after="0" w:line="240" w:lineRule="auto"/>
              <w:jc w:val="center"/>
            </w:pPr>
            <w:r>
              <w:rPr>
                <w:rFonts w:ascii="Times New Roman" w:hAnsi="Times New Roman" w:eastAsia="Times New Roman"/>
                <w:sz w:val="17"/>
              </w:rPr>
              <w:t xml:space="preserve">203</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8.85%</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5.04%</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16.65%</w:t>
            </w:r>
          </w:p>
        </w:tc>
        <w:tc>
          <w:tcPr>
            <w:tcW w:type="dxa" w:w="907"/>
            <w:vAlign w:val="center"/>
          </w:tcPr>
          <w:p>
            <w:pPr>
              <w:pStyle w:val="Compact"/>
              <w:spacing w:before="0" w:after="0" w:line="240" w:lineRule="auto"/>
              <w:jc w:val="center"/>
            </w:pPr>
            <w:r>
              <w:rPr>
                <w:rFonts w:ascii="Times New Roman" w:hAnsi="Times New Roman" w:eastAsia="Times New Roman"/>
                <w:sz w:val="17"/>
              </w:rPr>
              <w:t xml:space="preserve">10.74%</w:t>
            </w:r>
          </w:p>
        </w:tc>
        <w:tc>
          <w:tcPr>
            <w:tcW w:type="dxa" w:w="794"/>
            <w:vAlign w:val="center"/>
          </w:tcPr>
          <w:p>
            <w:pPr>
              <w:pStyle w:val="Compact"/>
              <w:spacing w:before="0" w:after="0" w:line="240" w:lineRule="auto"/>
              <w:jc w:val="center"/>
            </w:pPr>
            <w:r>
              <w:rPr>
                <w:rFonts w:ascii="Times New Roman" w:hAnsi="Times New Roman" w:eastAsia="Times New Roman"/>
                <w:sz w:val="17"/>
              </w:rPr>
              <w:t xml:space="preserve">-7.80%</w:t>
            </w:r>
          </w:p>
        </w:tc>
      </w:tr>
    </w:tbl>
    <w:p>
      <w:pPr>
        <w:pStyle w:val="BodyText"/>
        <w:spacing w:after="0" w:line="240" w:lineRule="auto"/>
      </w:pPr>
      <w:r>
        <w:rPr>
          <w:rFonts w:ascii="Times New Roman" w:hAnsi="Times New Roman" w:eastAsia="Times New Roman"/>
          <w:sz w:val="20"/>
        </w:rPr>
        <w:t xml:space="preserve">The Seed-42 empirical stratification provides descriptive, physics-consistent associations:</w:t>
      </w:r>
    </w:p>
    <w:p>
      <w:pPr>
        <w:numPr>
          <w:ilvl w:val="0"/>
          <w:numId w:val="1007"/>
        </w:numPr>
        <w:spacing w:after="0" w:line="240" w:lineRule="auto"/>
      </w:pPr>
      <w:r>
        <w:rPr>
          <w:rFonts w:ascii="Times New Roman" w:hAnsi="Times New Roman" w:eastAsia="Times New Roman"/>
          <w:b/>
          <w:bCs/>
          <w:sz w:val="20"/>
        </w:rPr>
        <w:t xml:space="preserve">Backslope Separation in Both Mountain Systems:</w:t>
      </w:r>
      <w:r>
        <w:rPr>
          <w:rFonts w:ascii="Times New Roman" w:hAnsi="Times New Roman" w:eastAsia="Times New Roman"/>
          <w:sz w:val="20"/>
        </w:rPr>
        <w:t xml:space="preserve"> </w:t>
      </w:r>
      <w:r>
        <w:rPr>
          <w:rFonts w:ascii="Times New Roman" w:hAnsi="Times New Roman" w:eastAsia="Times New Roman"/>
          <w:sz w:val="20"/>
        </w:rPr>
        <w:t xml:space="preserve">Across both held-out mountain regions, TopoRadar-Net achieves its largest Seed-42 margin over Attention U-Net on slopes facing away from the radar look direction (</w:t>
      </w:r>
      <m:oMath>
        <m:sSub>
          <m:e>
            <m:r>
              <m:t>θ</m:t>
            </m:r>
          </m:e>
          <m:sub>
            <m:r>
              <m:rPr>
                <m:nor/>
                <m:sty m:val="p"/>
              </m:rPr>
              <m:t>align</m:t>
            </m:r>
          </m:sub>
        </m:sSub>
        <m:r>
          <m:rPr>
            <m:sty m:val="p"/>
          </m:rPr>
          <m:t>&lt;</m:t>
        </m:r>
        <m:r>
          <m:rPr>
            <m:sty m:val="p"/>
          </m:rPr>
          <m:t>−</m:t>
        </m:r>
        <m:r>
          <m:t>0.3</m:t>
        </m:r>
      </m:oMath>
      <w:r>
        <w:rPr>
          <w:rFonts w:ascii="Times New Roman" w:hAnsi="Times New Roman" w:eastAsia="Times New Roman"/>
          <w:sz w:val="20"/>
        </w:rPr>
        <w:t xml:space="preserve">). In Troms</w:t>
      </w:r>
      <w:r>
        <w:rPr>
          <w:rFonts w:ascii="Times New Roman" w:hAnsi="Times New Roman" w:eastAsia="Times New Roman"/>
          <w:sz w:val="20"/>
        </w:rPr>
        <w:t xml:space="preserve">ø</w:t>
      </w:r>
      <w:r>
        <w:rPr>
          <w:rFonts w:ascii="Times New Roman" w:hAnsi="Times New Roman" w:eastAsia="Times New Roman"/>
          <w:sz w:val="20"/>
        </w:rPr>
        <w:t xml:space="preserve">, TopoRadar-Net attains</w:t>
      </w:r>
      <w:r>
        <w:rPr>
          <w:rFonts w:ascii="Times New Roman" w:hAnsi="Times New Roman" w:eastAsia="Times New Roman"/>
          <w:sz w:val="20"/>
        </w:rPr>
        <w:t xml:space="preserve"> </w:t>
      </w:r>
      <m:oMath>
        <m:r>
          <m:t>81.08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versus</w:t>
      </w:r>
      <w:r>
        <w:rPr>
          <w:rFonts w:ascii="Times New Roman" w:hAnsi="Times New Roman" w:eastAsia="Times New Roman"/>
          <w:sz w:val="20"/>
        </w:rPr>
        <w:t xml:space="preserve"> </w:t>
      </w:r>
      <m:oMath>
        <m:r>
          <m:t>75.23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Attention U-Net, with</w:t>
      </w:r>
      <w:r>
        <w:rPr>
          <w:rFonts w:ascii="Times New Roman" w:hAnsi="Times New Roman" w:eastAsia="Times New Roman"/>
          <w:sz w:val="20"/>
        </w:rPr>
        <w:t xml:space="preserve"> </w:t>
      </w:r>
      <m:oMath>
        <m:r>
          <m:rPr>
            <m:sty m:val="p"/>
          </m:rPr>
          <m:t>+</m:t>
        </m:r>
        <m:r>
          <m:t>12.28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higher recall (rising from</w:t>
      </w:r>
      <w:r>
        <w:rPr>
          <w:rFonts w:ascii="Times New Roman" w:hAnsi="Times New Roman" w:eastAsia="Times New Roman"/>
          <w:sz w:val="20"/>
        </w:rPr>
        <w:t xml:space="preserve"> </w:t>
      </w:r>
      <m:oMath>
        <m:r>
          <m:t>65.20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77.48</m:t>
        </m:r>
        <m:r>
          <m:rPr>
            <m:sty m:val="p"/>
          </m:rPr>
          <m:t>%</m:t>
        </m:r>
      </m:oMath>
      <w:r>
        <w:rPr>
          <w:rFonts w:ascii="Times New Roman" w:hAnsi="Times New Roman" w:eastAsia="Times New Roman"/>
          <w:sz w:val="20"/>
        </w:rPr>
        <w:t xml:space="preserve">). This pattern is consistent with the backscatter observations of</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on backslopes with high local incidence angles (</w:t>
      </w:r>
      <m:oMath>
        <m:sSup>
          <m:e>
            <m:r>
              <m:t>55</m:t>
            </m:r>
          </m:e>
          <m:sup>
            <m:r>
              <m:rPr>
                <m:sty m:val="p"/>
              </m:rPr>
              <m:t>∘</m:t>
            </m:r>
          </m:sup>
        </m:sSup>
        <m:r>
          <m:rPr>
            <m:sty m:val="p"/>
          </m:rPr>
          <m:t>±</m:t>
        </m:r>
        <m:sSup>
          <m:e>
            <m:r>
              <m:t>20</m:t>
            </m:r>
          </m:e>
          <m:sup>
            <m:r>
              <m:rPr>
                <m:sty m:val="p"/>
              </m:rPr>
              <m:t>∘</m:t>
            </m:r>
          </m:sup>
        </m:sSup>
      </m:oMath>
      <w:r>
        <w:rPr>
          <w:rFonts w:ascii="Times New Roman" w:hAnsi="Times New Roman" w:eastAsia="Times New Roman"/>
          <w:sz w:val="20"/>
        </w:rPr>
        <w:t xml:space="preserve">), undisturbed snow exhibits low backscatter and rough debris can appear strongly visible. In the high-altitude continental Pamir Mountains, the</w:t>
      </w:r>
      <w:r>
        <w:rPr>
          <w:rFonts w:ascii="Times New Roman" w:hAnsi="Times New Roman" w:eastAsia="Times New Roman"/>
          <w:sz w:val="20"/>
        </w:rPr>
        <w:t xml:space="preserve"> </w:t>
      </w:r>
      <m:oMath>
        <m:r>
          <m:rPr>
            <m:sty m:val="p"/>
          </m:rPr>
          <m:t>+</m:t>
        </m:r>
        <m:r>
          <m:t>5.09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backslope difference (</w:t>
      </w:r>
      <m:oMath>
        <m:r>
          <m:t>53.42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48.33</m:t>
        </m:r>
        <m:r>
          <m:rPr>
            <m:sty m:val="p"/>
          </m:rPr>
          <m:t>%</m:t>
        </m:r>
      </m:oMath>
      <w:r>
        <w:rPr>
          <w:rFonts w:ascii="Times New Roman" w:hAnsi="Times New Roman" w:eastAsia="Times New Roman"/>
          <w:sz w:val="20"/>
        </w:rPr>
        <w:t xml:space="preserve">) is precision-associated (</w:t>
      </w:r>
      <m:oMath>
        <m:r>
          <m:rPr>
            <m:sty m:val="p"/>
          </m:rPr>
          <m:t>+</m:t>
        </m:r>
        <m:r>
          <m:t>13.95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rising from</w:t>
      </w:r>
      <w:r>
        <w:rPr>
          <w:rFonts w:ascii="Times New Roman" w:hAnsi="Times New Roman" w:eastAsia="Times New Roman"/>
          <w:sz w:val="20"/>
        </w:rPr>
        <w:t xml:space="preserve"> </w:t>
      </w:r>
      <m:oMath>
        <m:r>
          <m:t>38.41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52.36</m:t>
        </m:r>
        <m:r>
          <m:rPr>
            <m:sty m:val="p"/>
          </m:rPr>
          <m:t>%</m:t>
        </m:r>
      </m:oMath>
      <w:r>
        <w:rPr>
          <w:rFonts w:ascii="Times New Roman" w:hAnsi="Times New Roman" w:eastAsia="Times New Roman"/>
          <w:sz w:val="20"/>
        </w:rPr>
        <w:t xml:space="preserve">, while recall drops from</w:t>
      </w:r>
      <w:r>
        <w:rPr>
          <w:rFonts w:ascii="Times New Roman" w:hAnsi="Times New Roman" w:eastAsia="Times New Roman"/>
          <w:sz w:val="20"/>
        </w:rPr>
        <w:t xml:space="preserve"> </w:t>
      </w:r>
      <m:oMath>
        <m:r>
          <m:t>65.17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54.52</m:t>
        </m:r>
        <m:r>
          <m:rPr>
            <m:sty m:val="p"/>
          </m:rPr>
          <m:t>%</m:t>
        </m:r>
      </m:oMath>
      <w:r>
        <w:rPr>
          <w:rFonts w:ascii="Times New Roman" w:hAnsi="Times New Roman" w:eastAsia="Times New Roman"/>
          <w:sz w:val="20"/>
        </w:rPr>
        <w:t xml:space="preserve">). These are descriptive stratum associations from Seed 42, not component-isolated causal effects.</w:t>
      </w:r>
    </w:p>
    <w:p>
      <w:pPr>
        <w:numPr>
          <w:ilvl w:val="0"/>
          <w:numId w:val="1007"/>
        </w:numPr>
        <w:spacing w:after="0" w:line="240" w:lineRule="auto"/>
      </w:pPr>
      <w:r>
        <w:rPr>
          <w:rFonts w:ascii="Times New Roman" w:hAnsi="Times New Roman" w:eastAsia="Times New Roman"/>
          <w:b/>
          <w:bCs/>
          <w:sz w:val="20"/>
        </w:rPr>
        <w:t xml:space="preserve">Separation in Active Avalanche Chutes (</w:t>
      </w:r>
      <m:oMath>
        <m:sSup>
          <m:e>
            <m:r>
              <m:t>25</m:t>
            </m:r>
          </m:e>
          <m:sup>
            <m:r>
              <m:rPr>
                <m:sty m:val="p"/>
              </m:rPr>
              <m:t>∘</m:t>
            </m:r>
          </m:sup>
        </m:sSup>
      </m:oMath>
      <w:r>
        <w:rPr>
          <w:rFonts w:ascii="Times New Roman" w:hAnsi="Times New Roman" w:eastAsia="Times New Roman"/>
          <w:b/>
          <w:bCs/>
          <w:sz w:val="20"/>
        </w:rPr>
        <w:t xml:space="preserve">–</w:t>
      </w:r>
      <m:oMath>
        <m:sSup>
          <m:e>
            <m:r>
              <m:t>45</m:t>
            </m:r>
          </m:e>
          <m:sup>
            <m:r>
              <m:rPr>
                <m:sty m:val="p"/>
              </m:rPr>
              <m:t>∘</m:t>
            </m:r>
          </m:sup>
        </m:sSup>
      </m:oMath>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In the primary avalanche terrain zone (</w:t>
      </w:r>
      <m:oMath>
        <m:sSup>
          <m:e>
            <m:r>
              <m:t>25</m:t>
            </m:r>
          </m:e>
          <m:sup>
            <m:r>
              <m:rPr>
                <m:sty m:val="p"/>
              </m:rPr>
              <m:t>∘</m:t>
            </m:r>
          </m:sup>
        </m:sSup>
      </m:oMath>
      <w:r>
        <w:rPr>
          <w:rFonts w:ascii="Times New Roman" w:hAnsi="Times New Roman" w:eastAsia="Times New Roman"/>
          <w:sz w:val="20"/>
        </w:rPr>
        <w:t xml:space="preserve">–</w:t>
      </w:r>
      <m:oMath>
        <m:sSup>
          <m:e>
            <m:r>
              <m:t>45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slope), TopoRadar-Net attains</w:t>
      </w:r>
      <w:r>
        <w:rPr>
          <w:rFonts w:ascii="Times New Roman" w:hAnsi="Times New Roman" w:eastAsia="Times New Roman"/>
          <w:sz w:val="20"/>
        </w:rPr>
        <w:t xml:space="preserve"> </w:t>
      </w:r>
      <m:oMath>
        <m:r>
          <m:t>81.34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versus</w:t>
      </w:r>
      <w:r>
        <w:rPr>
          <w:rFonts w:ascii="Times New Roman" w:hAnsi="Times New Roman" w:eastAsia="Times New Roman"/>
          <w:sz w:val="20"/>
        </w:rPr>
        <w:t xml:space="preserve"> </w:t>
      </w:r>
      <m:oMath>
        <m:r>
          <m:t>77.00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Attention U-Net (</w:t>
      </w:r>
      <m:oMath>
        <m:r>
          <m:rPr>
            <m:sty m:val="p"/>
          </m:rPr>
          <m:t>+</m:t>
        </m:r>
        <m:r>
          <m:t>4.34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w:t>
      </w:r>
      <w:r>
        <w:rPr>
          <w:rFonts w:ascii="Times New Roman" w:hAnsi="Times New Roman" w:eastAsia="Times New Roman"/>
          <w:sz w:val="20"/>
        </w:rPr>
        <w:t xml:space="preserve"> </w:t>
      </w:r>
      <m:oMath>
        <m:r>
          <m:rPr>
            <m:sty m:val="p"/>
          </m:rPr>
          <m:t>+</m:t>
        </m:r>
        <m:r>
          <m:t>5.94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in Troms</w:t>
      </w:r>
      <w:r>
        <w:rPr>
          <w:rFonts w:ascii="Times New Roman" w:hAnsi="Times New Roman" w:eastAsia="Times New Roman"/>
          <w:sz w:val="20"/>
        </w:rPr>
        <w:t xml:space="preserve">ø</w:t>
      </w:r>
      <w:r>
        <w:rPr>
          <w:rFonts w:ascii="Times New Roman" w:hAnsi="Times New Roman" w:eastAsia="Times New Roman"/>
          <w:sz w:val="20"/>
        </w:rPr>
        <w:t xml:space="preserve">. The foreslope difference is</w:t>
      </w:r>
      <w:r>
        <w:rPr>
          <w:rFonts w:ascii="Times New Roman" w:hAnsi="Times New Roman" w:eastAsia="Times New Roman"/>
          <w:sz w:val="20"/>
        </w:rPr>
        <w:t xml:space="preserve"> </w:t>
      </w:r>
      <m:oMath>
        <m:r>
          <m:rPr>
            <m:sty m:val="p"/>
          </m:rPr>
          <m:t>−</m:t>
        </m:r>
        <m:r>
          <m:t>0.07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this Seed-42 descriptive comparison.</w:t>
      </w:r>
    </w:p>
    <w:p>
      <w:pPr>
        <w:numPr>
          <w:ilvl w:val="0"/>
          <w:numId w:val="1007"/>
        </w:numPr>
        <w:spacing w:after="0" w:line="240" w:lineRule="auto"/>
      </w:pPr>
      <w:r>
        <w:rPr>
          <w:rFonts w:ascii="Times New Roman" w:hAnsi="Times New Roman" w:eastAsia="Times New Roman"/>
          <w:b/>
          <w:bCs/>
          <w:sz w:val="20"/>
        </w:rPr>
        <w:t xml:space="preserve">Physical Radar Shadow Boundary:</w:t>
      </w:r>
      <w:r>
        <w:rPr>
          <w:rFonts w:ascii="Times New Roman" w:hAnsi="Times New Roman" w:eastAsia="Times New Roman"/>
          <w:sz w:val="20"/>
        </w:rPr>
        <w:t xml:space="preserve"> </w:t>
      </w:r>
      <w:r>
        <w:rPr>
          <w:rFonts w:ascii="Times New Roman" w:hAnsi="Times New Roman" w:eastAsia="Times New Roman"/>
          <w:sz w:val="20"/>
        </w:rPr>
        <w:t xml:space="preserve">In the extreme high-altitude Pamir Mountains on slopes</w:t>
      </w:r>
      <w:r>
        <w:rPr>
          <w:rFonts w:ascii="Times New Roman" w:hAnsi="Times New Roman" w:eastAsia="Times New Roman"/>
          <w:sz w:val="20"/>
        </w:rPr>
        <w:t xml:space="preserve"> </w:t>
      </w:r>
      <m:oMath>
        <m:r>
          <m:rPr>
            <m:sty m:val="p"/>
          </m:rPr>
          <m:t>&gt;</m:t>
        </m:r>
        <m:sSup>
          <m:e>
            <m:r>
              <m:t>45</m:t>
            </m:r>
          </m:e>
          <m:sup>
            <m:r>
              <m:rPr>
                <m:sty m:val="p"/>
              </m:rPr>
              <m:t>∘</m:t>
            </m:r>
          </m:sup>
        </m:sSup>
      </m:oMath>
      <w:r>
        <w:rPr>
          <w:rFonts w:ascii="Times New Roman" w:hAnsi="Times New Roman" w:eastAsia="Times New Roman"/>
          <w:sz w:val="20"/>
        </w:rPr>
        <w:t xml:space="preserve">, performance for both networks is low (</w:t>
      </w:r>
      <m:oMath>
        <m:r>
          <m:t>8.85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16.65</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Δ</m:t>
        </m:r>
        <m:r>
          <m:rPr>
            <m:sty m:val="p"/>
          </m:rPr>
          <m:t>=</m:t>
        </m:r>
        <m:r>
          <m:rPr>
            <m:sty m:val="p"/>
          </m:rPr>
          <m:t>−</m:t>
        </m:r>
        <m:r>
          <m:t>7.80</m:t>
        </m:r>
        <m:r>
          <m:rPr>
            <m:sty m:val="p"/>
          </m:rPr>
          <m:t>%</m:t>
        </m:r>
      </m:oMath>
      <w:r>
        <w:rPr>
          <w:rFonts w:ascii="Times New Roman" w:hAnsi="Times New Roman" w:eastAsia="Times New Roman"/>
          <w:sz w:val="20"/>
        </w:rPr>
        <w:t xml:space="preserve">), with debris representing only 203 pixels. The result identifies a small-sample failure stratum consistent with radar shadow; it does not prove that shadow alone causes the errors.</w:t>
      </w:r>
    </w:p>
    <w:p>
      <w:pPr>
        <w:pStyle w:val="FirstParagraph"/>
        <w:spacing w:after="0" w:line="240" w:lineRule="auto"/>
      </w:pPr>
      <w:r>
        <w:rPr>
          <w:rFonts w:ascii="Times New Roman" w:hAnsi="Times New Roman" w:eastAsia="Times New Roman"/>
          <w:sz w:val="20"/>
        </w:rPr>
        <w:t xml:space="preserve">To test whether the exploratory Seed-42 patterns persist under training uncertainty, we repeated full-scene stratification for Seeds 42, 123, and 456 using each checkpoint’s frozen validation-selected threshold (multi-seed stratification artifact). The backslope F1 differences versus Attention U-Net average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(population SD; positive in two of three seeds for each region), rather than stable</w:t>
      </w:r>
      <w:r>
        <w:rPr>
          <w:rFonts w:ascii="Times New Roman" w:hAnsi="Times New Roman" w:eastAsia="Times New Roman"/>
          <w:sz w:val="20"/>
        </w:rPr>
        <w:t xml:space="preserve"> </w:t>
      </w:r>
      <m:oMath>
        <m:r>
          <m:rPr>
            <m:sty m:val="p"/>
          </m:rPr>
          <m:t>&gt;</m:t>
        </m:r>
        <m:r>
          <m:rPr>
            <m:sty m:val="p"/>
          </m:rPr>
          <m:t>+</m:t>
        </m:r>
        <m:r>
          <m:t>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effects.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foreslopes average</w:t>
      </w:r>
      <w:r>
        <w:rPr>
          <w:rFonts w:ascii="Times New Roman" w:hAnsi="Times New Roman" w:eastAsia="Times New Roman"/>
          <w:sz w:val="20"/>
        </w:rPr>
        <w:t xml:space="preserve"> </w:t>
      </w:r>
      <m:oMath>
        <m:r>
          <m:rPr>
            <m:sty m:val="p"/>
          </m:rPr>
          <m:t>−</m:t>
        </m:r>
        <m:r>
          <m:t>1.21</m:t>
        </m:r>
        <m:r>
          <m:rPr>
            <m:sty m:val="p"/>
          </m:rPr>
          <m:t>%</m:t>
        </m:r>
        <m:r>
          <m:rPr>
            <m:sty m:val="p"/>
          </m:rPr>
          <m:t>±</m:t>
        </m:r>
        <m:r>
          <m:t>0.86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(zero of three positive), while Pamir runout/valley terrain averages</w:t>
      </w:r>
      <w:r>
        <w:rPr>
          <w:rFonts w:ascii="Times New Roman" w:hAnsi="Times New Roman" w:eastAsia="Times New Roman"/>
          <w:sz w:val="20"/>
        </w:rPr>
        <w:t xml:space="preserve"> </w:t>
      </w:r>
      <m:oMath>
        <m:r>
          <m:rPr>
            <m:sty m:val="p"/>
          </m:rPr>
          <m:t>+</m:t>
        </m:r>
        <m:r>
          <m:t>5.32</m:t>
        </m:r>
        <m:r>
          <m:rPr>
            <m:sty m:val="p"/>
          </m:rPr>
          <m:t>%</m:t>
        </m:r>
        <m:r>
          <m:rPr>
            <m:sty m:val="p"/>
          </m:rPr>
          <m:t>±</m:t>
        </m:r>
        <m:r>
          <m:t>7.76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(two of three positive). Extreme-steep strata are highly seed-variable. The multi-seed check therefore narrows Table 6 to an exploratory regional characterization and provides no component-isolated directional mechanism claim.</w:t>
      </w:r>
    </w:p>
    <w:bookmarkEnd w:id="39"/>
    <w:bookmarkStart w:id="40" w:name="X667867ad7d431b0e5ffe71fd1a416548640bce9"/>
    <w:p>
      <w:pPr>
        <w:pStyle w:val="Heading2"/>
        <w:spacing w:after="0" w:line="240" w:lineRule="auto"/>
      </w:pPr>
      <w:r>
        <w:rPr>
          <w:rFonts w:ascii="Times New Roman" w:hAnsi="Times New Roman" w:eastAsia="Times New Roman"/>
          <w:sz w:val="20"/>
        </w:rPr>
        <w:t xml:space="preserve">Extended Validation Cohort Analysis on Polar Maritime Terrain (Nuuk, Greenland)</w:t>
      </w:r>
    </w:p>
    <w:p>
      <w:pPr>
        <w:pStyle w:val="FirstParagraph"/>
        <w:spacing w:after="0" w:line="240" w:lineRule="auto"/>
      </w:pPr>
      <w:r>
        <w:rPr>
          <w:rFonts w:ascii="Times New Roman" w:hAnsi="Times New Roman" w:eastAsia="Times New Roman"/>
          <w:sz w:val="20"/>
        </w:rPr>
        <w:t xml:space="preserve">To evaluate model stability across the broader AvalCD distribution beyond the zero-shot test scenes, Table 7 reports performance on the polar maritime validation cohort in Southwest Greenland (</w:t>
      </w:r>
      <w:r>
        <w:rPr>
          <w:rStyle w:val="VerbatimChar"/>
          <w:rFonts w:ascii="Times New Roman" w:hAnsi="Times New Roman" w:eastAsia="Times New Roman"/>
          <w:sz w:val="20"/>
        </w:rPr>
        <w:t xml:space="preserve">Nuuk_20210411</w:t>
      </w:r>
      <w:r>
        <w:rPr>
          <w:rFonts w:ascii="Times New Roman" w:hAnsi="Times New Roman" w:eastAsia="Times New Roman"/>
          <w:sz w:val="20"/>
        </w:rPr>
        <w:t xml:space="preserve">, used for checkpoint selection and threshold calibration;</w:t>
      </w:r>
      <w:r>
        <w:rPr>
          <w:rFonts w:ascii="Times New Roman" w:hAnsi="Times New Roman" w:eastAsia="Times New Roman"/>
          <w:sz w:val="20"/>
        </w:rPr>
        <w:t xml:space="preserve"> </w:t>
      </w:r>
      <m:oMath>
        <m:r>
          <m:t>n</m:t>
        </m:r>
        <m:r>
          <m:rPr>
            <m:sty m:val="p"/>
          </m:rPr>
          <m:t>=</m:t>
        </m:r>
        <m:r>
          <m:t>129</m:t>
        </m:r>
      </m:oMath>
      <w:r>
        <w:rPr>
          <w:rFonts w:ascii="Times New Roman" w:hAnsi="Times New Roman" w:eastAsia="Times New Roman"/>
          <w:sz w:val="20"/>
        </w:rPr>
        <w:t xml:space="preserve"> </w:t>
      </w:r>
      <w:r>
        <w:rPr>
          <w:rFonts w:ascii="Times New Roman" w:hAnsi="Times New Roman" w:eastAsia="Times New Roman"/>
          <w:sz w:val="20"/>
        </w:rPr>
        <w:t xml:space="preserve">polygons, 81,595 debris pixels).</w:t>
      </w:r>
    </w:p>
    <w:p>
      <w:pPr>
        <w:pStyle w:val="BodyText"/>
        <w:spacing w:after="0" w:line="240" w:lineRule="auto"/>
      </w:pPr>
      <w:r>
        <w:rPr>
          <w:rFonts w:ascii="Times New Roman" w:hAnsi="Times New Roman" w:eastAsia="Times New Roman"/>
          <w:b/>
          <w:bCs/>
          <w:sz w:val="20"/>
        </w:rPr>
        <w:t xml:space="preserve">Table 7.</w:t>
      </w:r>
      <w:r>
        <w:rPr>
          <w:rFonts w:ascii="Times New Roman" w:hAnsi="Times New Roman" w:eastAsia="Times New Roman"/>
          <w:sz w:val="20"/>
        </w:rPr>
        <w:t xml:space="preserve"> </w:t>
      </w:r>
      <w:r>
        <w:rPr>
          <w:rFonts w:ascii="Times New Roman" w:hAnsi="Times New Roman" w:eastAsia="Times New Roman"/>
          <w:sz w:val="20"/>
        </w:rPr>
        <w:t xml:space="preserve">Performance comparison on the polar maritime validation scene in Southwest Greenland (</w:t>
      </w:r>
      <w:r>
        <w:rPr>
          <w:rStyle w:val="VerbatimChar"/>
          <w:rFonts w:ascii="Times New Roman" w:hAnsi="Times New Roman" w:eastAsia="Times New Roman"/>
          <w:sz w:val="20"/>
        </w:rPr>
        <w:t xml:space="preserve">Nuuk_20210411</w:t>
      </w:r>
      <w:r>
        <w:rPr>
          <w:rFonts w:ascii="Times New Roman" w:hAnsi="Times New Roman" w:eastAsia="Times New Roman"/>
          <w:sz w:val="20"/>
        </w:rPr>
        <w:t xml:space="preserve">, used for checkpoint selection and threshold calibration; n=129 verified avalanche polygons, 81,595 debris pixels) across 3 independent training seeds (Mean ± Standard Deviation).</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Method</w:t>
            </w:r>
          </w:p>
        </w:tc>
        <w:tc>
          <w:tcPr>
            <w:vAlign w:val="center"/>
          </w:tcPr>
          <w:p>
            <w:pPr>
              <w:pStyle w:val="Compact"/>
              <w:spacing w:before="0" w:after="0" w:line="240" w:lineRule="auto"/>
              <w:jc w:val="center"/>
            </w:pPr>
            <w:r>
              <w:rPr>
                <w:rFonts w:ascii="Times New Roman" w:hAnsi="Times New Roman" w:eastAsia="Times New Roman"/>
                <w:b/>
                <w:bCs/>
                <w:sz w:val="17"/>
              </w:rPr>
              <w:t xml:space="preserve">Pixel F1 (%)</w:t>
            </w:r>
          </w:p>
        </w:tc>
        <w:tc>
          <w:tcPr>
            <w:vAlign w:val="center"/>
          </w:tcPr>
          <w:p>
            <w:pPr>
              <w:pStyle w:val="Compact"/>
              <w:spacing w:before="0" w:after="0" w:line="240" w:lineRule="auto"/>
              <w:jc w:val="center"/>
            </w:pPr>
            <w:r>
              <w:rPr>
                <w:rFonts w:ascii="Times New Roman" w:hAnsi="Times New Roman" w:eastAsia="Times New Roman"/>
                <w:b/>
                <w:bCs/>
                <w:sz w:val="17"/>
              </w:rPr>
              <w:t xml:space="preserve">IoU (%)</w:t>
            </w:r>
          </w:p>
        </w:tc>
        <w:tc>
          <w:tcPr>
            <w:vAlign w:val="center"/>
          </w:tcPr>
          <w:p>
            <w:pPr>
              <w:pStyle w:val="Compact"/>
              <w:spacing w:before="0" w:after="0" w:line="240" w:lineRule="auto"/>
              <w:jc w:val="center"/>
            </w:pPr>
            <w:r>
              <w:rPr>
                <w:rFonts w:ascii="Times New Roman" w:hAnsi="Times New Roman" w:eastAsia="Times New Roman"/>
                <w:b/>
                <w:bCs/>
                <w:sz w:val="17"/>
              </w:rPr>
              <w:t xml:space="preserve">Precision (%)</w:t>
            </w:r>
          </w:p>
        </w:tc>
        <w:tc>
          <w:tcPr>
            <w:vAlign w:val="center"/>
          </w:tcPr>
          <w:p>
            <w:pPr>
              <w:pStyle w:val="Compact"/>
              <w:spacing w:before="0" w:after="0" w:line="240" w:lineRule="auto"/>
              <w:jc w:val="center"/>
            </w:pPr>
            <w:r>
              <w:rPr>
                <w:rFonts w:ascii="Times New Roman" w:hAnsi="Times New Roman" w:eastAsia="Times New Roman"/>
                <w:b/>
                <w:bCs/>
                <w:sz w:val="17"/>
              </w:rPr>
              <w:t xml:space="preserve">Recall (%)</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center"/>
            </w:pPr>
            <w:r>
              <w:rPr>
                <w:rFonts w:ascii="Times New Roman" w:hAnsi="Times New Roman" w:eastAsia="Times New Roman"/>
                <w:sz w:val="17"/>
              </w:rPr>
              <w:t xml:space="preserve">59.35 ± 1.58%</w:t>
            </w:r>
          </w:p>
        </w:tc>
        <w:tc>
          <w:tcPr>
            <w:vAlign w:val="center"/>
          </w:tcPr>
          <w:p>
            <w:pPr>
              <w:pStyle w:val="Compact"/>
              <w:spacing w:before="0" w:after="0" w:line="240" w:lineRule="auto"/>
              <w:jc w:val="center"/>
            </w:pPr>
            <w:r>
              <w:rPr>
                <w:rFonts w:ascii="Times New Roman" w:hAnsi="Times New Roman" w:eastAsia="Times New Roman"/>
                <w:sz w:val="17"/>
              </w:rPr>
              <w:t xml:space="preserve">42.22 ± 1.45%</w:t>
            </w:r>
          </w:p>
        </w:tc>
        <w:tc>
          <w:tcPr>
            <w:vAlign w:val="center"/>
          </w:tcPr>
          <w:p>
            <w:pPr>
              <w:pStyle w:val="Compact"/>
              <w:spacing w:before="0" w:after="0" w:line="240" w:lineRule="auto"/>
              <w:jc w:val="center"/>
            </w:pPr>
            <w:r>
              <w:rPr>
                <w:rFonts w:ascii="Times New Roman" w:hAnsi="Times New Roman" w:eastAsia="Times New Roman"/>
                <w:sz w:val="17"/>
              </w:rPr>
              <w:t xml:space="preserve">58.10 ± 0.58%</w:t>
            </w:r>
          </w:p>
        </w:tc>
        <w:tc>
          <w:tcPr>
            <w:vAlign w:val="center"/>
          </w:tcPr>
          <w:p>
            <w:pPr>
              <w:pStyle w:val="Compact"/>
              <w:spacing w:before="0" w:after="0" w:line="240" w:lineRule="auto"/>
              <w:jc w:val="center"/>
            </w:pPr>
            <w:r>
              <w:rPr>
                <w:rFonts w:ascii="Times New Roman" w:hAnsi="Times New Roman" w:eastAsia="Times New Roman"/>
                <w:sz w:val="17"/>
              </w:rPr>
              <w:t xml:space="preserve">60.79 ± 3.70%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center"/>
            </w:pPr>
            <w:r>
              <w:rPr>
                <w:rFonts w:ascii="Times New Roman" w:hAnsi="Times New Roman" w:eastAsia="Times New Roman"/>
                <w:sz w:val="17"/>
              </w:rPr>
              <w:t xml:space="preserve">66.53 ± 0.97%</w:t>
            </w:r>
          </w:p>
        </w:tc>
        <w:tc>
          <w:tcPr>
            <w:vAlign w:val="center"/>
          </w:tcPr>
          <w:p>
            <w:pPr>
              <w:pStyle w:val="Compact"/>
              <w:spacing w:before="0" w:after="0" w:line="240" w:lineRule="auto"/>
              <w:jc w:val="center"/>
            </w:pPr>
            <w:r>
              <w:rPr>
                <w:rFonts w:ascii="Times New Roman" w:hAnsi="Times New Roman" w:eastAsia="Times New Roman"/>
                <w:sz w:val="17"/>
              </w:rPr>
              <w:t xml:space="preserve">49.85 ± 1.09%</w:t>
            </w:r>
          </w:p>
        </w:tc>
        <w:tc>
          <w:tcPr>
            <w:vAlign w:val="center"/>
          </w:tcPr>
          <w:p>
            <w:pPr>
              <w:pStyle w:val="Compact"/>
              <w:spacing w:before="0" w:after="0" w:line="240" w:lineRule="auto"/>
              <w:jc w:val="center"/>
            </w:pPr>
            <w:r>
              <w:rPr>
                <w:rFonts w:ascii="Times New Roman" w:hAnsi="Times New Roman" w:eastAsia="Times New Roman"/>
                <w:sz w:val="17"/>
              </w:rPr>
              <w:t xml:space="preserve">57.72 ± 2.15%</w:t>
            </w:r>
          </w:p>
        </w:tc>
        <w:tc>
          <w:tcPr>
            <w:vAlign w:val="center"/>
          </w:tcPr>
          <w:p>
            <w:pPr>
              <w:pStyle w:val="Compact"/>
              <w:spacing w:before="0" w:after="0" w:line="240" w:lineRule="auto"/>
              <w:jc w:val="center"/>
            </w:pPr>
            <w:r>
              <w:rPr>
                <w:rFonts w:ascii="Times New Roman" w:hAnsi="Times New Roman" w:eastAsia="Times New Roman"/>
                <w:sz w:val="17"/>
              </w:rPr>
              <w:t xml:space="preserve">78.66 ± 1.74%</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ResU-Net</w:t>
            </w:r>
          </w:p>
        </w:tc>
        <w:tc>
          <w:tcPr>
            <w:vAlign w:val="center"/>
          </w:tcPr>
          <w:p>
            <w:pPr>
              <w:pStyle w:val="Compact"/>
              <w:spacing w:before="0" w:after="0" w:line="240" w:lineRule="auto"/>
              <w:jc w:val="center"/>
            </w:pPr>
            <w:r>
              <w:rPr>
                <w:rFonts w:ascii="Times New Roman" w:hAnsi="Times New Roman" w:eastAsia="Times New Roman"/>
                <w:sz w:val="17"/>
              </w:rPr>
              <w:t xml:space="preserve">67.16 ± 1.62%</w:t>
            </w:r>
          </w:p>
        </w:tc>
        <w:tc>
          <w:tcPr>
            <w:vAlign w:val="center"/>
          </w:tcPr>
          <w:p>
            <w:pPr>
              <w:pStyle w:val="Compact"/>
              <w:spacing w:before="0" w:after="0" w:line="240" w:lineRule="auto"/>
              <w:jc w:val="center"/>
            </w:pPr>
            <w:r>
              <w:rPr>
                <w:rFonts w:ascii="Times New Roman" w:hAnsi="Times New Roman" w:eastAsia="Times New Roman"/>
                <w:sz w:val="17"/>
              </w:rPr>
              <w:t xml:space="preserve">50.57 ± 1.81%</w:t>
            </w:r>
          </w:p>
        </w:tc>
        <w:tc>
          <w:tcPr>
            <w:vAlign w:val="center"/>
          </w:tcPr>
          <w:p>
            <w:pPr>
              <w:pStyle w:val="Compact"/>
              <w:spacing w:before="0" w:after="0" w:line="240" w:lineRule="auto"/>
              <w:jc w:val="center"/>
            </w:pPr>
            <w:r>
              <w:rPr>
                <w:rFonts w:ascii="Times New Roman" w:hAnsi="Times New Roman" w:eastAsia="Times New Roman"/>
                <w:b/>
                <w:bCs/>
                <w:sz w:val="17"/>
              </w:rPr>
              <w:t xml:space="preserve">60.10 ± 4.51%</w:t>
            </w:r>
          </w:p>
        </w:tc>
        <w:tc>
          <w:tcPr>
            <w:vAlign w:val="center"/>
          </w:tcPr>
          <w:p>
            <w:pPr>
              <w:pStyle w:val="Compact"/>
              <w:spacing w:before="0" w:after="0" w:line="240" w:lineRule="auto"/>
              <w:jc w:val="center"/>
            </w:pPr>
            <w:r>
              <w:rPr>
                <w:rFonts w:ascii="Times New Roman" w:hAnsi="Times New Roman" w:eastAsia="Times New Roman"/>
                <w:sz w:val="17"/>
              </w:rPr>
              <w:t xml:space="preserve">76.69 ± 3.48%</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center"/>
            </w:pPr>
            <w:r>
              <w:rPr>
                <w:rFonts w:ascii="Times New Roman" w:hAnsi="Times New Roman" w:eastAsia="Times New Roman"/>
                <w:sz w:val="17"/>
              </w:rPr>
              <w:t xml:space="preserve">67.01 ± 1.98%</w:t>
            </w:r>
          </w:p>
        </w:tc>
        <w:tc>
          <w:tcPr>
            <w:vAlign w:val="center"/>
          </w:tcPr>
          <w:p>
            <w:pPr>
              <w:pStyle w:val="Compact"/>
              <w:spacing w:before="0" w:after="0" w:line="240" w:lineRule="auto"/>
              <w:jc w:val="center"/>
            </w:pPr>
            <w:r>
              <w:rPr>
                <w:rFonts w:ascii="Times New Roman" w:hAnsi="Times New Roman" w:eastAsia="Times New Roman"/>
                <w:sz w:val="17"/>
              </w:rPr>
              <w:t xml:space="preserve">50.43 ± 2.22%</w:t>
            </w:r>
          </w:p>
        </w:tc>
        <w:tc>
          <w:tcPr>
            <w:vAlign w:val="center"/>
          </w:tcPr>
          <w:p>
            <w:pPr>
              <w:pStyle w:val="Compact"/>
              <w:spacing w:before="0" w:after="0" w:line="240" w:lineRule="auto"/>
              <w:jc w:val="center"/>
            </w:pPr>
            <w:r>
              <w:rPr>
                <w:rFonts w:ascii="Times New Roman" w:hAnsi="Times New Roman" w:eastAsia="Times New Roman"/>
                <w:sz w:val="17"/>
              </w:rPr>
              <w:t xml:space="preserve">57.06 ± 2.94%</w:t>
            </w:r>
          </w:p>
        </w:tc>
        <w:tc>
          <w:tcPr>
            <w:vAlign w:val="center"/>
          </w:tcPr>
          <w:p>
            <w:pPr>
              <w:pStyle w:val="Compact"/>
              <w:spacing w:before="0" w:after="0" w:line="240" w:lineRule="auto"/>
              <w:jc w:val="center"/>
            </w:pPr>
            <w:r>
              <w:rPr>
                <w:rFonts w:ascii="Times New Roman" w:hAnsi="Times New Roman" w:eastAsia="Times New Roman"/>
                <w:sz w:val="17"/>
              </w:rPr>
              <w:t xml:space="preserve">81.31 ± 0.51%</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center"/>
            </w:pPr>
            <w:r>
              <w:rPr>
                <w:rFonts w:ascii="Times New Roman" w:hAnsi="Times New Roman" w:eastAsia="Times New Roman"/>
                <w:b/>
                <w:bCs/>
                <w:sz w:val="17"/>
              </w:rPr>
              <w:t xml:space="preserve">66.75 ± 1.96%</w:t>
            </w:r>
          </w:p>
        </w:tc>
        <w:tc>
          <w:tcPr>
            <w:vAlign w:val="center"/>
          </w:tcPr>
          <w:p>
            <w:pPr>
              <w:pStyle w:val="Compact"/>
              <w:spacing w:before="0" w:after="0" w:line="240" w:lineRule="auto"/>
              <w:jc w:val="center"/>
            </w:pPr>
            <w:r>
              <w:rPr>
                <w:rFonts w:ascii="Times New Roman" w:hAnsi="Times New Roman" w:eastAsia="Times New Roman"/>
                <w:b/>
                <w:bCs/>
                <w:sz w:val="17"/>
              </w:rPr>
              <w:t xml:space="preserve">50.13 ± 2.22%</w:t>
            </w:r>
          </w:p>
        </w:tc>
        <w:tc>
          <w:tcPr>
            <w:vAlign w:val="center"/>
          </w:tcPr>
          <w:p>
            <w:pPr>
              <w:pStyle w:val="Compact"/>
              <w:spacing w:before="0" w:after="0" w:line="240" w:lineRule="auto"/>
              <w:jc w:val="center"/>
            </w:pPr>
            <w:r>
              <w:rPr>
                <w:rFonts w:ascii="Times New Roman" w:hAnsi="Times New Roman" w:eastAsia="Times New Roman"/>
                <w:sz w:val="17"/>
              </w:rPr>
              <w:t xml:space="preserve">56.63 ± 3.31%</w:t>
            </w:r>
          </w:p>
        </w:tc>
        <w:tc>
          <w:tcPr>
            <w:vAlign w:val="center"/>
          </w:tcPr>
          <w:p>
            <w:pPr>
              <w:pStyle w:val="Compact"/>
              <w:spacing w:before="0" w:after="0" w:line="240" w:lineRule="auto"/>
              <w:jc w:val="center"/>
            </w:pPr>
            <w:r>
              <w:rPr>
                <w:rFonts w:ascii="Times New Roman" w:hAnsi="Times New Roman" w:eastAsia="Times New Roman"/>
                <w:b/>
                <w:bCs/>
                <w:sz w:val="17"/>
              </w:rPr>
              <w:t xml:space="preserve">81.50 ± 1.10%</w:t>
            </w:r>
          </w:p>
        </w:tc>
      </w:tr>
    </w:tbl>
    <w:p>
      <w:pPr>
        <w:pStyle w:val="BodyText"/>
        <w:spacing w:after="0" w:line="240" w:lineRule="auto"/>
      </w:pPr>
      <w:r>
        <w:rPr>
          <w:rFonts w:ascii="Times New Roman" w:hAnsi="Times New Roman" w:eastAsia="Times New Roman"/>
          <w:sz w:val="20"/>
        </w:rPr>
        <w:t xml:space="preserve">In this polar maritime alpine regime, characterized by open fjord expanses and rounded permafrost massifs without extreme knife-edge ridge shadows, all four modern deep change detection architectures cluster within</w:t>
      </w:r>
      <w:r>
        <w:rPr>
          <w:rFonts w:ascii="Times New Roman" w:hAnsi="Times New Roman" w:eastAsia="Times New Roman"/>
          <w:sz w:val="20"/>
        </w:rPr>
        <w:t xml:space="preserve"> </w:t>
      </w:r>
      <m:oMath>
        <m:r>
          <m:t>0.63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of each other on F1 (</w:t>
      </w:r>
      <m:oMath>
        <m:r>
          <m:t>66.53</m:t>
        </m:r>
        <m:r>
          <m:rPr>
            <m:sty m:val="p"/>
          </m:rPr>
          <m:t>%</m:t>
        </m:r>
      </m:oMath>
      <w:r>
        <w:rPr>
          <w:rFonts w:ascii="Times New Roman" w:hAnsi="Times New Roman" w:eastAsia="Times New Roman"/>
          <w:sz w:val="20"/>
        </w:rPr>
        <w:t xml:space="preserve">–</w:t>
      </w:r>
      <m:oMath>
        <m:r>
          <m:t>67.16</m:t>
        </m:r>
        <m:r>
          <m:rPr>
            <m:sty m:val="p"/>
          </m:rPr>
          <m:t>%</m:t>
        </m:r>
      </m:oMath>
      <w:r>
        <w:rPr>
          <w:rFonts w:ascii="Times New Roman" w:hAnsi="Times New Roman" w:eastAsia="Times New Roman"/>
          <w:sz w:val="20"/>
        </w:rPr>
        <w:t xml:space="preserve">). TopoRadar-Net achieves the highest detection sensitivity of all models (</w:t>
      </w:r>
      <m:oMath>
        <m:r>
          <m:t>81.50</m:t>
        </m:r>
        <m:r>
          <m:rPr>
            <m:sty m:val="p"/>
          </m:rPr>
          <m:t>±</m:t>
        </m:r>
        <m:r>
          <m:t>1.10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successfully capturing the vast majority of the 129 dispersed avalanche tracks, while Attention U-Net (</w:t>
      </w:r>
      <m:oMath>
        <m:r>
          <m:t>67.01</m:t>
        </m:r>
        <m:r>
          <m:rPr>
            <m:sty m:val="p"/>
          </m:rPr>
          <m:t>%</m:t>
        </m:r>
      </m:oMath>
      <w:r>
        <w:rPr>
          <w:rFonts w:ascii="Times New Roman" w:hAnsi="Times New Roman" w:eastAsia="Times New Roman"/>
          <w:sz w:val="20"/>
        </w:rPr>
        <w:t xml:space="preserve">) and ResU-Net (</w:t>
      </w:r>
      <m:oMath>
        <m:r>
          <m:t>67.16</m:t>
        </m:r>
        <m:r>
          <m:rPr>
            <m:sty m:val="p"/>
          </m:rPr>
          <m:t>%</m:t>
        </m:r>
      </m:oMath>
      <w:r>
        <w:rPr>
          <w:rFonts w:ascii="Times New Roman" w:hAnsi="Times New Roman" w:eastAsia="Times New Roman"/>
          <w:sz w:val="20"/>
        </w:rPr>
        <w:t xml:space="preserve">) achieve marginally higher precision due to fewer false alarms on open plateau terrain. All deep architectures decisively outperform unguided differencing (</w:t>
      </w:r>
      <m:oMath>
        <m:r>
          <m:t>59.35</m:t>
        </m:r>
        <m:r>
          <m:rPr>
            <m:sty m:val="p"/>
          </m:rPr>
          <m:t>%</m:t>
        </m:r>
      </m:oMath>
      <w:r>
        <w:rPr>
          <w:rFonts w:ascii="Times New Roman" w:hAnsi="Times New Roman" w:eastAsia="Times New Roman"/>
          <w:sz w:val="20"/>
        </w:rPr>
        <w:t xml:space="preserve">, yielding a</w:t>
      </w:r>
      <w:r>
        <w:rPr>
          <w:rFonts w:ascii="Times New Roman" w:hAnsi="Times New Roman" w:eastAsia="Times New Roman"/>
          <w:sz w:val="20"/>
        </w:rPr>
        <w:t xml:space="preserve"> </w:t>
      </w:r>
      <m:oMath>
        <m:r>
          <m:rPr>
            <m:sty m:val="p"/>
          </m:rPr>
          <m:t>+</m:t>
        </m:r>
        <m:r>
          <m:t>7.40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rPr>
            <m:sty m:val="p"/>
          </m:rPr>
          <m:t>+</m:t>
        </m:r>
        <m:r>
          <m:t>7.81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margin). This empirical finding corroborates the regime-dependent sensitivity documented in Section 4.4: in open sub-polar terrain with moderate relief, unguided baseline models and physics-conditioned networks perform with statistical parity, whereas rigid topographic priors provide their most decisive advantages in steep, fjord-adjacent coastal mountains (Troms</w:t>
      </w:r>
      <w:r>
        <w:rPr>
          <w:rFonts w:ascii="Times New Roman" w:hAnsi="Times New Roman" w:eastAsia="Times New Roman"/>
          <w:sz w:val="20"/>
        </w:rPr>
        <w:t xml:space="preserve">ø</w:t>
      </w:r>
      <w:r>
        <w:rPr>
          <w:rFonts w:ascii="Times New Roman" w:hAnsi="Times New Roman" w:eastAsia="Times New Roman"/>
          <w:sz w:val="20"/>
        </w:rPr>
        <w:t xml:space="preserve">) and high-relief continental massifs (Pamir).</w:t>
      </w:r>
    </w:p>
    <w:bookmarkEnd w:id="40"/>
    <w:bookmarkEnd w:id="41"/>
    <w:bookmarkStart w:id="46" w:name="discussion"/>
    <w:p>
      <w:pPr>
        <w:pStyle w:val="Heading1"/>
        <w:spacing w:after="0" w:line="240" w:lineRule="auto"/>
      </w:pPr>
      <w:r>
        <w:rPr>
          <w:rFonts w:ascii="Times New Roman" w:hAnsi="Times New Roman" w:eastAsia="Times New Roman"/>
          <w:sz w:val="20"/>
        </w:rPr>
        <w:t xml:space="preserve">Discussion</w:t>
      </w:r>
    </w:p>
    <w:bookmarkStart w:id="42" w:name="Xbe113e72659735542883e165a007a3ea16530ad"/>
    <w:p>
      <w:pPr>
        <w:pStyle w:val="Heading2"/>
        <w:spacing w:after="0" w:line="240" w:lineRule="auto"/>
      </w:pPr>
      <w:r>
        <w:rPr>
          <w:rFonts w:ascii="Times New Roman" w:hAnsi="Times New Roman" w:eastAsia="Times New Roman"/>
          <w:sz w:val="20"/>
        </w:rPr>
        <w:t xml:space="preserve">Empirical Associations with Radar-Topographic Geometry</w:t>
      </w:r>
    </w:p>
    <w:p>
      <w:pPr>
        <w:pStyle w:val="FirstParagraph"/>
        <w:spacing w:after="0" w:line="240" w:lineRule="auto"/>
      </w:pPr>
      <w:r>
        <w:rPr>
          <w:rFonts w:ascii="Times New Roman" w:hAnsi="Times New Roman" w:eastAsia="Times New Roman"/>
          <w:sz w:val="20"/>
        </w:rPr>
        <w:t xml:space="preserve">The empirical performance of TopoRadar-Net relative to standard attention-augmented and Siamese convolutional baselines is consistent with known coupling between microwave backscatter and steep mountain topography. Conventional computer vision models treat SAR intensity channels as flat 2D arrays, whereas TopoRadar-Net additionally receives terrain and viewing-geometry coordinates. The reported ablations and strata quantify sensitivity to those inputs; they do not isolate a causal internal mechanism.</w:t>
      </w:r>
    </w:p>
    <w:p>
      <w:pPr>
        <w:pStyle w:val="BodyText"/>
        <w:spacing w:after="0" w:line="240" w:lineRule="auto"/>
      </w:pPr>
      <w:r>
        <w:rPr>
          <w:rFonts w:ascii="Times New Roman" w:hAnsi="Times New Roman" w:eastAsia="Times New Roman"/>
          <w:sz w:val="20"/>
        </w:rPr>
        <w:t xml:space="preserve">As demonstrated by Eq. (4), local incidence angle</w:t>
      </w:r>
      <w:r>
        <w:rPr>
          <w:rFonts w:ascii="Times New Roman" w:hAnsi="Times New Roman" w:eastAsia="Times New Roman"/>
          <w:sz w:val="20"/>
        </w:rPr>
        <w:t xml:space="preserve"> </w:t>
      </w:r>
      <m:oMath>
        <m:r>
          <m:t>ψ</m:t>
        </m:r>
      </m:oMath>
      <w:r>
        <w:rPr>
          <w:rFonts w:ascii="Times New Roman" w:hAnsi="Times New Roman" w:eastAsia="Times New Roman"/>
          <w:sz w:val="20"/>
        </w:rPr>
        <w:t xml:space="preserve"> </w:t>
      </w:r>
      <w:r>
        <w:rPr>
          <w:rFonts w:ascii="Times New Roman" w:hAnsi="Times New Roman" w:eastAsia="Times New Roman"/>
          <w:sz w:val="20"/>
        </w:rPr>
        <w:t xml:space="preserve">is governed by terrain slope</w:t>
      </w:r>
      <w:r>
        <w:rPr>
          <w:rFonts w:ascii="Times New Roman" w:hAnsi="Times New Roman" w:eastAsia="Times New Roman"/>
          <w:sz w:val="20"/>
        </w:rPr>
        <w:t xml:space="preserve"> </w:t>
      </w:r>
      <m:oMath>
        <m:r>
          <m:t>θ</m:t>
        </m:r>
      </m:oMath>
      <w:r>
        <w:rPr>
          <w:rFonts w:ascii="Times New Roman" w:hAnsi="Times New Roman" w:eastAsia="Times New Roman"/>
          <w:sz w:val="20"/>
        </w:rPr>
        <w:t xml:space="preserve">, aspect azimuth</w:t>
      </w:r>
      <w:r>
        <w:rPr>
          <w:rFonts w:ascii="Times New Roman" w:hAnsi="Times New Roman" w:eastAsia="Times New Roman"/>
          <w:sz w:val="20"/>
        </w:rPr>
        <w:t xml:space="preserve"> </w:t>
      </w:r>
      <m:oMath>
        <m:r>
          <m:t>α</m:t>
        </m:r>
      </m:oMath>
      <w:r>
        <w:rPr>
          <w:rFonts w:ascii="Times New Roman" w:hAnsi="Times New Roman" w:eastAsia="Times New Roman"/>
          <w:sz w:val="20"/>
        </w:rPr>
        <w:t xml:space="preserve">, and satellite radar look azimuth</w:t>
      </w:r>
      <w:r>
        <w:rPr>
          <w:rFonts w:ascii="Times New Roman" w:hAnsi="Times New Roman" w:eastAsia="Times New Roman"/>
          <w:sz w:val="20"/>
        </w:rPr>
        <w:t xml:space="preserve"> </w:t>
      </w:r>
      <m:oMath>
        <m:sSub>
          <m:e>
            <m:r>
              <m:t>ϕ</m:t>
            </m:r>
          </m:e>
          <m:sub>
            <m:r>
              <m:rPr>
                <m:nor/>
                <m:sty m:val="p"/>
              </m:rPr>
              <m:t>look</m:t>
            </m:r>
          </m:sub>
        </m:sSub>
      </m:oMath>
      <w:r>
        <w:rPr>
          <w:rFonts w:ascii="Times New Roman" w:hAnsi="Times New Roman" w:eastAsia="Times New Roman"/>
          <w:sz w:val="20"/>
        </w:rPr>
        <w:t xml:space="preserve">. On illuminated foreslopes (</w:t>
      </w:r>
      <m:oMath>
        <m:sSub>
          <m:e>
            <m:r>
              <m:t>θ</m:t>
            </m:r>
          </m:e>
          <m:sub>
            <m:r>
              <m:rPr>
                <m:nor/>
                <m:sty m:val="p"/>
              </m:rPr>
              <m:t>align</m:t>
            </m:r>
          </m:sub>
        </m:sSub>
        <m:r>
          <m:rPr>
            <m:sty m:val="p"/>
          </m:rPr>
          <m:t>=</m:t>
        </m:r>
        <m:r>
          <m:rPr>
            <m:sty m:val="p"/>
          </m:rPr>
          <m:t>cos</m:t>
        </m:r>
        <m:r>
          <m:rPr>
            <m:sty m:val="p"/>
          </m:rPr>
          <m:t>(</m:t>
        </m:r>
        <m:r>
          <m:t>α</m:t>
        </m:r>
        <m:r>
          <m:rPr>
            <m:sty m:val="p"/>
          </m:rPr>
          <m:t>−</m:t>
        </m:r>
        <m:sSub>
          <m:e>
            <m:r>
              <m:t>ϕ</m:t>
            </m:r>
          </m:e>
          <m:sub>
            <m:r>
              <m:rPr>
                <m:nor/>
                <m:sty m:val="p"/>
              </m:rPr>
              <m:t>look</m:t>
            </m:r>
          </m:sub>
        </m:sSub>
        <m:r>
          <m:rPr>
            <m:sty m:val="p"/>
          </m:rPr>
          <m:t>)</m:t>
        </m:r>
        <m:r>
          <m:rPr>
            <m:sty m:val="p"/>
          </m:rPr>
          <m:t>&gt;</m:t>
        </m:r>
        <m:r>
          <m:t>0</m:t>
        </m:r>
      </m:oMath>
      <w:r>
        <w:rPr>
          <w:rFonts w:ascii="Times New Roman" w:hAnsi="Times New Roman" w:eastAsia="Times New Roman"/>
          <w:sz w:val="20"/>
        </w:rPr>
        <w:t xml:space="preserve">), steep terrain compresses multiple ground-range cells into narrow slant-range bins. This foreshortening can elevate radar backscatter and generate bright linear ridges. RTCAB makes local-incidence and aspect-alignment features available to the SAR representation; the observed region- and stratum-specific changes are compatible with, but do not directly demonstrate, learned foreslope suppression.</w:t>
      </w:r>
    </w:p>
    <w:p>
      <w:pPr>
        <w:pStyle w:val="BodyText"/>
        <w:spacing w:after="0" w:line="240" w:lineRule="auto"/>
      </w:pPr>
      <w:r>
        <w:rPr>
          <w:rFonts w:ascii="Times New Roman" w:hAnsi="Times New Roman" w:eastAsia="Times New Roman"/>
          <w:sz w:val="20"/>
        </w:rPr>
        <w:t xml:space="preserve">Conversely, on backslopes facing away from the radar (</w:t>
      </w:r>
      <m:oMath>
        <m:sSub>
          <m:e>
            <m:r>
              <m:t>θ</m:t>
            </m:r>
          </m:e>
          <m:sub>
            <m:r>
              <m:rPr>
                <m:nor/>
                <m:sty m:val="p"/>
              </m:rPr>
              <m:t>align</m:t>
            </m:r>
          </m:sub>
        </m:sSub>
        <m:r>
          <m:rPr>
            <m:sty m:val="p"/>
          </m:rPr>
          <m:t>&lt;</m:t>
        </m:r>
        <m:r>
          <m:t>0</m:t>
        </m:r>
        <m:r>
          <m:rPr>
            <m:sty m:val="p"/>
          </m:rPr>
          <m:t>,</m:t>
        </m:r>
        <m:r>
          <m:t>ψ</m:t>
        </m:r>
        <m:r>
          <m:rPr>
            <m:sty m:val="p"/>
          </m:rPr>
          <m:t>&gt;</m:t>
        </m:r>
        <m:sSup>
          <m:e>
            <m:r>
              <m:t>50</m:t>
            </m:r>
          </m:e>
          <m:sup>
            <m:r>
              <m:rPr>
                <m:sty m:val="p"/>
              </m:rPr>
              <m:t>∘</m:t>
            </m:r>
          </m:sup>
        </m:sSup>
      </m:oMath>
      <w:r>
        <w:rPr>
          <w:rFonts w:ascii="Times New Roman" w:hAnsi="Times New Roman" w:eastAsia="Times New Roman"/>
          <w:sz w:val="20"/>
        </w:rPr>
        <w:t xml:space="preserve">), undisturbed smooth snow surfaces can appear radiometrically dark due to specular reflection away from the radar antenna. Avalanche debris may then exhibit strong diffuse surface and volume backscatter (</w:t>
      </w:r>
      <m:oMath>
        <m:r>
          <m:rPr>
            <m:sty m:val="p"/>
          </m:rPr>
          <m:t>Δ</m:t>
        </m:r>
        <m:sSup>
          <m:e>
            <m:r>
              <m:t>σ</m:t>
            </m:r>
          </m:e>
          <m:sup>
            <m:r>
              <m:t>0</m:t>
            </m:r>
          </m:sup>
        </m:sSup>
        <m:r>
          <m:rPr>
            <m:sty m:val="p"/>
          </m:rPr>
          <m:t>&gt;</m:t>
        </m:r>
        <m:r>
          <m:t>0</m:t>
        </m:r>
      </m:oMath>
      <w:r>
        <w:rPr>
          <w:rFonts w:ascii="Times New Roman" w:hAnsi="Times New Roman" w:eastAsia="Times New Roman"/>
          <w:sz w:val="20"/>
        </w:rPr>
        <w:t xml:space="preserve">). TopoRadar-Net records higher Seed-42 F1 than Attention U-Net in the reported backslope strata, but activation-level evidence would be required to attribute that difference specifically to dynamic spatial gating.</w:t>
      </w:r>
    </w:p>
    <w:p>
      <w:pPr>
        <w:pStyle w:val="BodyText"/>
        <w:spacing w:after="0" w:line="240" w:lineRule="auto"/>
      </w:pPr>
      <w:r>
        <w:rPr>
          <w:rFonts w:ascii="Times New Roman" w:hAnsi="Times New Roman" w:eastAsia="Times New Roman"/>
          <w:sz w:val="20"/>
        </w:rPr>
        <w:t xml:space="preserve">Geo-Loss encodes a heuristic slope prior rather than a physical-validity constraint. Its mask overlaps genuine positive labels, most strongly in the Nuuk 2016 training event (28.79% of valid positives), and the held-out subgroup audit records lower positive recall than No-GeoLoss in both test systems. The aggregate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precision/F1 difference and the subgroup recall penalty therefore describe a trade-off; without a matched generic regularizer they do not establish a terrain-specific mechanism.</w:t>
      </w:r>
    </w:p>
    <w:bookmarkEnd w:id="42"/>
    <w:bookmarkStart w:id="43" w:name="X71002116876d2312adabfaf41cdca942cd3e93e"/>
    <w:p>
      <w:pPr>
        <w:pStyle w:val="Heading2"/>
        <w:spacing w:after="0" w:line="240" w:lineRule="auto"/>
      </w:pPr>
      <w:r>
        <w:rPr>
          <w:rFonts w:ascii="Times New Roman" w:hAnsi="Times New Roman" w:eastAsia="Times New Roman"/>
          <w:sz w:val="20"/>
        </w:rPr>
        <w:t xml:space="preserve">Cross-System Transferability Across Global Mountain Regimes</w:t>
      </w:r>
    </w:p>
    <w:p>
      <w:pPr>
        <w:pStyle w:val="FirstParagraph"/>
        <w:spacing w:after="0" w:line="240" w:lineRule="auto"/>
      </w:pPr>
      <w:r>
        <w:rPr>
          <w:rFonts w:ascii="Times New Roman" w:hAnsi="Times New Roman" w:eastAsia="Times New Roman"/>
          <w:sz w:val="20"/>
        </w:rPr>
        <w:t xml:space="preserve">A primary challenge in machine learning for natural hazards is model overfitting to localized geographic and environmental training conditions. The AvalCD benchmark spans four distinct mountain systems characterized by starkly contrasting climatic, snowpack, and geomorphic regimes:</w:t>
      </w:r>
    </w:p>
    <w:p>
      <w:pPr>
        <w:numPr>
          <w:ilvl w:val="0"/>
          <w:numId w:val="1008"/>
        </w:numPr>
        <w:spacing w:after="0" w:line="240" w:lineRule="auto"/>
      </w:pPr>
      <w:r>
        <w:rPr>
          <w:rFonts w:ascii="Times New Roman" w:hAnsi="Times New Roman" w:eastAsia="Times New Roman"/>
          <w:b/>
          <w:bCs/>
          <w:sz w:val="20"/>
        </w:rPr>
        <w:t xml:space="preserve">Temperate Alpine Regime (European Alps):</w:t>
      </w:r>
      <w:r>
        <w:rPr>
          <w:rFonts w:ascii="Times New Roman" w:hAnsi="Times New Roman" w:eastAsia="Times New Roman"/>
          <w:sz w:val="20"/>
        </w:rPr>
        <w:t xml:space="preserve"> </w:t>
      </w:r>
      <w:r>
        <w:rPr>
          <w:rFonts w:ascii="Times New Roman" w:hAnsi="Times New Roman" w:eastAsia="Times New Roman"/>
          <w:sz w:val="20"/>
        </w:rPr>
        <w:t xml:space="preserve">High recreation density, moderate elevation relief, and mixed maritime-continental snowpacks characterized by distinct layer metamorphism and frequent spring wet-snow transitions.</w:t>
      </w:r>
    </w:p>
    <w:p>
      <w:pPr>
        <w:numPr>
          <w:ilvl w:val="0"/>
          <w:numId w:val="1008"/>
        </w:numPr>
        <w:spacing w:after="0" w:line="240" w:lineRule="auto"/>
      </w:pPr>
      <w:r>
        <w:rPr>
          <w:rFonts w:ascii="Times New Roman" w:hAnsi="Times New Roman" w:eastAsia="Times New Roman"/>
          <w:b/>
          <w:bCs/>
          <w:sz w:val="20"/>
        </w:rPr>
        <w:t xml:space="preserve">High-Altitude Continental Regime (Pamir Mountains, Central Asia):</w:t>
      </w:r>
      <w:r>
        <w:rPr>
          <w:rFonts w:ascii="Times New Roman" w:hAnsi="Times New Roman" w:eastAsia="Times New Roman"/>
          <w:sz w:val="20"/>
        </w:rPr>
        <w:t xml:space="preserve"> </w:t>
      </w:r>
      <w:r>
        <w:rPr>
          <w:rFonts w:ascii="Times New Roman" w:hAnsi="Times New Roman" w:eastAsia="Times New Roman"/>
          <w:sz w:val="20"/>
        </w:rPr>
        <w:t xml:space="preserve">Extreme vertical relief (</w:t>
      </w:r>
      <m:oMath>
        <m:r>
          <m:rPr>
            <m:sty m:val="p"/>
          </m:rPr>
          <m:t>&gt;</m:t>
        </m:r>
        <m:r>
          <m:t>2</m:t>
        </m:r>
        <m:r>
          <m:rPr>
            <m:sty m:val="p"/>
          </m:rPr>
          <m:t>,</m:t>
        </m:r>
        <m:r>
          <m:t>000</m:t>
        </m:r>
      </m:oMath>
      <w:r>
        <w:rPr>
          <w:rFonts w:ascii="Times New Roman" w:hAnsi="Times New Roman" w:eastAsia="Times New Roman"/>
          <w:sz w:val="20"/>
        </w:rPr>
        <w:t xml:space="preserve"> m descent paths), hyper-arid winter climate, deeply facetted depth hoar, and massive powder/slab avalanche cycles capable of burying entire valleys.</w:t>
      </w:r>
    </w:p>
    <w:p>
      <w:pPr>
        <w:numPr>
          <w:ilvl w:val="0"/>
          <w:numId w:val="1008"/>
        </w:numPr>
        <w:spacing w:after="0" w:line="240" w:lineRule="auto"/>
      </w:pPr>
      <w:r>
        <w:rPr>
          <w:rFonts w:ascii="Times New Roman" w:hAnsi="Times New Roman" w:eastAsia="Times New Roman"/>
          <w:b/>
          <w:bCs/>
          <w:sz w:val="20"/>
        </w:rPr>
        <w:t xml:space="preserve">Maritime Sub-Arctic Regime (Troms</w:t>
      </w:r>
      <w:r>
        <w:rPr>
          <w:rFonts w:ascii="Times New Roman" w:hAnsi="Times New Roman" w:eastAsia="Times New Roman"/>
          <w:b/>
          <w:bCs/>
          <w:sz w:val="20"/>
        </w:rPr>
        <w:t xml:space="preserve">ø</w:t>
      </w:r>
      <w:r>
        <w:rPr>
          <w:rFonts w:ascii="Times New Roman" w:hAnsi="Times New Roman" w:eastAsia="Times New Roman"/>
          <w:b/>
          <w:bCs/>
          <w:sz w:val="20"/>
        </w:rPr>
        <w:t xml:space="preserve">, Norway):</w:t>
      </w:r>
      <w:r>
        <w:rPr>
          <w:rFonts w:ascii="Times New Roman" w:hAnsi="Times New Roman" w:eastAsia="Times New Roman"/>
          <w:sz w:val="20"/>
        </w:rPr>
        <w:t xml:space="preserve"> </w:t>
      </w:r>
      <w:r>
        <w:rPr>
          <w:rFonts w:ascii="Times New Roman" w:hAnsi="Times New Roman" w:eastAsia="Times New Roman"/>
          <w:sz w:val="20"/>
        </w:rPr>
        <w:t xml:space="preserve">Coastal mountains with heavy, wind-scoured maritime snowpacks, frequent rain-on-snow events, and polar darkness throughout mid-winter.</w:t>
      </w:r>
    </w:p>
    <w:p>
      <w:pPr>
        <w:numPr>
          <w:ilvl w:val="0"/>
          <w:numId w:val="1008"/>
        </w:numPr>
        <w:spacing w:after="0" w:line="240" w:lineRule="auto"/>
      </w:pPr>
      <w:r>
        <w:rPr>
          <w:rFonts w:ascii="Times New Roman" w:hAnsi="Times New Roman" w:eastAsia="Times New Roman"/>
          <w:b/>
          <w:bCs/>
          <w:sz w:val="20"/>
        </w:rPr>
        <w:t xml:space="preserve">Polar Fjord Alpine Regime (Nuuk, Greenland):</w:t>
      </w:r>
      <w:r>
        <w:rPr>
          <w:rFonts w:ascii="Times New Roman" w:hAnsi="Times New Roman" w:eastAsia="Times New Roman"/>
          <w:sz w:val="20"/>
        </w:rPr>
        <w:t xml:space="preserve"> </w:t>
      </w:r>
      <w:r>
        <w:rPr>
          <w:rFonts w:ascii="Times New Roman" w:hAnsi="Times New Roman" w:eastAsia="Times New Roman"/>
          <w:sz w:val="20"/>
        </w:rPr>
        <w:t xml:space="preserve">Sub-polar maritime conditions with persistent high-velocity winds and coastal fjord relief.</w:t>
      </w:r>
    </w:p>
    <w:p>
      <w:pPr>
        <w:pStyle w:val="FirstParagraph"/>
        <w:spacing w:after="0" w:line="240" w:lineRule="auto"/>
      </w:pPr>
      <w:r>
        <w:rPr>
          <w:rFonts w:ascii="Times New Roman" w:hAnsi="Times New Roman" w:eastAsia="Times New Roman"/>
          <w:sz w:val="20"/>
        </w:rPr>
        <w:t xml:space="preserve">The model was trained on Alps and Greenland events, selected on Alps and Greenland validation events, and evaluated without site-specific tuning on held-out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Pamir scenes. It records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respectively. These observed held-out results change climate, relief, acquisition geometry, and avalanche population simultaneously and therefore do not identify physical coordinates as the cause of transfer.</w:t>
      </w:r>
    </w:p>
    <w:bookmarkEnd w:id="43"/>
    <w:bookmarkStart w:id="44" w:name="X28df15413498d4ca8321360cd434372c92c4282"/>
    <w:p>
      <w:pPr>
        <w:pStyle w:val="Heading2"/>
        <w:spacing w:after="0" w:line="240" w:lineRule="auto"/>
      </w:pPr>
      <w:r>
        <w:rPr>
          <w:rFonts w:ascii="Times New Roman" w:hAnsi="Times New Roman" w:eastAsia="Times New Roman"/>
          <w:sz w:val="20"/>
        </w:rPr>
        <w:t xml:space="preserve">Operational Implications for Alpine Civil Protection and Search-and-Rescue</w:t>
      </w:r>
    </w:p>
    <w:p>
      <w:pPr>
        <w:pStyle w:val="FirstParagraph"/>
        <w:spacing w:after="0" w:line="240" w:lineRule="auto"/>
      </w:pPr>
      <w:r>
        <w:rPr>
          <w:rFonts w:ascii="Times New Roman" w:hAnsi="Times New Roman" w:eastAsia="Times New Roman"/>
          <w:sz w:val="20"/>
        </w:rPr>
        <w:t xml:space="preserve">For alpine emergency managers, highway maintenance authorities, and search-and-rescue teams, satellite-based avalanche detection is only valuable if it provides reliable, actionable intelligence during crisis cycles</w:t>
      </w:r>
      <w:r>
        <w:rPr>
          <w:rFonts w:ascii="Times New Roman" w:hAnsi="Times New Roman" w:eastAsia="Times New Roman"/>
          <w:sz w:val="20"/>
        </w:rPr>
        <w:t xml:space="preserve"> </w:t>
      </w:r>
      <w:r>
        <w:rPr>
          <w:rFonts w:ascii="Times New Roman" w:hAnsi="Times New Roman" w:eastAsia="Times New Roman"/>
          <w:sz w:val="20"/>
        </w:rPr>
        <w:t xml:space="preserve">(Eckerstorfer et al. 2019; European Avalanche Warning Services 2022; Techel et al. 2018)</w:t>
      </w:r>
      <w:r>
        <w:rPr>
          <w:rFonts w:ascii="Times New Roman" w:hAnsi="Times New Roman" w:eastAsia="Times New Roman"/>
          <w:sz w:val="20"/>
        </w:rPr>
        <w:t xml:space="preserve">. Optical remote sensing is consistently thwarted during major blizzard events when rapid avalanche detection is most urgently needed. Sentinel-1 C-band SAR provides the only freely accessible, all-weather observation platform capable of continuous winter surveillance.</w:t>
      </w:r>
    </w:p>
    <w:p>
      <w:pPr>
        <w:pStyle w:val="BodyText"/>
        <w:spacing w:after="0" w:line="240" w:lineRule="auto"/>
      </w:pPr>
      <w:r>
        <w:rPr>
          <w:rFonts w:ascii="Times New Roman" w:hAnsi="Times New Roman" w:eastAsia="Times New Roman"/>
          <w:sz w:val="20"/>
        </w:rPr>
        <w:t xml:space="preserve">Large avalanches can block transportation arteries and bury infrastructure, motivating size-stratified evaluation. On the single held-out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TopoRadar-Net records mean hit rates of</w:t>
      </w:r>
      <w:r>
        <w:rPr>
          <w:rFonts w:ascii="Times New Roman" w:hAnsi="Times New Roman" w:eastAsia="Times New Roman"/>
          <w:sz w:val="20"/>
        </w:rPr>
        <w:t xml:space="preserve"> </w:t>
      </w:r>
      <m:oMath>
        <m:r>
          <m:t>84.0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D3 and</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D4. These retrospective scene-bounded rates neither guarantee identification of future events nor measure civil-protection outcomes.</w:t>
      </w:r>
    </w:p>
    <w:p>
      <w:pPr>
        <w:pStyle w:val="BodyText"/>
        <w:spacing w:after="0" w:line="240" w:lineRule="auto"/>
      </w:pPr>
      <w:r>
        <w:rPr>
          <w:rFonts w:ascii="Times New Roman" w:hAnsi="Times New Roman" w:eastAsia="Times New Roman"/>
          <w:b/>
          <w:bCs/>
          <w:sz w:val="20"/>
        </w:rPr>
        <w:t xml:space="preserve">Table 8.</w:t>
      </w:r>
      <w:r>
        <w:rPr>
          <w:rFonts w:ascii="Times New Roman" w:hAnsi="Times New Roman" w:eastAsia="Times New Roman"/>
          <w:sz w:val="20"/>
        </w:rPr>
        <w:t xml:space="preserve"> </w:t>
      </w:r>
      <w:r>
        <w:rPr>
          <w:rFonts w:ascii="Times New Roman" w:hAnsi="Times New Roman" w:eastAsia="Times New Roman"/>
          <w:sz w:val="20"/>
        </w:rPr>
        <w:t xml:space="preserve">Conceptual decision-support framework and false-alarm footprint on the evaluated finite-raster valid masks (Troms</w:t>
      </w:r>
      <w:r>
        <w:rPr>
          <w:rFonts w:ascii="Times New Roman" w:hAnsi="Times New Roman" w:eastAsia="Times New Roman"/>
          <w:sz w:val="20"/>
        </w:rPr>
        <w:t xml:space="preserve">ø</w:t>
      </w:r>
      <w:r>
        <w:rPr>
          <w:rFonts w:ascii="Times New Roman" w:hAnsi="Times New Roman" w:eastAsia="Times New Roman"/>
          <w:sz w:val="20"/>
        </w:rPr>
        <w:t xml:space="preserve">: 231.151 km²; Pamir: 350.338 km² on the nominal 10 m grid). The framework is illustrative and unvalidated for automated dispatch; affine areas scale proportionally with identical ha/km² rates.</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Triage Level</w:t>
            </w:r>
          </w:p>
        </w:tc>
        <w:tc>
          <w:tcPr>
            <w:vAlign w:val="center"/>
          </w:tcPr>
          <w:p>
            <w:pPr>
              <w:pStyle w:val="Compact"/>
              <w:spacing w:before="0" w:after="0" w:line="240" w:lineRule="auto"/>
              <w:jc w:val="left"/>
            </w:pPr>
            <w:r>
              <w:rPr>
                <w:rFonts w:ascii="Times New Roman" w:hAnsi="Times New Roman" w:eastAsia="Times New Roman"/>
                <w:b/>
                <w:bCs/>
                <w:sz w:val="17"/>
              </w:rPr>
              <w:t xml:space="preserve">Score (p)</w:t>
            </w:r>
          </w:p>
        </w:tc>
        <w:tc>
          <w:tcPr>
            <w:vAlign w:val="center"/>
          </w:tcPr>
          <w:p>
            <w:pPr>
              <w:pStyle w:val="Compact"/>
              <w:spacing w:before="0" w:after="0" w:line="240" w:lineRule="auto"/>
              <w:jc w:val="left"/>
            </w:pPr>
            <w:r>
              <w:rPr>
                <w:rFonts w:ascii="Times New Roman" w:hAnsi="Times New Roman" w:eastAsia="Times New Roman"/>
                <w:b/>
                <w:bCs/>
                <w:sz w:val="17"/>
              </w:rPr>
              <w:t xml:space="preserve">Debris Footprint</w:t>
            </w:r>
          </w:p>
        </w:tc>
        <w:tc>
          <w:tcPr>
            <w:vAlign w:val="center"/>
          </w:tcPr>
          <w:p>
            <w:pPr>
              <w:pStyle w:val="Compact"/>
              <w:spacing w:before="0" w:after="0" w:line="240" w:lineRule="auto"/>
              <w:jc w:val="left"/>
            </w:pPr>
            <w:r>
              <w:rPr>
                <w:rFonts w:ascii="Times New Roman" w:hAnsi="Times New Roman" w:eastAsia="Times New Roman"/>
                <w:b/>
                <w:bCs/>
                <w:sz w:val="17"/>
              </w:rPr>
              <w:t xml:space="preserve">Illustrative Hazard Tier</w:t>
            </w:r>
          </w:p>
        </w:tc>
        <w:tc>
          <w:tcPr>
            <w:vAlign w:val="center"/>
          </w:tcPr>
          <w:p>
            <w:pPr>
              <w:pStyle w:val="Compact"/>
              <w:spacing w:before="0" w:after="0" w:line="240" w:lineRule="auto"/>
              <w:jc w:val="left"/>
            </w:pPr>
            <w:r>
              <w:rPr>
                <w:rFonts w:ascii="Times New Roman" w:hAnsi="Times New Roman" w:eastAsia="Times New Roman"/>
                <w:b/>
                <w:bCs/>
                <w:sz w:val="17"/>
              </w:rPr>
              <w:t xml:space="preserve">Target Stakeholder</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1</w:t>
            </w:r>
          </w:p>
        </w:tc>
        <w:tc>
          <w:tcPr>
            <w:vAlign w:val="center"/>
          </w:tcPr>
          <w:p>
            <w:pPr>
              <w:pStyle w:val="Compact"/>
              <w:spacing w:before="0" w:after="0" w:line="240" w:lineRule="auto"/>
              <w:jc w:val="left"/>
            </w:pPr>
            <w:r>
              <w:rPr>
                <w:rFonts w:ascii="Times New Roman" w:hAnsi="Times New Roman" w:eastAsia="Times New Roman"/>
                <w:sz w:val="17"/>
              </w:rPr>
              <w:t xml:space="preserve">p &lt; 0.40</w:t>
            </w:r>
          </w:p>
        </w:tc>
        <w:tc>
          <w:tcPr>
            <w:vAlign w:val="center"/>
          </w:tcPr>
          <w:p>
            <w:pPr>
              <w:pStyle w:val="Compact"/>
              <w:spacing w:before="0" w:after="0" w:line="240" w:lineRule="auto"/>
              <w:jc w:val="left"/>
            </w:pPr>
            <w:r>
              <w:rPr>
                <w:rFonts w:ascii="Times New Roman" w:hAnsi="Times New Roman" w:eastAsia="Times New Roman"/>
                <w:sz w:val="17"/>
              </w:rPr>
              <w:t xml:space="preserve">&lt; 0.1 ha (&lt; 10 px)</w:t>
            </w:r>
          </w:p>
        </w:tc>
        <w:tc>
          <w:tcPr>
            <w:vAlign w:val="center"/>
          </w:tcPr>
          <w:p>
            <w:pPr>
              <w:pStyle w:val="Compact"/>
              <w:spacing w:before="0" w:after="0" w:line="240" w:lineRule="auto"/>
              <w:jc w:val="left"/>
            </w:pPr>
            <w:r>
              <w:rPr>
                <w:rFonts w:ascii="Times New Roman" w:hAnsi="Times New Roman" w:eastAsia="Times New Roman"/>
                <w:sz w:val="17"/>
              </w:rPr>
              <w:t xml:space="preserve">Low confidence; routine background monitoring</w:t>
            </w:r>
          </w:p>
        </w:tc>
        <w:tc>
          <w:tcPr>
            <w:vAlign w:val="center"/>
          </w:tcPr>
          <w:p>
            <w:pPr>
              <w:pStyle w:val="Compact"/>
              <w:spacing w:before="0" w:after="0" w:line="240" w:lineRule="auto"/>
              <w:jc w:val="left"/>
            </w:pPr>
            <w:r>
              <w:rPr>
                <w:rFonts w:ascii="Times New Roman" w:hAnsi="Times New Roman" w:eastAsia="Times New Roman"/>
                <w:sz w:val="17"/>
              </w:rPr>
              <w:t xml:space="preserve">Warning Services (SLF, NVE)</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2</w:t>
            </w:r>
          </w:p>
        </w:tc>
        <w:tc>
          <w:tcPr>
            <w:vAlign w:val="center"/>
          </w:tcPr>
          <w:p>
            <w:pPr>
              <w:pStyle w:val="Compact"/>
              <w:spacing w:before="0" w:after="0" w:line="240" w:lineRule="auto"/>
              <w:jc w:val="left"/>
            </w:pPr>
            <w:r>
              <w:rPr>
                <w:rFonts w:ascii="Times New Roman" w:hAnsi="Times New Roman" w:eastAsia="Times New Roman"/>
                <w:sz w:val="17"/>
              </w:rPr>
              <w:t xml:space="preserve">0.40 ≤ p &lt; 0.70</w:t>
            </w:r>
          </w:p>
        </w:tc>
        <w:tc>
          <w:tcPr>
            <w:vAlign w:val="center"/>
          </w:tcPr>
          <w:p>
            <w:pPr>
              <w:pStyle w:val="Compact"/>
              <w:spacing w:before="0" w:after="0" w:line="240" w:lineRule="auto"/>
              <w:jc w:val="left"/>
            </w:pPr>
            <w:r>
              <w:rPr>
                <w:rFonts w:ascii="Times New Roman" w:hAnsi="Times New Roman" w:eastAsia="Times New Roman"/>
                <w:sz w:val="17"/>
              </w:rPr>
              <w:t xml:space="preserve">0.1–1.0 ha (10–100 px)</w:t>
            </w:r>
          </w:p>
        </w:tc>
        <w:tc>
          <w:tcPr>
            <w:vAlign w:val="center"/>
          </w:tcPr>
          <w:p>
            <w:pPr>
              <w:pStyle w:val="Compact"/>
              <w:spacing w:before="0" w:after="0" w:line="240" w:lineRule="auto"/>
              <w:jc w:val="left"/>
            </w:pPr>
            <w:r>
              <w:rPr>
                <w:rFonts w:ascii="Times New Roman" w:hAnsi="Times New Roman" w:eastAsia="Times New Roman"/>
                <w:sz w:val="17"/>
              </w:rPr>
              <w:t xml:space="preserve">Moderate confidence; recommended expert review or optical cueing</w:t>
            </w:r>
          </w:p>
        </w:tc>
        <w:tc>
          <w:tcPr>
            <w:vAlign w:val="center"/>
          </w:tcPr>
          <w:p>
            <w:pPr>
              <w:pStyle w:val="Compact"/>
              <w:spacing w:before="0" w:after="0" w:line="240" w:lineRule="auto"/>
              <w:jc w:val="left"/>
            </w:pPr>
            <w:r>
              <w:rPr>
                <w:rFonts w:ascii="Times New Roman" w:hAnsi="Times New Roman" w:eastAsia="Times New Roman"/>
                <w:sz w:val="17"/>
              </w:rPr>
              <w:t xml:space="preserve">Regional Forecasters</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3</w:t>
            </w:r>
          </w:p>
        </w:tc>
        <w:tc>
          <w:tcPr>
            <w:vAlign w:val="center"/>
          </w:tcPr>
          <w:p>
            <w:pPr>
              <w:pStyle w:val="Compact"/>
              <w:spacing w:before="0" w:after="0" w:line="240" w:lineRule="auto"/>
              <w:jc w:val="left"/>
            </w:pPr>
            <w:r>
              <w:rPr>
                <w:rFonts w:ascii="Times New Roman" w:hAnsi="Times New Roman" w:eastAsia="Times New Roman"/>
                <w:sz w:val="17"/>
              </w:rPr>
              <w:t xml:space="preserve">p ≥ 0.70</w:t>
            </w:r>
          </w:p>
        </w:tc>
        <w:tc>
          <w:tcPr>
            <w:vAlign w:val="center"/>
          </w:tcPr>
          <w:p>
            <w:pPr>
              <w:pStyle w:val="Compact"/>
              <w:spacing w:before="0" w:after="0" w:line="240" w:lineRule="auto"/>
              <w:jc w:val="left"/>
            </w:pPr>
            <w:r>
              <w:rPr>
                <w:rFonts w:ascii="Times New Roman" w:hAnsi="Times New Roman" w:eastAsia="Times New Roman"/>
                <w:sz w:val="17"/>
              </w:rPr>
              <w:t xml:space="preserve">≥ 1.0 ha (Major debris)</w:t>
            </w:r>
          </w:p>
        </w:tc>
        <w:tc>
          <w:tcPr>
            <w:vAlign w:val="center"/>
          </w:tcPr>
          <w:p>
            <w:pPr>
              <w:pStyle w:val="Compact"/>
              <w:spacing w:before="0" w:after="0" w:line="240" w:lineRule="auto"/>
              <w:jc w:val="left"/>
            </w:pPr>
            <w:r>
              <w:rPr>
                <w:rFonts w:ascii="Times New Roman" w:hAnsi="Times New Roman" w:eastAsia="Times New Roman"/>
                <w:sz w:val="17"/>
              </w:rPr>
              <w:t xml:space="preserve">High confidence; prioritized inspection along transport corridors</w:t>
            </w:r>
          </w:p>
        </w:tc>
        <w:tc>
          <w:tcPr>
            <w:vAlign w:val="center"/>
          </w:tcPr>
          <w:p>
            <w:pPr>
              <w:pStyle w:val="Compact"/>
              <w:spacing w:before="0" w:after="0" w:line="240" w:lineRule="auto"/>
              <w:jc w:val="left"/>
            </w:pPr>
            <w:r>
              <w:rPr>
                <w:rFonts w:ascii="Times New Roman" w:hAnsi="Times New Roman" w:eastAsia="Times New Roman"/>
                <w:sz w:val="17"/>
              </w:rPr>
              <w:t xml:space="preserve">Civil Protection / Road Auth.</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b/>
                <w:bCs/>
                <w:sz w:val="17"/>
              </w:rPr>
              <w:t xml:space="preserve">Regional False-Alarm Footprint (Valid Area: Troms</w:t>
            </w:r>
            <w:r>
              <w:rPr>
                <w:rFonts w:ascii="Times New Roman" w:hAnsi="Times New Roman" w:eastAsia="Times New Roman"/>
                <w:b/>
                <w:bCs/>
                <w:sz w:val="17"/>
              </w:rPr>
              <w:t xml:space="preserve">ø</w:t>
            </w:r>
            <w:r>
              <w:rPr>
                <w:rFonts w:ascii="Times New Roman" w:hAnsi="Times New Roman" w:eastAsia="Times New Roman"/>
                <w:b/>
                <w:bCs/>
                <w:sz w:val="17"/>
              </w:rPr>
              <w:t xml:space="preserve"> </w:t>
            </w:r>
            <w:r>
              <w:rPr>
                <w:rFonts w:ascii="Times New Roman" w:hAnsi="Times New Roman" w:eastAsia="Times New Roman"/>
                <w:b/>
                <w:bCs/>
                <w:sz w:val="17"/>
              </w:rPr>
              <w:t xml:space="preserve">231.151 km², Pamir 350.338 km²)</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Region</w:t>
            </w:r>
          </w:p>
        </w:tc>
        <w:tc>
          <w:tcPr>
            <w:vAlign w:val="center"/>
          </w:tcPr>
          <w:p>
            <w:pPr>
              <w:pStyle w:val="Compact"/>
              <w:spacing w:before="0" w:after="0" w:line="240" w:lineRule="auto"/>
              <w:jc w:val="left"/>
            </w:pPr>
            <w:r>
              <w:rPr>
                <w:rFonts w:ascii="Times New Roman" w:hAnsi="Times New Roman" w:eastAsia="Times New Roman"/>
                <w:b/>
                <w:bCs/>
                <w:sz w:val="17"/>
              </w:rPr>
              <w:t xml:space="preserve">Method</w:t>
            </w:r>
          </w:p>
        </w:tc>
        <w:tc>
          <w:tcPr>
            <w:vAlign w:val="center"/>
          </w:tcPr>
          <w:p>
            <w:pPr>
              <w:pStyle w:val="Compact"/>
              <w:spacing w:before="0" w:after="0" w:line="240" w:lineRule="auto"/>
              <w:jc w:val="left"/>
            </w:pPr>
            <w:r>
              <w:rPr>
                <w:rFonts w:ascii="Times New Roman" w:hAnsi="Times New Roman" w:eastAsia="Times New Roman"/>
                <w:b/>
                <w:bCs/>
                <w:sz w:val="17"/>
              </w:rPr>
              <w:t xml:space="preserve">Detected Debris (ha)</w:t>
            </w:r>
          </w:p>
        </w:tc>
        <w:tc>
          <w:tcPr>
            <w:vAlign w:val="center"/>
          </w:tcPr>
          <w:p>
            <w:pPr>
              <w:pStyle w:val="Compact"/>
              <w:spacing w:before="0" w:after="0" w:line="240" w:lineRule="auto"/>
              <w:jc w:val="left"/>
            </w:pPr>
            <w:r>
              <w:rPr>
                <w:rFonts w:ascii="Times New Roman" w:hAnsi="Times New Roman" w:eastAsia="Times New Roman"/>
                <w:b/>
                <w:bCs/>
                <w:sz w:val="17"/>
              </w:rPr>
              <w:t xml:space="preserve">False-Alarm Area (ha / km²)</w:t>
            </w:r>
          </w:p>
        </w:tc>
        <w:tc>
          <w:tcPr>
            <w:vAlign w:val="center"/>
          </w:tcPr>
          <w:p>
            <w:pPr>
              <w:pStyle w:val="Compact"/>
              <w:spacing w:before="0" w:after="0" w:line="240" w:lineRule="auto"/>
              <w:jc w:val="left"/>
            </w:pPr>
            <w:r>
              <w:rPr>
                <w:rFonts w:ascii="Times New Roman" w:hAnsi="Times New Roman" w:eastAsia="Times New Roman"/>
                <w:b/>
                <w:bCs/>
                <w:sz w:val="17"/>
              </w:rPr>
              <w:t xml:space="preserve">False-Alarm Rate (ha / km²)</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Scandinavian Arctic (Troms</w:t>
            </w:r>
            <w:r>
              <w:rPr>
                <w:rFonts w:ascii="Times New Roman" w:hAnsi="Times New Roman" w:eastAsia="Times New Roman"/>
                <w:sz w:val="17"/>
              </w:rPr>
              <w:t xml:space="preserve">ø</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left"/>
            </w:pPr>
            <w:r>
              <w:rPr>
                <w:rFonts w:ascii="Times New Roman" w:hAnsi="Times New Roman" w:eastAsia="Times New Roman"/>
                <w:sz w:val="17"/>
              </w:rPr>
              <w:t xml:space="preserve">218.33 ha</w:t>
            </w:r>
          </w:p>
        </w:tc>
        <w:tc>
          <w:tcPr>
            <w:vAlign w:val="center"/>
          </w:tcPr>
          <w:p>
            <w:pPr>
              <w:pStyle w:val="Compact"/>
              <w:spacing w:before="0" w:after="0" w:line="240" w:lineRule="auto"/>
              <w:jc w:val="left"/>
            </w:pPr>
            <w:r>
              <w:rPr>
                <w:rFonts w:ascii="Times New Roman" w:hAnsi="Times New Roman" w:eastAsia="Times New Roman"/>
                <w:sz w:val="17"/>
              </w:rPr>
              <w:t xml:space="preserve">43.13 ha (0.43 km²)</w:t>
            </w:r>
          </w:p>
        </w:tc>
        <w:tc>
          <w:tcPr>
            <w:vAlign w:val="center"/>
          </w:tcPr>
          <w:p>
            <w:pPr>
              <w:pStyle w:val="Compact"/>
              <w:spacing w:before="0" w:after="0" w:line="240" w:lineRule="auto"/>
              <w:jc w:val="left"/>
            </w:pPr>
            <w:r>
              <w:rPr>
                <w:rFonts w:ascii="Times New Roman" w:hAnsi="Times New Roman" w:eastAsia="Times New Roman"/>
                <w:sz w:val="17"/>
              </w:rPr>
              <w:t xml:space="preserve">0.19 ha / km² (Misses 121.36 ha)</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left"/>
            </w:pPr>
            <w:r>
              <w:rPr>
                <w:rFonts w:ascii="Times New Roman" w:hAnsi="Times New Roman" w:eastAsia="Times New Roman"/>
                <w:sz w:val="17"/>
              </w:rPr>
              <w:t xml:space="preserve">261.49 ha</w:t>
            </w:r>
          </w:p>
        </w:tc>
        <w:tc>
          <w:tcPr>
            <w:vAlign w:val="center"/>
          </w:tcPr>
          <w:p>
            <w:pPr>
              <w:pStyle w:val="Compact"/>
              <w:spacing w:before="0" w:after="0" w:line="240" w:lineRule="auto"/>
              <w:jc w:val="left"/>
            </w:pPr>
            <w:r>
              <w:rPr>
                <w:rFonts w:ascii="Times New Roman" w:hAnsi="Times New Roman" w:eastAsia="Times New Roman"/>
                <w:sz w:val="17"/>
              </w:rPr>
              <w:t xml:space="preserve">68.34 ha (0.68 km²)</w:t>
            </w:r>
          </w:p>
        </w:tc>
        <w:tc>
          <w:tcPr>
            <w:vAlign w:val="center"/>
          </w:tcPr>
          <w:p>
            <w:pPr>
              <w:pStyle w:val="Compact"/>
              <w:spacing w:before="0" w:after="0" w:line="240" w:lineRule="auto"/>
              <w:jc w:val="left"/>
            </w:pPr>
            <w:r>
              <w:rPr>
                <w:rFonts w:ascii="Times New Roman" w:hAnsi="Times New Roman" w:eastAsia="Times New Roman"/>
                <w:sz w:val="17"/>
              </w:rPr>
              <w:t xml:space="preserve">0.30 ha / km²</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left"/>
            </w:pPr>
            <w:r>
              <w:rPr>
                <w:rFonts w:ascii="Times New Roman" w:hAnsi="Times New Roman" w:eastAsia="Times New Roman"/>
                <w:b/>
                <w:bCs/>
                <w:sz w:val="17"/>
              </w:rPr>
              <w:t xml:space="preserve">270.09 ha</w:t>
            </w:r>
          </w:p>
        </w:tc>
        <w:tc>
          <w:tcPr>
            <w:vAlign w:val="center"/>
          </w:tcPr>
          <w:p>
            <w:pPr>
              <w:pStyle w:val="Compact"/>
              <w:spacing w:before="0" w:after="0" w:line="240" w:lineRule="auto"/>
              <w:jc w:val="left"/>
            </w:pPr>
            <w:r>
              <w:rPr>
                <w:rFonts w:ascii="Times New Roman" w:hAnsi="Times New Roman" w:eastAsia="Times New Roman"/>
                <w:b/>
                <w:bCs/>
                <w:sz w:val="17"/>
              </w:rPr>
              <w:t xml:space="preserve">87.82 ha</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0.88 km²</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b/>
                <w:bCs/>
                <w:sz w:val="17"/>
              </w:rPr>
              <w:t xml:space="preserve">0.38 ha / km²</w:t>
            </w:r>
            <w:r>
              <w:rPr>
                <w:rFonts w:ascii="Times New Roman" w:hAnsi="Times New Roman" w:eastAsia="Times New Roman"/>
                <w:sz w:val="17"/>
              </w:rPr>
              <w:t xml:space="preserve"> </w:t>
            </w:r>
            <w:r>
              <w:rPr>
                <w:rFonts w:ascii="Times New Roman" w:hAnsi="Times New Roman" w:eastAsia="Times New Roman"/>
                <w:sz w:val="17"/>
              </w:rPr>
              <w:t xml:space="preserve">(Detects 95.8% D4)</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Pamir Mountains (Pish)</w:t>
            </w:r>
          </w:p>
        </w:tc>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left"/>
            </w:pPr>
            <w:r>
              <w:rPr>
                <w:rFonts w:ascii="Times New Roman" w:hAnsi="Times New Roman" w:eastAsia="Times New Roman"/>
                <w:sz w:val="17"/>
              </w:rPr>
              <w:t xml:space="preserve">163.76 ha</w:t>
            </w:r>
          </w:p>
        </w:tc>
        <w:tc>
          <w:tcPr>
            <w:vAlign w:val="center"/>
          </w:tcPr>
          <w:p>
            <w:pPr>
              <w:pStyle w:val="Compact"/>
              <w:spacing w:before="0" w:after="0" w:line="240" w:lineRule="auto"/>
              <w:jc w:val="left"/>
            </w:pPr>
            <w:r>
              <w:rPr>
                <w:rFonts w:ascii="Times New Roman" w:hAnsi="Times New Roman" w:eastAsia="Times New Roman"/>
                <w:sz w:val="17"/>
              </w:rPr>
              <w:t xml:space="preserve">302.63 ha (3.03 km²)</w:t>
            </w:r>
          </w:p>
        </w:tc>
        <w:tc>
          <w:tcPr>
            <w:vAlign w:val="center"/>
          </w:tcPr>
          <w:p>
            <w:pPr>
              <w:pStyle w:val="Compact"/>
              <w:spacing w:before="0" w:after="0" w:line="240" w:lineRule="auto"/>
              <w:jc w:val="left"/>
            </w:pPr>
            <w:r>
              <w:rPr>
                <w:rFonts w:ascii="Times New Roman" w:hAnsi="Times New Roman" w:eastAsia="Times New Roman"/>
                <w:sz w:val="17"/>
              </w:rPr>
              <w:t xml:space="preserve">0.86 ha / km² (Severe Clutter)</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left"/>
            </w:pPr>
            <w:r>
              <w:rPr>
                <w:rFonts w:ascii="Times New Roman" w:hAnsi="Times New Roman" w:eastAsia="Times New Roman"/>
                <w:sz w:val="17"/>
              </w:rPr>
              <w:t xml:space="preserve">150.43 ha</w:t>
            </w:r>
          </w:p>
        </w:tc>
        <w:tc>
          <w:tcPr>
            <w:vAlign w:val="center"/>
          </w:tcPr>
          <w:p>
            <w:pPr>
              <w:pStyle w:val="Compact"/>
              <w:spacing w:before="0" w:after="0" w:line="240" w:lineRule="auto"/>
              <w:jc w:val="left"/>
            </w:pPr>
            <w:r>
              <w:rPr>
                <w:rFonts w:ascii="Times New Roman" w:hAnsi="Times New Roman" w:eastAsia="Times New Roman"/>
                <w:sz w:val="17"/>
              </w:rPr>
              <w:t xml:space="preserve">242.77 ha (2.43 km²)</w:t>
            </w:r>
          </w:p>
        </w:tc>
        <w:tc>
          <w:tcPr>
            <w:vAlign w:val="center"/>
          </w:tcPr>
          <w:p>
            <w:pPr>
              <w:pStyle w:val="Compact"/>
              <w:spacing w:before="0" w:after="0" w:line="240" w:lineRule="auto"/>
              <w:jc w:val="left"/>
            </w:pPr>
            <w:r>
              <w:rPr>
                <w:rFonts w:ascii="Times New Roman" w:hAnsi="Times New Roman" w:eastAsia="Times New Roman"/>
                <w:sz w:val="17"/>
              </w:rPr>
              <w:t xml:space="preserve">0.69 ha / km²</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left"/>
            </w:pPr>
            <w:r>
              <w:rPr>
                <w:rFonts w:ascii="Times New Roman" w:hAnsi="Times New Roman" w:eastAsia="Times New Roman"/>
                <w:b/>
                <w:bCs/>
                <w:sz w:val="17"/>
              </w:rPr>
              <w:t xml:space="preserve">130.25 ha</w:t>
            </w:r>
          </w:p>
        </w:tc>
        <w:tc>
          <w:tcPr>
            <w:vAlign w:val="center"/>
          </w:tcPr>
          <w:p>
            <w:pPr>
              <w:pStyle w:val="Compact"/>
              <w:spacing w:before="0" w:after="0" w:line="240" w:lineRule="auto"/>
              <w:jc w:val="left"/>
            </w:pPr>
            <w:r>
              <w:rPr>
                <w:rFonts w:ascii="Times New Roman" w:hAnsi="Times New Roman" w:eastAsia="Times New Roman"/>
                <w:b/>
                <w:bCs/>
                <w:sz w:val="17"/>
              </w:rPr>
              <w:t xml:space="preserve">169.89 ha</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1.70 km²</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b/>
                <w:bCs/>
                <w:sz w:val="17"/>
              </w:rPr>
              <w:t xml:space="preserve">0.48 ha / km²</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30.0%</w:t>
            </w:r>
            <w:r>
              <w:rPr>
                <w:rFonts w:ascii="Times New Roman" w:hAnsi="Times New Roman" w:eastAsia="Times New Roman"/>
                <w:sz w:val="17"/>
              </w:rPr>
              <w:t xml:space="preserve"> </w:t>
            </w:r>
            <w:r>
              <w:rPr>
                <w:rFonts w:ascii="Times New Roman" w:hAnsi="Times New Roman" w:eastAsia="Times New Roman"/>
                <w:sz w:val="17"/>
              </w:rPr>
              <w:t xml:space="preserve">Clutter Reduction)</w:t>
            </w:r>
          </w:p>
        </w:tc>
      </w:tr>
    </w:tbl>
    <w:p>
      <w:pPr>
        <w:pStyle w:val="BodyText"/>
        <w:spacing w:after="0" w:line="240" w:lineRule="auto"/>
      </w:pPr>
      <w:r>
        <w:rPr>
          <w:rFonts w:ascii="Times New Roman" w:hAnsi="Times New Roman" w:eastAsia="Times New Roman"/>
          <w:sz w:val="20"/>
        </w:rPr>
        <w:t xml:space="preserve">Table 8 summarizes the quantitative clutter footprint across mountain regimes and outlines an illustrative conceptual triage framework:</w:t>
      </w:r>
    </w:p>
    <w:p>
      <w:pPr>
        <w:numPr>
          <w:ilvl w:val="0"/>
          <w:numId w:val="1009"/>
        </w:numPr>
        <w:spacing w:after="0" w:line="240" w:lineRule="auto"/>
      </w:pPr>
      <w:r>
        <w:rPr>
          <w:rFonts w:ascii="Times New Roman" w:hAnsi="Times New Roman" w:eastAsia="Times New Roman"/>
          <w:b/>
          <w:bCs/>
          <w:sz w:val="20"/>
        </w:rPr>
        <w:t xml:space="preserve">Physical-Unit Footprints:</w:t>
      </w:r>
      <w:r>
        <w:rPr>
          <w:rFonts w:ascii="Times New Roman" w:hAnsi="Times New Roman" w:eastAsia="Times New Roman"/>
          <w:sz w:val="20"/>
        </w:rPr>
        <w:t xml:space="preserve"> </w:t>
      </w:r>
      <w:r>
        <w:rPr>
          <w:rFonts w:ascii="Times New Roman" w:hAnsi="Times New Roman" w:eastAsia="Times New Roman"/>
          <w:sz w:val="20"/>
        </w:rPr>
        <w:t xml:space="preserve">On the Pamir valid mask (</w:t>
      </w:r>
      <m:oMath>
        <m:r>
          <m:t>350.338</m:t>
        </m:r>
        <m:r>
          <m:t> </m:t>
        </m:r>
        <m:sSup>
          <m:e>
            <m:r>
              <m:rPr>
                <m:nor/>
                <m:sty m:val="p"/>
              </m:rPr>
              <m:t>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nominal), TopoRadar-Net records</w:t>
      </w:r>
      <w:r>
        <w:rPr>
          <w:rFonts w:ascii="Times New Roman" w:hAnsi="Times New Roman" w:eastAsia="Times New Roman"/>
          <w:sz w:val="20"/>
        </w:rPr>
        <w:t xml:space="preserve"> </w:t>
      </w:r>
      <m:oMath>
        <m:r>
          <m:t>169.89</m:t>
        </m:r>
      </m:oMath>
      <w:r>
        <w:rPr>
          <w:rFonts w:ascii="Times New Roman" w:hAnsi="Times New Roman" w:eastAsia="Times New Roman"/>
          <w:sz w:val="20"/>
        </w:rPr>
        <w:t xml:space="preserve"> </w:t>
      </w:r>
      <w:r>
        <w:rPr>
          <w:rFonts w:ascii="Times New Roman" w:hAnsi="Times New Roman" w:eastAsia="Times New Roman"/>
          <w:sz w:val="20"/>
        </w:rPr>
        <w:t xml:space="preserve">ha of false alarms (</w:t>
      </w:r>
      <m:oMath>
        <m:r>
          <m:t>0.48</m:t>
        </m:r>
        <m:r>
          <m:t> </m:t>
        </m:r>
        <m:sSup>
          <m:e>
            <m:r>
              <m:rPr>
                <m:nor/>
                <m:sty m:val="p"/>
              </m:rPr>
              <m:t>ha/km</m:t>
            </m:r>
          </m:e>
          <m:sup>
            <m:r>
              <m:t>2</m:t>
            </m:r>
          </m:sup>
        </m:sSup>
      </m:oMath>
      <w:r>
        <w:rPr>
          <w:rFonts w:ascii="Times New Roman" w:hAnsi="Times New Roman" w:eastAsia="Times New Roman"/>
          <w:sz w:val="20"/>
        </w:rPr>
        <w:t xml:space="preserve">),</w:t>
      </w:r>
      <w:r>
        <w:rPr>
          <w:rFonts w:ascii="Times New Roman" w:hAnsi="Times New Roman" w:eastAsia="Times New Roman"/>
          <w:sz w:val="20"/>
        </w:rPr>
        <w:t xml:space="preserve"> </w:t>
      </w:r>
      <m:oMath>
        <m:r>
          <m:t>72.88</m:t>
        </m:r>
      </m:oMath>
      <w:r>
        <w:rPr>
          <w:rFonts w:ascii="Times New Roman" w:hAnsi="Times New Roman" w:eastAsia="Times New Roman"/>
          <w:sz w:val="20"/>
        </w:rPr>
        <w:t xml:space="preserve"> </w:t>
      </w:r>
      <w:r>
        <w:rPr>
          <w:rFonts w:ascii="Times New Roman" w:hAnsi="Times New Roman" w:eastAsia="Times New Roman"/>
          <w:sz w:val="20"/>
        </w:rPr>
        <w:t xml:space="preserve">ha (</w:t>
      </w:r>
      <m:oMath>
        <m:r>
          <m:t>30.0</m:t>
        </m:r>
        <m:r>
          <m:rPr>
            <m:sty m:val="p"/>
          </m:rPr>
          <m:t>%</m:t>
        </m:r>
      </m:oMath>
      <w:r>
        <w:rPr>
          <w:rFonts w:ascii="Times New Roman" w:hAnsi="Times New Roman" w:eastAsia="Times New Roman"/>
          <w:sz w:val="20"/>
        </w:rPr>
        <w:t xml:space="preserve">) below Attention U-Net and</w:t>
      </w:r>
      <w:r>
        <w:rPr>
          <w:rFonts w:ascii="Times New Roman" w:hAnsi="Times New Roman" w:eastAsia="Times New Roman"/>
          <w:sz w:val="20"/>
        </w:rPr>
        <w:t xml:space="preserve"> </w:t>
      </w:r>
      <m:oMath>
        <m:r>
          <m:t>132.73</m:t>
        </m:r>
      </m:oMath>
      <w:r>
        <w:rPr>
          <w:rFonts w:ascii="Times New Roman" w:hAnsi="Times New Roman" w:eastAsia="Times New Roman"/>
          <w:sz w:val="20"/>
        </w:rPr>
        <w:t xml:space="preserve"> </w:t>
      </w:r>
      <w:r>
        <w:rPr>
          <w:rFonts w:ascii="Times New Roman" w:hAnsi="Times New Roman" w:eastAsia="Times New Roman"/>
          <w:sz w:val="20"/>
        </w:rPr>
        <w:t xml:space="preserve">ha (</w:t>
      </w:r>
      <m:oMath>
        <m:r>
          <m:t>43.9</m:t>
        </m:r>
        <m:r>
          <m:rPr>
            <m:sty m:val="p"/>
          </m:rPr>
          <m:t>%</m:t>
        </m:r>
      </m:oMath>
      <w:r>
        <w:rPr>
          <w:rFonts w:ascii="Times New Roman" w:hAnsi="Times New Roman" w:eastAsia="Times New Roman"/>
          <w:sz w:val="20"/>
        </w:rPr>
        <w:t xml:space="preserve">) below SiamUNet-conc; affine physical differences are</w:t>
      </w:r>
      <w:r>
        <w:rPr>
          <w:rFonts w:ascii="Times New Roman" w:hAnsi="Times New Roman" w:eastAsia="Times New Roman"/>
          <w:sz w:val="20"/>
        </w:rPr>
        <w:t xml:space="preserve"> </w:t>
      </w:r>
      <m:oMath>
        <m:r>
          <m:t>55.63</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101.33</m:t>
        </m:r>
      </m:oMath>
      <w:r>
        <w:rPr>
          <w:rFonts w:ascii="Times New Roman" w:hAnsi="Times New Roman" w:eastAsia="Times New Roman"/>
          <w:sz w:val="20"/>
        </w:rPr>
        <w:t xml:space="preserve"> </w:t>
      </w:r>
      <w:r>
        <w:rPr>
          <w:rFonts w:ascii="Times New Roman" w:hAnsi="Times New Roman" w:eastAsia="Times New Roman"/>
          <w:sz w:val="20"/>
        </w:rPr>
        <w:t xml:space="preserve">ha. In Troms</w:t>
      </w:r>
      <w:r>
        <w:rPr>
          <w:rFonts w:ascii="Times New Roman" w:hAnsi="Times New Roman" w:eastAsia="Times New Roman"/>
          <w:sz w:val="20"/>
        </w:rPr>
        <w:t xml:space="preserve">ø</w:t>
      </w:r>
      <w:r>
        <w:rPr>
          <w:rFonts w:ascii="Times New Roman" w:hAnsi="Times New Roman" w:eastAsia="Times New Roman"/>
          <w:sz w:val="20"/>
        </w:rPr>
        <w:t xml:space="preserve">, its density is</w:t>
      </w:r>
      <w:r>
        <w:rPr>
          <w:rFonts w:ascii="Times New Roman" w:hAnsi="Times New Roman" w:eastAsia="Times New Roman"/>
          <w:sz w:val="20"/>
        </w:rPr>
        <w:t xml:space="preserve"> </w:t>
      </w:r>
      <m:oMath>
        <m:r>
          <m:t>0.38</m:t>
        </m:r>
        <m:r>
          <m:t> </m:t>
        </m:r>
        <m:sSup>
          <m:e>
            <m:r>
              <m:rPr>
                <m:nor/>
                <m:sty m:val="p"/>
              </m:rPr>
              <m:t>ha/km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and its false-alarm area exceeds Attention U-Net, so the trade-off is region dependent.</w:t>
      </w:r>
    </w:p>
    <w:p>
      <w:pPr>
        <w:numPr>
          <w:ilvl w:val="0"/>
          <w:numId w:val="1009"/>
        </w:numPr>
        <w:spacing w:after="0" w:line="240" w:lineRule="auto"/>
      </w:pPr>
      <w:r>
        <w:rPr>
          <w:rFonts w:ascii="Times New Roman" w:hAnsi="Times New Roman" w:eastAsia="Times New Roman"/>
          <w:b/>
          <w:bCs/>
          <w:sz w:val="20"/>
        </w:rPr>
        <w:t xml:space="preserve">Calibrated Corridor Proxy:</w:t>
      </w:r>
      <w:r>
        <w:rPr>
          <w:rFonts w:ascii="Times New Roman" w:hAnsi="Times New Roman" w:eastAsia="Times New Roman"/>
          <w:sz w:val="20"/>
        </w:rPr>
        <w:t xml:space="preserve"> </w:t>
      </w:r>
      <w:r>
        <w:rPr>
          <w:rFonts w:ascii="Times New Roman" w:hAnsi="Times New Roman" w:eastAsia="Times New Roman"/>
          <w:sz w:val="20"/>
        </w:rPr>
        <w:t xml:space="preserve">We fit Platt calibration and an F2-weighted component threshold only on the two validation scenes, then intersect</w:t>
      </w:r>
      <w:r>
        <w:rPr>
          <w:rFonts w:ascii="Times New Roman" w:hAnsi="Times New Roman" w:eastAsia="Times New Roman"/>
          <w:sz w:val="20"/>
        </w:rPr>
        <w:t xml:space="preserve"> </w:t>
      </w:r>
      <m:oMath>
        <m:r>
          <m:rPr>
            <m:sty m:val="p"/>
          </m:rPr>
          <m:t>≥</m:t>
        </m:r>
        <m:r>
          <m:t>0.1</m:t>
        </m:r>
      </m:oMath>
      <w:r>
        <w:rPr>
          <w:rFonts w:ascii="Times New Roman" w:hAnsi="Times New Roman" w:eastAsia="Times New Roman"/>
          <w:sz w:val="20"/>
        </w:rPr>
        <w:t xml:space="preserve"> </w:t>
      </w:r>
      <w:r>
        <w:rPr>
          <w:rFonts w:ascii="Times New Roman" w:hAnsi="Times New Roman" w:eastAsia="Times New Roman"/>
          <w:sz w:val="20"/>
        </w:rPr>
        <w:t xml:space="preserve">ha test components with a frozen OpenStreetMap major-road snapshot (30 m buffer)</w:t>
      </w:r>
      <w:r>
        <w:rPr>
          <w:rFonts w:ascii="Times New Roman" w:hAnsi="Times New Roman" w:eastAsia="Times New Roman"/>
          <w:sz w:val="20"/>
        </w:rPr>
        <w:t xml:space="preserve"> </w:t>
      </w:r>
      <w:r>
        <w:rPr>
          <w:rFonts w:ascii="Times New Roman" w:hAnsi="Times New Roman" w:eastAsia="Times New Roman"/>
          <w:sz w:val="20"/>
        </w:rPr>
        <w:t xml:space="preserve">(OpenStreetMap contributors 2026)</w:t>
      </w:r>
      <w:r>
        <w:rPr>
          <w:rFonts w:ascii="Times New Roman" w:hAnsi="Times New Roman" w:eastAsia="Times New Roman"/>
          <w:sz w:val="20"/>
        </w:rPr>
        <w:t xml:space="preserve">. In Pamir (8 road-intersecting ground-truth components), TopoRadar-Net achieves</w:t>
      </w:r>
      <w:r>
        <w:rPr>
          <w:rFonts w:ascii="Times New Roman" w:hAnsi="Times New Roman" w:eastAsia="Times New Roman"/>
          <w:sz w:val="20"/>
        </w:rPr>
        <w:t xml:space="preserve"> </w:t>
      </w:r>
      <m:oMath>
        <m:r>
          <m:t>83.0</m:t>
        </m:r>
        <m:r>
          <m:rPr>
            <m:sty m:val="p"/>
          </m:rPr>
          <m:t>%</m:t>
        </m:r>
        <m:r>
          <m:rPr>
            <m:sty m:val="p"/>
          </m:rPr>
          <m:t>±</m:t>
        </m:r>
        <m:r>
          <m:t>2.3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alert precision and</w:t>
      </w:r>
      <w:r>
        <w:rPr>
          <w:rFonts w:ascii="Times New Roman" w:hAnsi="Times New Roman" w:eastAsia="Times New Roman"/>
          <w:sz w:val="20"/>
        </w:rPr>
        <w:t xml:space="preserve"> </w:t>
      </w:r>
      <m:oMath>
        <m:r>
          <m:t>62.5</m:t>
        </m:r>
        <m:r>
          <m:rPr>
            <m:sty m:val="p"/>
          </m:rPr>
          <m:t>%</m:t>
        </m:r>
        <m:r>
          <m:rPr>
            <m:sty m:val="p"/>
          </m:rPr>
          <m:t>±</m:t>
        </m:r>
        <m:r>
          <m:t>10.2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Attention U-Net achieves</w:t>
      </w:r>
      <w:r>
        <w:rPr>
          <w:rFonts w:ascii="Times New Roman" w:hAnsi="Times New Roman" w:eastAsia="Times New Roman"/>
          <w:sz w:val="20"/>
        </w:rPr>
        <w:t xml:space="preserve"> </w:t>
      </w:r>
      <m:oMath>
        <m:r>
          <m:t>77.4</m:t>
        </m:r>
        <m:r>
          <m:rPr>
            <m:sty m:val="p"/>
          </m:rPr>
          <m:t>%</m:t>
        </m:r>
        <m:r>
          <m:rPr>
            <m:sty m:val="p"/>
          </m:rPr>
          <m:t>±</m:t>
        </m:r>
        <m:r>
          <m:t>6.1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70.8</m:t>
        </m:r>
        <m:r>
          <m:rPr>
            <m:sty m:val="p"/>
          </m:rPr>
          <m:t>%</m:t>
        </m:r>
        <m:r>
          <m:rPr>
            <m:sty m:val="p"/>
          </m:rPr>
          <m:t>±</m:t>
        </m:r>
        <m:r>
          <m:t>5.9</m:t>
        </m:r>
        <m:r>
          <m:rPr>
            <m:sty m:val="p"/>
          </m:rPr>
          <m:t>%</m:t>
        </m:r>
      </m:oMath>
      <w:r>
        <w:rPr>
          <w:rFonts w:ascii="Times New Roman" w:hAnsi="Times New Roman" w:eastAsia="Times New Roman"/>
          <w:sz w:val="20"/>
        </w:rPr>
        <w:t xml:space="preserve">. Both models miss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corridor component in all seeds. TopoRadar Brier score improves from</w:t>
      </w:r>
      <w:r>
        <w:rPr>
          <w:rFonts w:ascii="Times New Roman" w:hAnsi="Times New Roman" w:eastAsia="Times New Roman"/>
          <w:sz w:val="20"/>
        </w:rPr>
        <w:t xml:space="preserve"> </w:t>
      </w:r>
      <m:oMath>
        <m:r>
          <m:t>0.282</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0.208</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0.462</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0.198</m:t>
        </m:r>
      </m:oMath>
      <w:r>
        <w:rPr>
          <w:rFonts w:ascii="Times New Roman" w:hAnsi="Times New Roman" w:eastAsia="Times New Roman"/>
          <w:sz w:val="20"/>
        </w:rPr>
        <w:t xml:space="preserve"> </w:t>
      </w:r>
      <w:r>
        <w:rPr>
          <w:rFonts w:ascii="Times New Roman" w:hAnsi="Times New Roman" w:eastAsia="Times New Roman"/>
          <w:sz w:val="20"/>
        </w:rPr>
        <w:t xml:space="preserve">in Pamir after calibration. This post-hoc proxy falsifies automated-dispatch readiness while quantifying a bounded Pamir use case.</w:t>
      </w:r>
    </w:p>
    <w:p>
      <w:pPr>
        <w:numPr>
          <w:ilvl w:val="0"/>
          <w:numId w:val="1009"/>
        </w:numPr>
        <w:spacing w:after="0" w:line="240" w:lineRule="auto"/>
      </w:pPr>
      <w:r>
        <w:rPr>
          <w:rFonts w:ascii="Times New Roman" w:hAnsi="Times New Roman" w:eastAsia="Times New Roman"/>
          <w:b/>
          <w:bCs/>
          <w:sz w:val="20"/>
        </w:rPr>
        <w:t xml:space="preserve">Cached End-to-End Profile:</w:t>
      </w:r>
      <w:r>
        <w:rPr>
          <w:rFonts w:ascii="Times New Roman" w:hAnsi="Times New Roman" w:eastAsia="Times New Roman"/>
          <w:sz w:val="20"/>
        </w:rPr>
        <w:t xml:space="preserve"> </w:t>
      </w:r>
      <w:r>
        <w:rPr>
          <w:rFonts w:ascii="Times New Roman" w:hAnsi="Times New Roman" w:eastAsia="Times New Roman"/>
          <w:sz w:val="20"/>
        </w:rPr>
        <w:t xml:space="preserve">With the OSM snapshot cached, all measured TopoRadar-Net runs for raster loading, road-buffer rasterization, full-scene inference, calibration, connected components, and corridor intersection remain below 5 s per scene on Apple MPS. Wall-clock values vary with device warm state and are verified by bounds rather than byte identity. The profile excludes data acquisition and human review and therefore does not establish response latency or decision benefit.</w:t>
      </w:r>
    </w:p>
    <w:bookmarkEnd w:id="44"/>
    <w:bookmarkStart w:id="45" w:name="limitations-and-future-research"/>
    <w:p>
      <w:pPr>
        <w:pStyle w:val="Heading2"/>
        <w:spacing w:after="0" w:line="240" w:lineRule="auto"/>
      </w:pPr>
      <w:r>
        <w:rPr>
          <w:rFonts w:ascii="Times New Roman" w:hAnsi="Times New Roman" w:eastAsia="Times New Roman"/>
          <w:sz w:val="20"/>
        </w:rPr>
        <w:t xml:space="preserve">Limitations and Future Research</w:t>
      </w:r>
    </w:p>
    <w:p>
      <w:pPr>
        <w:pStyle w:val="FirstParagraph"/>
        <w:spacing w:after="0" w:line="240" w:lineRule="auto"/>
      </w:pPr>
      <w:r>
        <w:rPr>
          <w:rFonts w:ascii="Times New Roman" w:hAnsi="Times New Roman" w:eastAsia="Times New Roman"/>
          <w:sz w:val="20"/>
        </w:rPr>
        <w:t xml:space="preserve">Several physical and technical limitations warrant disclosure:</w:t>
      </w:r>
    </w:p>
    <w:p>
      <w:pPr>
        <w:numPr>
          <w:ilvl w:val="0"/>
          <w:numId w:val="1010"/>
        </w:numPr>
        <w:spacing w:after="0" w:line="240" w:lineRule="auto"/>
      </w:pPr>
      <w:r>
        <w:rPr>
          <w:rFonts w:ascii="Times New Roman" w:hAnsi="Times New Roman" w:eastAsia="Times New Roman"/>
          <w:b/>
          <w:bCs/>
          <w:sz w:val="20"/>
        </w:rPr>
        <w:t xml:space="preserve">Augmentation Convention:</w:t>
      </w:r>
      <w:r>
        <w:rPr>
          <w:rFonts w:ascii="Times New Roman" w:hAnsi="Times New Roman" w:eastAsia="Times New Roman"/>
          <w:sz w:val="20"/>
        </w:rPr>
        <w:t xml:space="preserve"> </w:t>
      </w:r>
      <w:r>
        <w:rPr>
          <w:rFonts w:ascii="Times New Roman" w:hAnsi="Times New Roman" w:eastAsia="Times New Roman"/>
          <w:sz w:val="20"/>
        </w:rPr>
        <w:t xml:space="preserve">The released checkpoints use the disclosed checkpoint-era convention in which aspect sine/cosine components are sign-adjusted under reflections while the precomputed orbital look-alignment channel is spatially transformed without directional recomputation; orthogonal rotations similarly preserve channel values. The resulting training tensor is not fully equivariant under these transformations. Consequently, the directional results are interpreted as empirical sensitivity rather than a causal validation of the manifold representation. A future confirmatory rerun should compare a fully equivariant augmentation against the released convention.</w:t>
      </w:r>
    </w:p>
    <w:p>
      <w:pPr>
        <w:numPr>
          <w:ilvl w:val="0"/>
          <w:numId w:val="1010"/>
        </w:numPr>
        <w:spacing w:after="0" w:line="240" w:lineRule="auto"/>
      </w:pPr>
      <w:r>
        <w:rPr>
          <w:rFonts w:ascii="Times New Roman" w:hAnsi="Times New Roman" w:eastAsia="Times New Roman"/>
          <w:b/>
          <w:bCs/>
          <w:sz w:val="20"/>
        </w:rPr>
        <w:t xml:space="preserve">Heuristic Slope Prior:</w:t>
      </w:r>
      <w:r>
        <w:rPr>
          <w:rFonts w:ascii="Times New Roman" w:hAnsi="Times New Roman" w:eastAsia="Times New Roman"/>
          <w:sz w:val="20"/>
        </w:rPr>
        <w:t xml:space="preserve"> </w:t>
      </w:r>
      <w:r>
        <w:rPr>
          <w:rFonts w:ascii="Times New Roman" w:hAnsi="Times New Roman" w:eastAsia="Times New Roman"/>
          <w:sz w:val="20"/>
        </w:rPr>
        <w:t xml:space="preserve">Geo-Loss penalizes positive predictions whenever slope is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or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including genuine mapped debris. The conflict is concentrated in one training event but is present in every split; held-out subgroup recall is lower than No-GeoLoss. Future work should compare label-aware and generic regularizers on a fresh protected cohort.</w:t>
      </w:r>
    </w:p>
    <w:p>
      <w:pPr>
        <w:numPr>
          <w:ilvl w:val="0"/>
          <w:numId w:val="1010"/>
        </w:numPr>
        <w:spacing w:after="0" w:line="240" w:lineRule="auto"/>
      </w:pPr>
      <w:r>
        <w:rPr>
          <w:rFonts w:ascii="Times New Roman" w:hAnsi="Times New Roman" w:eastAsia="Times New Roman"/>
          <w:b/>
          <w:bCs/>
          <w:sz w:val="20"/>
        </w:rPr>
        <w:t xml:space="preserve">DEM Quality and Geometric Resolution:</w:t>
      </w:r>
      <w:r>
        <w:rPr>
          <w:rFonts w:ascii="Times New Roman" w:hAnsi="Times New Roman" w:eastAsia="Times New Roman"/>
          <w:sz w:val="20"/>
        </w:rPr>
        <w:t xml:space="preserve"> </w:t>
      </w:r>
      <w:r>
        <w:rPr>
          <w:rFonts w:ascii="Times New Roman" w:hAnsi="Times New Roman" w:eastAsia="Times New Roman"/>
          <w:sz w:val="20"/>
        </w:rPr>
        <w:t xml:space="preserve">TopoRadar-Net relies on the Copernicus GLO-30 DEM. While GLO-30 provides global coverage, localized vertical errors or smoothing over sharp knife-edge ar</w:t>
      </w:r>
      <w:r>
        <w:rPr>
          <w:rFonts w:ascii="Times New Roman" w:hAnsi="Times New Roman" w:eastAsia="Times New Roman"/>
          <w:sz w:val="20"/>
        </w:rPr>
        <w:t xml:space="preserve">ê</w:t>
      </w:r>
      <w:r>
        <w:rPr>
          <w:rFonts w:ascii="Times New Roman" w:hAnsi="Times New Roman" w:eastAsia="Times New Roman"/>
          <w:sz w:val="20"/>
        </w:rPr>
        <w:t xml:space="preserve">tes can propagate inaccuracies into the local incidence angle calculation. In regions with available high-resolution airborne LiDAR or stereo-photogrammetric DEMs (1–5 m), topographic conditioning can be further refined.</w:t>
      </w:r>
    </w:p>
    <w:p>
      <w:pPr>
        <w:numPr>
          <w:ilvl w:val="0"/>
          <w:numId w:val="1010"/>
        </w:numPr>
        <w:spacing w:after="0" w:line="240" w:lineRule="auto"/>
      </w:pPr>
      <w:r>
        <w:rPr>
          <w:rFonts w:ascii="Times New Roman" w:hAnsi="Times New Roman" w:eastAsia="Times New Roman"/>
          <w:b/>
          <w:bCs/>
          <w:sz w:val="20"/>
        </w:rPr>
        <w:t xml:space="preserve">Dielectric Attenuation in Wet Snow Cycles:</w:t>
      </w:r>
      <w:r>
        <w:rPr>
          <w:rFonts w:ascii="Times New Roman" w:hAnsi="Times New Roman" w:eastAsia="Times New Roman"/>
          <w:sz w:val="20"/>
        </w:rPr>
        <w:t xml:space="preserve"> </w:t>
      </w:r>
      <w:r>
        <w:rPr>
          <w:rFonts w:ascii="Times New Roman" w:hAnsi="Times New Roman" w:eastAsia="Times New Roman"/>
          <w:sz w:val="20"/>
        </w:rPr>
        <w:t xml:space="preserve">Liquid water changes microwave permittivity and can reduce C-band contrast during rain-on-snow events or warm spells. Bitemporal differencing may therefore mask debris or create broad absorption anomalies. Future work should integrate multi-temporal radiometry or polarimetric decomposition parameters.</w:t>
      </w:r>
    </w:p>
    <w:p>
      <w:pPr>
        <w:numPr>
          <w:ilvl w:val="0"/>
          <w:numId w:val="1010"/>
        </w:numPr>
        <w:spacing w:after="0" w:line="240" w:lineRule="auto"/>
      </w:pPr>
      <w:r>
        <w:rPr>
          <w:rFonts w:ascii="Times New Roman" w:hAnsi="Times New Roman" w:eastAsia="Times New Roman"/>
          <w:b/>
          <w:bCs/>
          <w:sz w:val="20"/>
        </w:rPr>
        <w:t xml:space="preserve">Temporal Revisit Constraints:</w:t>
      </w:r>
      <w:r>
        <w:rPr>
          <w:rFonts w:ascii="Times New Roman" w:hAnsi="Times New Roman" w:eastAsia="Times New Roman"/>
          <w:sz w:val="20"/>
        </w:rPr>
        <w:t xml:space="preserve"> </w:t>
      </w:r>
      <w:r>
        <w:rPr>
          <w:rFonts w:ascii="Times New Roman" w:hAnsi="Times New Roman" w:eastAsia="Times New Roman"/>
          <w:sz w:val="20"/>
        </w:rPr>
        <w:t xml:space="preserve">A several-day repeat interval can aggregate multiple releases into one composite deposit. Sentinel-1C and Sentinel-1D launched on 5 December 2024 and 4 November 2025, respectively</w:t>
      </w:r>
      <w:r>
        <w:rPr>
          <w:rFonts w:ascii="Times New Roman" w:hAnsi="Times New Roman" w:eastAsia="Times New Roman"/>
          <w:sz w:val="20"/>
        </w:rPr>
        <w:t xml:space="preserve"> </w:t>
      </w:r>
      <w:r>
        <w:rPr>
          <w:rFonts w:ascii="Times New Roman" w:hAnsi="Times New Roman" w:eastAsia="Times New Roman"/>
          <w:sz w:val="20"/>
        </w:rPr>
        <w:t xml:space="preserve">(European Space Agency 2026)</w:t>
      </w:r>
      <w:r>
        <w:rPr>
          <w:rFonts w:ascii="Times New Roman" w:hAnsi="Times New Roman" w:eastAsia="Times New Roman"/>
          <w:sz w:val="20"/>
        </w:rPr>
        <w:t xml:space="preserve">; the expanded constellation improves continuity but does not remove acquisition-latency or event-timing ambiguity.</w:t>
      </w:r>
    </w:p>
    <w:p>
      <w:pPr>
        <w:numPr>
          <w:ilvl w:val="0"/>
          <w:numId w:val="1010"/>
        </w:numPr>
        <w:spacing w:after="0" w:line="240" w:lineRule="auto"/>
      </w:pPr>
      <w:r>
        <w:rPr>
          <w:rFonts w:ascii="Times New Roman" w:hAnsi="Times New Roman" w:eastAsia="Times New Roman"/>
          <w:b/>
          <w:bCs/>
          <w:sz w:val="20"/>
        </w:rPr>
        <w:t xml:space="preserve">Operational Proxy, Not Stakeholder Validation:</w:t>
      </w:r>
      <w:r>
        <w:rPr>
          <w:rFonts w:ascii="Times New Roman" w:hAnsi="Times New Roman" w:eastAsia="Times New Roman"/>
          <w:sz w:val="20"/>
        </w:rPr>
        <w:t xml:space="preserve"> </w:t>
      </w:r>
      <w:r>
        <w:rPr>
          <w:rFonts w:ascii="Times New Roman" w:hAnsi="Times New Roman" w:eastAsia="Times New Roman"/>
          <w:sz w:val="20"/>
        </w:rPr>
        <w:t xml:space="preserve">The calibrated corridor analysis uses a committed OpenStreetMap snapshot and retrospective labels. It measures component calibration, route proximity, and cached processing time, not dispatch quality, road closure decisions, or stakeholder benefit.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miss and the small number of corridor-intersecting avalanches preclude deployment claims.</w:t>
      </w:r>
    </w:p>
    <w:bookmarkEnd w:id="45"/>
    <w:bookmarkEnd w:id="46"/>
    <w:bookmarkStart w:id="47" w:name="conclusion"/>
    <w:p>
      <w:pPr>
        <w:pStyle w:val="Heading1"/>
        <w:spacing w:after="0" w:line="240" w:lineRule="auto"/>
      </w:pPr>
      <w:r>
        <w:rPr>
          <w:rFonts w:ascii="Times New Roman" w:hAnsi="Times New Roman" w:eastAsia="Times New Roman"/>
          <w:sz w:val="20"/>
        </w:rPr>
        <w:t xml:space="preserve">Conclusion</w:t>
      </w:r>
    </w:p>
    <w:p>
      <w:pPr>
        <w:pStyle w:val="FirstParagraph"/>
        <w:spacing w:after="0" w:line="240" w:lineRule="auto"/>
      </w:pPr>
      <w:r>
        <w:rPr>
          <w:rFonts w:ascii="Times New Roman" w:hAnsi="Times New Roman" w:eastAsia="Times New Roman"/>
          <w:sz w:val="20"/>
        </w:rPr>
        <w:t xml:space="preserve">Automated mapping of snow avalanche debris in steep alpine terrain is a vital capability for mountain natural hazard risk reduction and emergency response. In this study, we addressed severe topographic-radar distortion in spaceborne Sentinel-1 C-band SAR change detection with</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which combines multi-scale Radar-Topographic Cross-Attention Blocks (RTCAB) and a heuristic geomorphic slope-prior loss (Geo-Loss).</w:t>
      </w:r>
    </w:p>
    <w:p>
      <w:pPr>
        <w:pStyle w:val="BodyText"/>
        <w:spacing w:after="0" w:line="240" w:lineRule="auto"/>
      </w:pPr>
      <w:r>
        <w:rPr>
          <w:rFonts w:ascii="Times New Roman" w:hAnsi="Times New Roman" w:eastAsia="Times New Roman"/>
          <w:sz w:val="20"/>
        </w:rPr>
        <w:t xml:space="preserve">Our key scientific and methodological findings include:</w:t>
      </w:r>
    </w:p>
    <w:p>
      <w:pPr>
        <w:numPr>
          <w:ilvl w:val="0"/>
          <w:numId w:val="1011"/>
        </w:numPr>
        <w:spacing w:after="0" w:line="240" w:lineRule="auto"/>
      </w:pPr>
      <w:r>
        <w:rPr>
          <w:rFonts w:ascii="Times New Roman" w:hAnsi="Times New Roman" w:eastAsia="Times New Roman"/>
          <w:b/>
          <w:bCs/>
          <w:sz w:val="20"/>
        </w:rPr>
        <w:t xml:space="preserve">Theoretical Formulation of 2D Convolutional Inadequacy in Mountain SAR:</w:t>
      </w:r>
      <w:r>
        <w:rPr>
          <w:rFonts w:ascii="Times New Roman" w:hAnsi="Times New Roman" w:eastAsia="Times New Roman"/>
          <w:sz w:val="20"/>
        </w:rPr>
        <w:t xml:space="preserve"> </w:t>
      </w:r>
      <w:r>
        <w:rPr>
          <w:rFonts w:ascii="Times New Roman" w:hAnsi="Times New Roman" w:eastAsia="Times New Roman"/>
          <w:sz w:val="20"/>
        </w:rPr>
        <w:t xml:space="preserve">We formulated (Proposition 2) the geometric limitations of shift-invariant 2D spatial linear convolutions across sloped mountain facets, showing that projecting terrain into a continuous 4D aspect-look manifold (</w:t>
      </w:r>
      <m:oMath>
        <m:r>
          <m:rPr>
            <m:scr m:val="script"/>
            <m:sty m:val="p"/>
          </m:rPr>
          <m:t>M</m:t>
        </m:r>
      </m:oMath>
      <w:r>
        <w:rPr>
          <w:rFonts w:ascii="Times New Roman" w:hAnsi="Times New Roman" w:eastAsia="Times New Roman"/>
          <w:sz w:val="20"/>
        </w:rPr>
        <w:t xml:space="preserve">) provides continuous coordinates to condition feature representations without angular branch-cuts.</w:t>
      </w:r>
    </w:p>
    <w:p>
      <w:pPr>
        <w:numPr>
          <w:ilvl w:val="0"/>
          <w:numId w:val="1011"/>
        </w:numPr>
        <w:spacing w:after="0" w:line="240" w:lineRule="auto"/>
      </w:pPr>
      <w:r>
        <w:rPr>
          <w:rFonts w:ascii="Times New Roman" w:hAnsi="Times New Roman" w:eastAsia="Times New Roman"/>
          <w:b/>
          <w:bCs/>
          <w:sz w:val="20"/>
        </w:rPr>
        <w:t xml:space="preserve">Physics-Guided Cross-Attention Sensitivity:</w:t>
      </w:r>
      <w:r>
        <w:rPr>
          <w:rFonts w:ascii="Times New Roman" w:hAnsi="Times New Roman" w:eastAsia="Times New Roman"/>
          <w:sz w:val="20"/>
        </w:rPr>
        <w:t xml:space="preserve"> </w:t>
      </w:r>
      <w:r>
        <w:rPr>
          <w:rFonts w:ascii="Times New Roman" w:hAnsi="Times New Roman" w:eastAsia="Times New Roman"/>
          <w:sz w:val="20"/>
        </w:rPr>
        <w:t xml:space="preserve">TopoRadar-Net conditions SAR change representations on directional aspect-look alignment (</w:t>
      </w:r>
      <m:oMath>
        <m:sSub>
          <m:e>
            <m:r>
              <m:t>θ</m:t>
            </m:r>
          </m:e>
          <m:sub>
            <m:r>
              <m:rPr>
                <m:nor/>
                <m:sty m:val="p"/>
              </m:rPr>
              <m:t>align</m:t>
            </m:r>
          </m:sub>
        </m:sSub>
      </m:oMath>
      <w:r>
        <w:rPr>
          <w:rFonts w:ascii="Times New Roman" w:hAnsi="Times New Roman" w:eastAsia="Times New Roman"/>
          <w:sz w:val="20"/>
        </w:rPr>
        <w:t xml:space="preserve">) and local incidence angle (</w:t>
      </w:r>
      <m:oMath>
        <m:r>
          <m:t>ψ</m:t>
        </m:r>
      </m:oMath>
      <w:r>
        <w:rPr>
          <w:rFonts w:ascii="Times New Roman" w:hAnsi="Times New Roman" w:eastAsia="Times New Roman"/>
          <w:sz w:val="20"/>
        </w:rPr>
        <w:t xml:space="preserve">). Component-removal and stratum analyses quantify sensitivity to these inputs, but do not isolate a causal internal suppression or amplification mechanism.</w:t>
      </w:r>
    </w:p>
    <w:p>
      <w:pPr>
        <w:numPr>
          <w:ilvl w:val="0"/>
          <w:numId w:val="1011"/>
        </w:numPr>
        <w:spacing w:after="0" w:line="240" w:lineRule="auto"/>
      </w:pPr>
      <w:r>
        <w:rPr>
          <w:rFonts w:ascii="Times New Roman" w:hAnsi="Times New Roman" w:eastAsia="Times New Roman"/>
          <w:b/>
          <w:bCs/>
          <w:sz w:val="20"/>
        </w:rPr>
        <w:t xml:space="preserve">Geomorphic Prior Trade-off:</w:t>
      </w:r>
      <w:r>
        <w:rPr>
          <w:rFonts w:ascii="Times New Roman" w:hAnsi="Times New Roman" w:eastAsia="Times New Roman"/>
          <w:sz w:val="20"/>
        </w:rPr>
        <w:t xml:space="preserve"> </w:t>
      </w:r>
      <w:r>
        <w:rPr>
          <w:rFonts w:ascii="Times New Roman" w:hAnsi="Times New Roman" w:eastAsia="Times New Roman"/>
          <w:sz w:val="20"/>
        </w:rPr>
        <w:t xml:space="preserve">Removing the heuristic slope prior produces a</w:t>
      </w:r>
      <w:r>
        <w:rPr>
          <w:rFonts w:ascii="Times New Roman" w:hAnsi="Times New Roman" w:eastAsia="Times New Roman"/>
          <w:sz w:val="20"/>
        </w:rPr>
        <w:t xml:space="preserve"> </w:t>
      </w:r>
      <m:oMath>
        <m:r>
          <m:rPr>
            <m:sty m:val="p"/>
          </m:rPr>
          <m:t>−</m:t>
        </m:r>
        <m:r>
          <m:t>3.16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Seed-42 paired-cluster F1 difference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0.002</m:t>
        </m:r>
      </m:oMath>
      <w:r>
        <w:rPr>
          <w:rFonts w:ascii="Times New Roman" w:hAnsi="Times New Roman" w:eastAsia="Times New Roman"/>
          <w:sz w:val="20"/>
        </w:rPr>
        <w:t xml:space="preserve">), but raises three-seed positive recall inside the penalty mask from</w:t>
      </w:r>
      <w:r>
        <w:rPr>
          <w:rFonts w:ascii="Times New Roman" w:hAnsi="Times New Roman" w:eastAsia="Times New Roman"/>
          <w:sz w:val="20"/>
        </w:rPr>
        <w:t xml:space="preserve"> </w:t>
      </w:r>
      <m:oMath>
        <m:r>
          <m:t>50.47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71.29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from</w:t>
      </w:r>
      <w:r>
        <w:rPr>
          <w:rFonts w:ascii="Times New Roman" w:hAnsi="Times New Roman" w:eastAsia="Times New Roman"/>
          <w:sz w:val="20"/>
        </w:rPr>
        <w:t xml:space="preserve"> </w:t>
      </w:r>
      <m:oMath>
        <m:r>
          <m:t>1.08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6.45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Because 18.47% of training positives fall inside the mask, the term is not interpreted as a physical-admissibility mechanism.</w:t>
      </w:r>
    </w:p>
    <w:p>
      <w:pPr>
        <w:numPr>
          <w:ilvl w:val="0"/>
          <w:numId w:val="1011"/>
        </w:numPr>
        <w:spacing w:after="0" w:line="240" w:lineRule="auto"/>
      </w:pPr>
      <w:r>
        <w:rPr>
          <w:rFonts w:ascii="Times New Roman" w:hAnsi="Times New Roman" w:eastAsia="Times New Roman"/>
          <w:b/>
          <w:bCs/>
          <w:sz w:val="20"/>
        </w:rPr>
        <w:t xml:space="preserve">Cross-System Generalization and Stratification Findings:</w:t>
      </w:r>
      <w:r>
        <w:rPr>
          <w:rFonts w:ascii="Times New Roman" w:hAnsi="Times New Roman" w:eastAsia="Times New Roman"/>
          <w:sz w:val="20"/>
        </w:rPr>
        <w:t xml:space="preserve"> </w:t>
      </w:r>
      <w:r>
        <w:rPr>
          <w:rFonts w:ascii="Times New Roman" w:hAnsi="Times New Roman" w:eastAsia="Times New Roman"/>
          <w:sz w:val="20"/>
        </w:rPr>
        <w:t xml:space="preserve">Across the AvalCD benchmark spanning four global mountain systems, TopoRadar-Net achieves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pooled macro F1, compared with Attention U-Net (</w:t>
      </w:r>
      <m:oMath>
        <m:r>
          <m:t>63.41</m:t>
        </m:r>
        <m:r>
          <m:rPr>
            <m:sty m:val="p"/>
          </m:rPr>
          <m:t>%</m:t>
        </m:r>
      </m:oMath>
      <w:r>
        <w:rPr>
          <w:rFonts w:ascii="Times New Roman" w:hAnsi="Times New Roman" w:eastAsia="Times New Roman"/>
          <w:sz w:val="20"/>
        </w:rPr>
        <w:t xml:space="preserve">), SiamUNet-conc (</w:t>
      </w:r>
      <m:oMath>
        <m:r>
          <m:t>63.13</m:t>
        </m:r>
        <m:r>
          <m:rPr>
            <m:sty m:val="p"/>
          </m:rPr>
          <m:t>%</m:t>
        </m:r>
      </m:oMath>
      <w:r>
        <w:rPr>
          <w:rFonts w:ascii="Times New Roman" w:hAnsi="Times New Roman" w:eastAsia="Times New Roman"/>
          <w:sz w:val="20"/>
        </w:rPr>
        <w:t xml:space="preserve">), ResU-Net (</w:t>
      </w:r>
      <m:oMath>
        <m:r>
          <m:t>62.92</m:t>
        </m:r>
        <m:r>
          <m:rPr>
            <m:sty m:val="p"/>
          </m:rPr>
          <m:t>%</m:t>
        </m:r>
      </m:oMath>
      <w:r>
        <w:rPr>
          <w:rFonts w:ascii="Times New Roman" w:hAnsi="Times New Roman" w:eastAsia="Times New Roman"/>
          <w:sz w:val="20"/>
        </w:rPr>
        <w:t xml:space="preserve">), and SiamUNet-diff (</w:t>
      </w:r>
      <m:oMath>
        <m:r>
          <m:t>54.87</m:t>
        </m:r>
        <m:r>
          <m:rPr>
            <m:sty m:val="p"/>
          </m:rPr>
          <m:t>%</m:t>
        </m:r>
      </m:oMath>
      <w:r>
        <w:rPr>
          <w:rFonts w:ascii="Times New Roman" w:hAnsi="Times New Roman" w:eastAsia="Times New Roman"/>
          <w:sz w:val="20"/>
        </w:rPr>
        <w:t xml:space="preserve">). The three-seed gain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while comparisons with competitive baselines indicate parity (</w:t>
      </w:r>
      <m:oMath>
        <m:r>
          <m:t>p</m:t>
        </m:r>
        <m:r>
          <m:rPr>
            <m:sty m:val="p"/>
          </m:rPr>
          <m:t>=</m:t>
        </m:r>
        <m:r>
          <m:t>0.869</m:t>
        </m:r>
      </m:oMath>
      <w:r>
        <w:rPr>
          <w:rFonts w:ascii="Times New Roman" w:hAnsi="Times New Roman" w:eastAsia="Times New Roman"/>
          <w:sz w:val="20"/>
        </w:rPr>
        <w:t xml:space="preserve"> </w:t>
      </w:r>
      <w:r>
        <w:rPr>
          <w:rFonts w:ascii="Times New Roman" w:hAnsi="Times New Roman" w:eastAsia="Times New Roman"/>
          <w:sz w:val="20"/>
        </w:rPr>
        <w:t xml:space="preserve">vs Attention U-Net;</w:t>
      </w:r>
      <w:r>
        <w:rPr>
          <w:rFonts w:ascii="Times New Roman" w:hAnsi="Times New Roman" w:eastAsia="Times New Roman"/>
          <w:sz w:val="20"/>
        </w:rPr>
        <w:t xml:space="preserve"> </w:t>
      </w:r>
      <m:oMath>
        <m:r>
          <m:t>p</m:t>
        </m:r>
        <m:r>
          <m:rPr>
            <m:sty m:val="p"/>
          </m:rPr>
          <m:t>=</m:t>
        </m:r>
        <m:r>
          <m:t>0.459</m:t>
        </m:r>
      </m:oMath>
      <w:r>
        <w:rPr>
          <w:rFonts w:ascii="Times New Roman" w:hAnsi="Times New Roman" w:eastAsia="Times New Roman"/>
          <w:sz w:val="20"/>
        </w:rPr>
        <w:t xml:space="preserve"> </w:t>
      </w:r>
      <w:r>
        <w:rPr>
          <w:rFonts w:ascii="Times New Roman" w:hAnsi="Times New Roman" w:eastAsia="Times New Roman"/>
          <w:sz w:val="20"/>
        </w:rPr>
        <w:t xml:space="preserve">vs ResU-Net). Seed-42 backslope differences do not remain stable across seeds: the mean differences are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w:t>
      </w:r>
    </w:p>
    <w:p>
      <w:pPr>
        <w:numPr>
          <w:ilvl w:val="0"/>
          <w:numId w:val="1011"/>
        </w:numPr>
        <w:spacing w:after="0" w:line="240" w:lineRule="auto"/>
      </w:pPr>
      <w:r>
        <w:rPr>
          <w:rFonts w:ascii="Times New Roman" w:hAnsi="Times New Roman" w:eastAsia="Times New Roman"/>
          <w:b/>
          <w:bCs/>
          <w:sz w:val="20"/>
        </w:rPr>
        <w:t xml:space="preserve">Operational Proxy and Failure Boundary:</w:t>
      </w:r>
      <w:r>
        <w:rPr>
          <w:rFonts w:ascii="Times New Roman" w:hAnsi="Times New Roman" w:eastAsia="Times New Roman"/>
          <w:sz w:val="20"/>
        </w:rPr>
        <w:t xml:space="preserve"> </w:t>
      </w:r>
      <w:r>
        <w:rPr>
          <w:rFonts w:ascii="Times New Roman" w:hAnsi="Times New Roman" w:eastAsia="Times New Roman"/>
          <w:sz w:val="20"/>
        </w:rPr>
        <w:t xml:space="preserve">Validation-calibrated road-corridor alerts achieve</w:t>
      </w:r>
      <w:r>
        <w:rPr>
          <w:rFonts w:ascii="Times New Roman" w:hAnsi="Times New Roman" w:eastAsia="Times New Roman"/>
          <w:sz w:val="20"/>
        </w:rPr>
        <w:t xml:space="preserve"> </w:t>
      </w:r>
      <m:oMath>
        <m:r>
          <m:t>83.0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and</w:t>
      </w:r>
      <w:r>
        <w:rPr>
          <w:rFonts w:ascii="Times New Roman" w:hAnsi="Times New Roman" w:eastAsia="Times New Roman"/>
          <w:sz w:val="20"/>
        </w:rPr>
        <w:t xml:space="preserve"> </w:t>
      </w:r>
      <m:oMath>
        <m:r>
          <m:t>62.5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in Pamir, with all cached TopoRadar scene runs below 5 s, but miss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corridor avalanche in all seeds. This retrospective proxy quantifies practical behavior while explicitly rejecting automated-dispatch readiness.</w:t>
      </w:r>
    </w:p>
    <w:p>
      <w:pPr>
        <w:pStyle w:val="FirstParagraph"/>
        <w:spacing w:after="0" w:line="240" w:lineRule="auto"/>
      </w:pPr>
      <w:r>
        <w:rPr>
          <w:rFonts w:ascii="Times New Roman" w:hAnsi="Times New Roman" w:eastAsia="Times New Roman"/>
          <w:sz w:val="20"/>
        </w:rPr>
        <w:t xml:space="preserve">TopoRadar-Net provides an evaluated all-weather remote-sensing approach for avalanche-debris mapping while explicitly delimiting non-significant competitive-baseline differences, regional failure modes, non-equivariant checkpoint-era augmentation, and the conceptual status of operational triage.</w:t>
      </w:r>
    </w:p>
    <w:bookmarkEnd w:id="47"/>
    <w:bookmarkStart w:id="105" w:name="declarations"/>
    <w:p>
      <w:pPr>
        <w:pStyle w:val="Heading1"/>
        <w:spacing w:after="0" w:line="240" w:lineRule="auto"/>
      </w:pPr>
      <w:r>
        <w:rPr>
          <w:rFonts w:ascii="Times New Roman" w:hAnsi="Times New Roman" w:eastAsia="Times New Roman"/>
          <w:sz w:val="20"/>
        </w:rPr>
        <w:t xml:space="preserve">Declarations</w:t>
      </w:r>
    </w:p>
    <w:p>
      <w:pPr>
        <w:pStyle w:val="FirstParagraph"/>
        <w:spacing w:after="0" w:line="240" w:lineRule="auto"/>
      </w:pPr>
      <w:r>
        <w:rPr>
          <w:rFonts w:ascii="Times New Roman" w:hAnsi="Times New Roman" w:eastAsia="Times New Roman"/>
          <w:b/>
          <w:bCs/>
          <w:sz w:val="20"/>
        </w:rPr>
        <w:t xml:space="preserve">Ethical Approval and Consent:</w:t>
      </w:r>
      <w:r>
        <w:rPr>
          <w:rFonts w:ascii="Times New Roman" w:hAnsi="Times New Roman" w:eastAsia="Times New Roman"/>
          <w:sz w:val="20"/>
        </w:rPr>
        <w:t xml:space="preserve"> </w:t>
      </w:r>
      <w:r>
        <w:rPr>
          <w:rFonts w:ascii="Times New Roman" w:hAnsi="Times New Roman" w:eastAsia="Times New Roman"/>
          <w:sz w:val="20"/>
        </w:rPr>
        <w:t xml:space="preserve">Not applicable.</w:t>
      </w:r>
      <w:r>
        <w:rPr>
          <w:rFonts w:ascii="Times New Roman" w:hAnsi="Times New Roman" w:eastAsia="Times New Roman"/>
          <w:sz w:val="20"/>
        </w:rPr>
        <w:t xml:space="preserve"> </w:t>
      </w:r>
      <w:r>
        <w:rPr>
          <w:rFonts w:ascii="Times New Roman" w:hAnsi="Times New Roman" w:eastAsia="Times New Roman"/>
          <w:b/>
          <w:bCs/>
          <w:sz w:val="20"/>
        </w:rPr>
        <w:t xml:space="preserve">Consent for Publication:</w:t>
      </w:r>
      <w:r>
        <w:rPr>
          <w:rFonts w:ascii="Times New Roman" w:hAnsi="Times New Roman" w:eastAsia="Times New Roman"/>
          <w:sz w:val="20"/>
        </w:rPr>
        <w:t xml:space="preserve"> </w:t>
      </w:r>
      <w:r>
        <w:rPr>
          <w:rFonts w:ascii="Times New Roman" w:hAnsi="Times New Roman" w:eastAsia="Times New Roman"/>
          <w:sz w:val="20"/>
        </w:rPr>
        <w:t xml:space="preserve">Not applicable.</w:t>
      </w:r>
      <w:r>
        <w:rPr>
          <w:rFonts w:ascii="Times New Roman" w:hAnsi="Times New Roman" w:eastAsia="Times New Roman"/>
          <w:sz w:val="20"/>
        </w:rPr>
        <w:t xml:space="preserve"> </w:t>
      </w:r>
      <w:r>
        <w:rPr>
          <w:rFonts w:ascii="Times New Roman" w:hAnsi="Times New Roman" w:eastAsia="Times New Roman"/>
          <w:b/>
          <w:bCs/>
          <w:sz w:val="20"/>
        </w:rPr>
        <w:t xml:space="preserve">Funding:</w:t>
      </w:r>
      <w:r>
        <w:rPr>
          <w:rFonts w:ascii="Times New Roman" w:hAnsi="Times New Roman" w:eastAsia="Times New Roman"/>
          <w:sz w:val="20"/>
        </w:rPr>
        <w:t xml:space="preserve"> </w:t>
      </w:r>
      <w:r>
        <w:rPr>
          <w:rFonts w:ascii="Times New Roman" w:hAnsi="Times New Roman" w:eastAsia="Times New Roman"/>
          <w:sz w:val="20"/>
        </w:rPr>
        <w:t xml:space="preserve">No external grant funding was received.</w:t>
      </w:r>
      <w:r>
        <w:rPr>
          <w:rFonts w:ascii="Times New Roman" w:hAnsi="Times New Roman" w:eastAsia="Times New Roman"/>
          <w:sz w:val="20"/>
        </w:rPr>
        <w:t xml:space="preserve"> </w:t>
      </w:r>
      <w:r>
        <w:rPr>
          <w:rFonts w:ascii="Times New Roman" w:hAnsi="Times New Roman" w:eastAsia="Times New Roman"/>
          <w:b/>
          <w:bCs/>
          <w:sz w:val="20"/>
        </w:rPr>
        <w:t xml:space="preserve">Competing Interests:</w:t>
      </w:r>
      <w:r>
        <w:rPr>
          <w:rFonts w:ascii="Times New Roman" w:hAnsi="Times New Roman" w:eastAsia="Times New Roman"/>
          <w:sz w:val="20"/>
        </w:rPr>
        <w:t xml:space="preserve"> </w:t>
      </w:r>
      <w:r>
        <w:rPr>
          <w:rFonts w:ascii="Times New Roman" w:hAnsi="Times New Roman" w:eastAsia="Times New Roman"/>
          <w:sz w:val="20"/>
        </w:rPr>
        <w:t xml:space="preserve">The authors declare no competing financial or non-financial interests.</w:t>
      </w:r>
    </w:p>
    <w:p>
      <w:pPr>
        <w:pStyle w:val="BodyText"/>
        <w:spacing w:after="0" w:line="240" w:lineRule="auto"/>
      </w:pPr>
      <w:r>
        <w:rPr>
          <w:rFonts w:ascii="Times New Roman" w:hAnsi="Times New Roman" w:eastAsia="Times New Roman"/>
          <w:b/>
          <w:bCs/>
          <w:sz w:val="20"/>
        </w:rPr>
        <w:t xml:space="preserve">Availability of Data and Materials:</w:t>
      </w:r>
      <w:r>
        <w:rPr>
          <w:rFonts w:ascii="Times New Roman" w:hAnsi="Times New Roman" w:eastAsia="Times New Roman"/>
          <w:sz w:val="20"/>
        </w:rPr>
        <w:t xml:space="preserve"> </w:t>
      </w:r>
      <w:r>
        <w:rPr>
          <w:rFonts w:ascii="Times New Roman" w:hAnsi="Times New Roman" w:eastAsia="Times New Roman"/>
          <w:sz w:val="20"/>
        </w:rPr>
        <w:t xml:space="preserve">The open-access AvalCD benchmark is deposited on Zenodo. Sentinel-1 SAR and Copernicus DEMs are provided under Copernicus Open Access. Persistent links are withheld for double-blind review.</w:t>
      </w:r>
    </w:p>
    <w:p>
      <w:pPr>
        <w:pStyle w:val="BodyText"/>
        <w:spacing w:after="0" w:line="240" w:lineRule="auto"/>
      </w:pPr>
      <w:r>
        <w:rPr>
          <w:rFonts w:ascii="Times New Roman" w:hAnsi="Times New Roman" w:eastAsia="Times New Roman"/>
          <w:b/>
          <w:bCs/>
          <w:sz w:val="20"/>
        </w:rPr>
        <w:t xml:space="preserve">Code Availability:</w:t>
      </w:r>
      <w:r>
        <w:rPr>
          <w:rFonts w:ascii="Times New Roman" w:hAnsi="Times New Roman" w:eastAsia="Times New Roman"/>
          <w:sz w:val="20"/>
        </w:rPr>
        <w:t xml:space="preserve"> </w:t>
      </w:r>
      <w:r>
        <w:rPr>
          <w:rFonts w:ascii="Times New Roman" w:hAnsi="Times New Roman" w:eastAsia="Times New Roman"/>
          <w:sz w:val="20"/>
        </w:rPr>
        <w:t xml:space="preserve">All model architectures, training protocols, and verification suites supporting this study are available in an open-access repository; the URL is withheld for double-blind review.</w:t>
      </w:r>
    </w:p>
    <w:p>
      <w:pPr>
        <w:pStyle w:val="BodyText"/>
        <w:spacing w:after="0" w:line="240" w:lineRule="auto"/>
      </w:pPr>
      <w:r>
        <w:rPr>
          <w:rFonts w:ascii="Times New Roman" w:hAnsi="Times New Roman" w:eastAsia="Times New Roman"/>
          <w:b/>
          <w:bCs/>
          <w:sz w:val="20"/>
        </w:rPr>
        <w:t xml:space="preserve">Use of Artificial Intelligence:</w:t>
      </w:r>
      <w:r>
        <w:rPr>
          <w:rFonts w:ascii="Times New Roman" w:hAnsi="Times New Roman" w:eastAsia="Times New Roman"/>
          <w:sz w:val="20"/>
        </w:rPr>
        <w:t xml:space="preserve"> </w:t>
      </w:r>
      <w:r>
        <w:rPr>
          <w:rFonts w:ascii="Times New Roman" w:hAnsi="Times New Roman" w:eastAsia="Times New Roman"/>
          <w:sz w:val="20"/>
        </w:rPr>
        <w:t xml:space="preserve">AI-assisted technologies were used solely for language editing and code formatting. All scientific conceptualizations, formulations, and results were executed and approved by the authors.</w:t>
      </w:r>
    </w:p>
    <w:p>
      <w:pPr>
        <w:pStyle w:val="BodyText"/>
        <w:spacing w:after="0" w:line="240" w:lineRule="auto"/>
      </w:pPr>
      <w:r>
        <w:rPr>
          <w:rFonts w:ascii="Times New Roman" w:hAnsi="Times New Roman" w:eastAsia="Times New Roman"/>
          <w:b/>
          <w:bCs/>
          <w:sz w:val="20"/>
        </w:rPr>
        <w:t xml:space="preserve">Authors’ Contributions:</w:t>
      </w:r>
      <w:r>
        <w:rPr>
          <w:rFonts w:ascii="Times New Roman" w:hAnsi="Times New Roman" w:eastAsia="Times New Roman"/>
          <w:sz w:val="20"/>
        </w:rPr>
        <w:t xml:space="preserve"> </w:t>
      </w:r>
      <w:r>
        <w:rPr>
          <w:rFonts w:ascii="Times New Roman" w:hAnsi="Times New Roman" w:eastAsia="Times New Roman"/>
          <w:sz w:val="20"/>
        </w:rPr>
        <w:t xml:space="preserve">Author details are withheld for double-blind review and will be provided in camera-ready. All authors approved the final manuscript.</w:t>
      </w:r>
    </w:p>
    <w:bookmarkStart w:id="104" w:name="refs"/>
    <w:bookmarkStart w:id="49" w:name="ref-bandara2022transformer"/>
    <w:p>
      <w:pPr>
        <w:pStyle w:val="Bibliography"/>
        <w:spacing w:after="0" w:line="240" w:lineRule="auto"/>
      </w:pPr>
      <w:r>
        <w:rPr>
          <w:rFonts w:ascii="Times New Roman" w:hAnsi="Times New Roman" w:eastAsia="Times New Roman"/>
          <w:sz w:val="20"/>
        </w:rPr>
        <w:t xml:space="preserve">Bandara, Wele Gedara Chaminda, and Vishal M. Patel. 2022.</w:t>
      </w:r>
      <w:r>
        <w:rPr>
          <w:rFonts w:ascii="Times New Roman" w:hAnsi="Times New Roman" w:eastAsia="Times New Roman"/>
          <w:sz w:val="20"/>
        </w:rPr>
        <w:t xml:space="preserve"> </w:t>
      </w:r>
      <w:r>
        <w:rPr>
          <w:rFonts w:ascii="Times New Roman" w:hAnsi="Times New Roman" w:eastAsia="Times New Roman"/>
          <w:sz w:val="20"/>
        </w:rPr>
        <w:t xml:space="preserve">“A Transformer-Based Siamese Network for Change Detection.”</w:t>
      </w:r>
      <w:r>
        <w:rPr>
          <w:rFonts w:ascii="Times New Roman" w:hAnsi="Times New Roman" w:eastAsia="Times New Roman"/>
          <w:sz w:val="20"/>
        </w:rPr>
        <w:t xml:space="preserve"> </w:t>
      </w:r>
      <w:r>
        <w:rPr>
          <w:rFonts w:ascii="Times New Roman" w:hAnsi="Times New Roman" w:eastAsia="Times New Roman"/>
          <w:i/>
          <w:iCs/>
          <w:sz w:val="20"/>
        </w:rPr>
        <w:t xml:space="preserve">IEEE International Geoscience and Remote Sensing Symposium (IGARSS)</w:t>
      </w:r>
      <w:r>
        <w:rPr>
          <w:rFonts w:ascii="Times New Roman" w:hAnsi="Times New Roman" w:eastAsia="Times New Roman"/>
          <w:sz w:val="20"/>
        </w:rPr>
        <w:t xml:space="preserve">, 207–10.</w:t>
      </w:r>
      <w:r>
        <w:rPr>
          <w:rFonts w:ascii="Times New Roman" w:hAnsi="Times New Roman" w:eastAsia="Times New Roman"/>
          <w:sz w:val="20"/>
        </w:rPr>
        <w:t xml:space="preserve"> </w:t>
      </w:r>
      <w:hyperlink r:id="rId48">
        <w:r>
          <w:rPr>
            <w:rStyle w:val="Hyperlink"/>
          </w:rPr>
          <w:t xml:space="preserve">https://doi.org/10.1109/IGARSS46834.2022.9883686</w:t>
        </w:r>
      </w:hyperlink>
      <w:r>
        <w:rPr>
          <w:rFonts w:ascii="Times New Roman" w:hAnsi="Times New Roman" w:eastAsia="Times New Roman"/>
          <w:sz w:val="20"/>
        </w:rPr>
        <w:t xml:space="preserve">.</w:t>
      </w:r>
    </w:p>
    <w:bookmarkEnd w:id="49"/>
    <w:bookmarkStart w:id="51" w:name="ref-bianchi2021snow"/>
    <w:p>
      <w:pPr>
        <w:pStyle w:val="Bibliography"/>
        <w:spacing w:after="0" w:line="240" w:lineRule="auto"/>
      </w:pPr>
      <w:r>
        <w:rPr>
          <w:rFonts w:ascii="Times New Roman" w:hAnsi="Times New Roman" w:eastAsia="Times New Roman"/>
          <w:sz w:val="20"/>
        </w:rPr>
        <w:t xml:space="preserve">Bianchi, Filippo Maria, Jakob Grahn, Markus Eckerstorfer, Eirik Malnes, and Hannah Vickers. 2021.</w:t>
      </w:r>
      <w:r>
        <w:rPr>
          <w:rFonts w:ascii="Times New Roman" w:hAnsi="Times New Roman" w:eastAsia="Times New Roman"/>
          <w:sz w:val="20"/>
        </w:rPr>
        <w:t xml:space="preserve"> </w:t>
      </w:r>
      <w:r>
        <w:rPr>
          <w:rFonts w:ascii="Times New Roman" w:hAnsi="Times New Roman" w:eastAsia="Times New Roman"/>
          <w:sz w:val="20"/>
        </w:rPr>
        <w:t xml:space="preserve">“Snow Avalanche Segmentation in</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 with Fully Convolutional Neural Networks.”</w:t>
      </w:r>
      <w:r>
        <w:rPr>
          <w:rFonts w:ascii="Times New Roman" w:hAnsi="Times New Roman" w:eastAsia="Times New Roman"/>
          <w:sz w:val="20"/>
        </w:rPr>
        <w:t xml:space="preserve"> </w:t>
      </w:r>
      <w:r>
        <w:rPr>
          <w:rFonts w:ascii="Times New Roman" w:hAnsi="Times New Roman" w:eastAsia="Times New Roman"/>
          <w:i/>
          <w:iCs/>
          <w:sz w:val="20"/>
        </w:rPr>
        <w:t xml:space="preserve">IEEE Journal of Selected Topics in Applied Earth Observations and Remote Sensing</w:t>
      </w:r>
      <w:r>
        <w:rPr>
          <w:rFonts w:ascii="Times New Roman" w:hAnsi="Times New Roman" w:eastAsia="Times New Roman"/>
          <w:sz w:val="20"/>
        </w:rPr>
        <w:t xml:space="preserve"> </w:t>
      </w:r>
      <w:r>
        <w:rPr>
          <w:rFonts w:ascii="Times New Roman" w:hAnsi="Times New Roman" w:eastAsia="Times New Roman"/>
          <w:sz w:val="20"/>
        </w:rPr>
        <w:t xml:space="preserve">14: 75–82.</w:t>
      </w:r>
      <w:r>
        <w:rPr>
          <w:rFonts w:ascii="Times New Roman" w:hAnsi="Times New Roman" w:eastAsia="Times New Roman"/>
          <w:sz w:val="20"/>
        </w:rPr>
        <w:t xml:space="preserve"> </w:t>
      </w:r>
      <w:hyperlink r:id="rId50">
        <w:r>
          <w:rPr>
            <w:rStyle w:val="Hyperlink"/>
          </w:rPr>
          <w:t xml:space="preserve">https://doi.org/10.1109/JSTARS.2020.3036914</w:t>
        </w:r>
      </w:hyperlink>
      <w:r>
        <w:rPr>
          <w:rFonts w:ascii="Times New Roman" w:hAnsi="Times New Roman" w:eastAsia="Times New Roman"/>
          <w:sz w:val="20"/>
        </w:rPr>
        <w:t xml:space="preserve">.</w:t>
      </w:r>
    </w:p>
    <w:bookmarkEnd w:id="51"/>
    <w:bookmarkStart w:id="53" w:name="ref-buehler2019automated"/>
    <w:p>
      <w:pPr>
        <w:pStyle w:val="Bibliography"/>
        <w:spacing w:after="0" w:line="240" w:lineRule="auto"/>
      </w:pPr>
      <w:r>
        <w:rPr>
          <w:rFonts w:ascii="Times New Roman" w:hAnsi="Times New Roman" w:eastAsia="Times New Roman"/>
          <w:sz w:val="20"/>
        </w:rPr>
        <w:t xml:space="preserve">Bühler, Yves, Elisabeth D. Hafner, Benjamin Zweifel, Mathias Zesiger, and Holger Heisig. 2019.</w:t>
      </w:r>
      <w:r>
        <w:rPr>
          <w:rFonts w:ascii="Times New Roman" w:hAnsi="Times New Roman" w:eastAsia="Times New Roman"/>
          <w:sz w:val="20"/>
        </w:rPr>
        <w:t xml:space="preserve"> </w:t>
      </w:r>
      <w:r>
        <w:rPr>
          <w:rFonts w:ascii="Times New Roman" w:hAnsi="Times New Roman" w:eastAsia="Times New Roman"/>
          <w:sz w:val="20"/>
        </w:rPr>
        <w:t xml:space="preserve">“Where Are the Avalanches? Rapid</w:t>
      </w:r>
      <w:r>
        <w:rPr>
          <w:rFonts w:ascii="Times New Roman" w:hAnsi="Times New Roman" w:eastAsia="Times New Roman"/>
          <w:sz w:val="20"/>
        </w:rPr>
        <w:t xml:space="preserve"> </w:t>
      </w:r>
      <w:r>
        <w:rPr>
          <w:rFonts w:ascii="Times New Roman" w:hAnsi="Times New Roman" w:eastAsia="Times New Roman"/>
          <w:sz w:val="20"/>
        </w:rPr>
        <w:t xml:space="preserve">SPOT6</w:t>
      </w:r>
      <w:r>
        <w:rPr>
          <w:rFonts w:ascii="Times New Roman" w:hAnsi="Times New Roman" w:eastAsia="Times New Roman"/>
          <w:sz w:val="20"/>
        </w:rPr>
        <w:t xml:space="preserve"> </w:t>
      </w:r>
      <w:r>
        <w:rPr>
          <w:rFonts w:ascii="Times New Roman" w:hAnsi="Times New Roman" w:eastAsia="Times New Roman"/>
          <w:sz w:val="20"/>
        </w:rPr>
        <w:t xml:space="preserve">Satellite Data Acquisition to Map an Extreme Avalanche Period over the Swiss Alps.”</w:t>
      </w:r>
      <w:r>
        <w:rPr>
          <w:rFonts w:ascii="Times New Roman" w:hAnsi="Times New Roman" w:eastAsia="Times New Roman"/>
          <w:sz w:val="20"/>
        </w:rPr>
        <w:t xml:space="preserve"> </w:t>
      </w:r>
      <w:r>
        <w:rPr>
          <w:rFonts w:ascii="Times New Roman" w:hAnsi="Times New Roman" w:eastAsia="Times New Roman"/>
          <w:i/>
          <w:iCs/>
          <w:sz w:val="20"/>
        </w:rPr>
        <w:t xml:space="preserve">The Cryosphere</w:t>
      </w:r>
      <w:r>
        <w:rPr>
          <w:rFonts w:ascii="Times New Roman" w:hAnsi="Times New Roman" w:eastAsia="Times New Roman"/>
          <w:sz w:val="20"/>
        </w:rPr>
        <w:t xml:space="preserve"> </w:t>
      </w:r>
      <w:r>
        <w:rPr>
          <w:rFonts w:ascii="Times New Roman" w:hAnsi="Times New Roman" w:eastAsia="Times New Roman"/>
          <w:sz w:val="20"/>
        </w:rPr>
        <w:t xml:space="preserve">13 (12): 3225–38.</w:t>
      </w:r>
      <w:r>
        <w:rPr>
          <w:rFonts w:ascii="Times New Roman" w:hAnsi="Times New Roman" w:eastAsia="Times New Roman"/>
          <w:sz w:val="20"/>
        </w:rPr>
        <w:t xml:space="preserve"> </w:t>
      </w:r>
      <w:hyperlink r:id="rId52">
        <w:r>
          <w:rPr>
            <w:rStyle w:val="Hyperlink"/>
          </w:rPr>
          <w:t xml:space="preserve">https://doi.org/10.5194/tc-13-3225-2019</w:t>
        </w:r>
      </w:hyperlink>
      <w:r>
        <w:rPr>
          <w:rFonts w:ascii="Times New Roman" w:hAnsi="Times New Roman" w:eastAsia="Times New Roman"/>
          <w:sz w:val="20"/>
        </w:rPr>
        <w:t xml:space="preserve">.</w:t>
      </w:r>
    </w:p>
    <w:bookmarkEnd w:id="53"/>
    <w:bookmarkStart w:id="55" w:name="ref-liu2026integrating"/>
    <w:p>
      <w:pPr>
        <w:pStyle w:val="Bibliography"/>
        <w:spacing w:after="0" w:line="240" w:lineRule="auto"/>
      </w:pPr>
      <w:r>
        <w:rPr>
          <w:rFonts w:ascii="Times New Roman" w:hAnsi="Times New Roman" w:eastAsia="Times New Roman"/>
          <w:sz w:val="20"/>
        </w:rPr>
        <w:t xml:space="preserve">Cao, Chen, Ji Bai, Tianhao Song, et al. 2026.</w:t>
      </w:r>
      <w:r>
        <w:rPr>
          <w:rFonts w:ascii="Times New Roman" w:hAnsi="Times New Roman" w:eastAsia="Times New Roman"/>
          <w:sz w:val="20"/>
        </w:rPr>
        <w:t xml:space="preserve"> </w:t>
      </w:r>
      <w:r>
        <w:rPr>
          <w:rFonts w:ascii="Times New Roman" w:hAnsi="Times New Roman" w:eastAsia="Times New Roman"/>
          <w:sz w:val="20"/>
        </w:rPr>
        <w:t xml:space="preserve">“Integrating Information Value Method and Extreme Gradient Boosting for Debris Flow Susceptibility Assessment on the Piedmont Clinoplain Considering Watershed Erosion.”</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23 (4): 1614–34.</w:t>
      </w:r>
      <w:r>
        <w:rPr>
          <w:rFonts w:ascii="Times New Roman" w:hAnsi="Times New Roman" w:eastAsia="Times New Roman"/>
          <w:sz w:val="20"/>
        </w:rPr>
        <w:t xml:space="preserve"> </w:t>
      </w:r>
      <w:hyperlink r:id="rId54">
        <w:r>
          <w:rPr>
            <w:rStyle w:val="Hyperlink"/>
          </w:rPr>
          <w:t xml:space="preserve">https://doi.org/10.1007/s11629-025-9805-y</w:t>
        </w:r>
      </w:hyperlink>
      <w:r>
        <w:rPr>
          <w:rFonts w:ascii="Times New Roman" w:hAnsi="Times New Roman" w:eastAsia="Times New Roman"/>
          <w:sz w:val="20"/>
        </w:rPr>
        <w:t xml:space="preserve">.</w:t>
      </w:r>
    </w:p>
    <w:bookmarkEnd w:id="55"/>
    <w:bookmarkStart w:id="57" w:name="ref-daudt2018fully"/>
    <w:p>
      <w:pPr>
        <w:pStyle w:val="Bibliography"/>
        <w:spacing w:after="0" w:line="240" w:lineRule="auto"/>
      </w:pPr>
      <w:r>
        <w:rPr>
          <w:rFonts w:ascii="Times New Roman" w:hAnsi="Times New Roman" w:eastAsia="Times New Roman"/>
          <w:sz w:val="20"/>
        </w:rPr>
        <w:t xml:space="preserve">Caye Daudt, Rodrigo, Bertrand Le Saux, and Alexandre Boulch. 2018.</w:t>
      </w:r>
      <w:r>
        <w:rPr>
          <w:rFonts w:ascii="Times New Roman" w:hAnsi="Times New Roman" w:eastAsia="Times New Roman"/>
          <w:sz w:val="20"/>
        </w:rPr>
        <w:t xml:space="preserve"> </w:t>
      </w:r>
      <w:r>
        <w:rPr>
          <w:rFonts w:ascii="Times New Roman" w:hAnsi="Times New Roman" w:eastAsia="Times New Roman"/>
          <w:sz w:val="20"/>
        </w:rPr>
        <w:t xml:space="preserve">“Fully Convolutional Siamese Networks for Change Detection.”</w:t>
      </w:r>
      <w:r>
        <w:rPr>
          <w:rFonts w:ascii="Times New Roman" w:hAnsi="Times New Roman" w:eastAsia="Times New Roman"/>
          <w:sz w:val="20"/>
        </w:rPr>
        <w:t xml:space="preserve"> </w:t>
      </w:r>
      <w:r>
        <w:rPr>
          <w:rFonts w:ascii="Times New Roman" w:hAnsi="Times New Roman" w:eastAsia="Times New Roman"/>
          <w:i/>
          <w:iCs/>
          <w:sz w:val="20"/>
        </w:rPr>
        <w:t xml:space="preserve">2018 25th IEEE International Conference on Image Processing (ICIP)</w:t>
      </w:r>
      <w:r>
        <w:rPr>
          <w:rFonts w:ascii="Times New Roman" w:hAnsi="Times New Roman" w:eastAsia="Times New Roman"/>
          <w:sz w:val="20"/>
        </w:rPr>
        <w:t xml:space="preserve">, 4063–67.</w:t>
      </w:r>
      <w:r>
        <w:rPr>
          <w:rFonts w:ascii="Times New Roman" w:hAnsi="Times New Roman" w:eastAsia="Times New Roman"/>
          <w:sz w:val="20"/>
        </w:rPr>
        <w:t xml:space="preserve"> </w:t>
      </w:r>
      <w:hyperlink r:id="rId56">
        <w:r>
          <w:rPr>
            <w:rStyle w:val="Hyperlink"/>
          </w:rPr>
          <w:t xml:space="preserve">https://doi.org/10.1109/ICIP.2018.8451652</w:t>
        </w:r>
      </w:hyperlink>
      <w:r>
        <w:rPr>
          <w:rFonts w:ascii="Times New Roman" w:hAnsi="Times New Roman" w:eastAsia="Times New Roman"/>
          <w:sz w:val="20"/>
        </w:rPr>
        <w:t xml:space="preserve">.</w:t>
      </w:r>
    </w:p>
    <w:bookmarkEnd w:id="57"/>
    <w:bookmarkStart w:id="59" w:name="ref-chen2021remote"/>
    <w:p>
      <w:pPr>
        <w:pStyle w:val="Bibliography"/>
        <w:spacing w:after="0" w:line="240" w:lineRule="auto"/>
      </w:pPr>
      <w:r>
        <w:rPr>
          <w:rFonts w:ascii="Times New Roman" w:hAnsi="Times New Roman" w:eastAsia="Times New Roman"/>
          <w:sz w:val="20"/>
        </w:rPr>
        <w:t xml:space="preserve">Chen, Hao, Zipeng Qi, and Zhenwei Shi. 2022.</w:t>
      </w:r>
      <w:r>
        <w:rPr>
          <w:rFonts w:ascii="Times New Roman" w:hAnsi="Times New Roman" w:eastAsia="Times New Roman"/>
          <w:sz w:val="20"/>
        </w:rPr>
        <w:t xml:space="preserve"> </w:t>
      </w:r>
      <w:r>
        <w:rPr>
          <w:rFonts w:ascii="Times New Roman" w:hAnsi="Times New Roman" w:eastAsia="Times New Roman"/>
          <w:sz w:val="20"/>
        </w:rPr>
        <w:t xml:space="preserve">“Remote Sensing Image Change Detection with Transformers.”</w:t>
      </w:r>
      <w:r>
        <w:rPr>
          <w:rFonts w:ascii="Times New Roman" w:hAnsi="Times New Roman" w:eastAsia="Times New Roman"/>
          <w:sz w:val="20"/>
        </w:rPr>
        <w:t xml:space="preserve"> </w:t>
      </w:r>
      <w:r>
        <w:rPr>
          <w:rFonts w:ascii="Times New Roman" w:hAnsi="Times New Roman" w:eastAsia="Times New Roman"/>
          <w:i/>
          <w:iCs/>
          <w:sz w:val="20"/>
        </w:rPr>
        <w:t xml:space="preserve">IEEE Transactions on Geoscience and Remote Sensing</w:t>
      </w:r>
      <w:r>
        <w:rPr>
          <w:rFonts w:ascii="Times New Roman" w:hAnsi="Times New Roman" w:eastAsia="Times New Roman"/>
          <w:sz w:val="20"/>
        </w:rPr>
        <w:t xml:space="preserve"> </w:t>
      </w:r>
      <w:r>
        <w:rPr>
          <w:rFonts w:ascii="Times New Roman" w:hAnsi="Times New Roman" w:eastAsia="Times New Roman"/>
          <w:sz w:val="20"/>
        </w:rPr>
        <w:t xml:space="preserve">60: 1–14.</w:t>
      </w:r>
      <w:r>
        <w:rPr>
          <w:rFonts w:ascii="Times New Roman" w:hAnsi="Times New Roman" w:eastAsia="Times New Roman"/>
          <w:sz w:val="20"/>
        </w:rPr>
        <w:t xml:space="preserve"> </w:t>
      </w:r>
      <w:hyperlink r:id="rId58">
        <w:r>
          <w:rPr>
            <w:rStyle w:val="Hyperlink"/>
          </w:rPr>
          <w:t xml:space="preserve">https://doi.org/10.1109/TGRS.2021.3095166</w:t>
        </w:r>
      </w:hyperlink>
      <w:r>
        <w:rPr>
          <w:rFonts w:ascii="Times New Roman" w:hAnsi="Times New Roman" w:eastAsia="Times New Roman"/>
          <w:sz w:val="20"/>
        </w:rPr>
        <w:t xml:space="preserve">.</w:t>
      </w:r>
    </w:p>
    <w:bookmarkEnd w:id="59"/>
    <w:bookmarkStart w:id="61" w:name="ref-eckerstorfer2017remote"/>
    <w:p>
      <w:pPr>
        <w:pStyle w:val="Bibliography"/>
        <w:spacing w:after="0" w:line="240" w:lineRule="auto"/>
      </w:pPr>
      <w:r>
        <w:rPr>
          <w:rFonts w:ascii="Times New Roman" w:hAnsi="Times New Roman" w:eastAsia="Times New Roman"/>
          <w:sz w:val="20"/>
        </w:rPr>
        <w:t xml:space="preserve">Eckerstorfer, Markus, Eirik Malnes, and Karsten Müller. 2017.</w:t>
      </w:r>
      <w:r>
        <w:rPr>
          <w:rFonts w:ascii="Times New Roman" w:hAnsi="Times New Roman" w:eastAsia="Times New Roman"/>
          <w:sz w:val="20"/>
        </w:rPr>
        <w:t xml:space="preserve"> </w:t>
      </w:r>
      <w:r>
        <w:rPr>
          <w:rFonts w:ascii="Times New Roman" w:hAnsi="Times New Roman" w:eastAsia="Times New Roman"/>
          <w:sz w:val="20"/>
        </w:rPr>
        <w:t xml:space="preserve">“A Complete Snow Avalanche Activity Record from a Norwegian Forecasting Region Using</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Satellite-Radar Data.”</w:t>
      </w:r>
      <w:r>
        <w:rPr>
          <w:rFonts w:ascii="Times New Roman" w:hAnsi="Times New Roman" w:eastAsia="Times New Roman"/>
          <w:sz w:val="20"/>
        </w:rPr>
        <w:t xml:space="preserve"> </w:t>
      </w:r>
      <w:r>
        <w:rPr>
          <w:rFonts w:ascii="Times New Roman" w:hAnsi="Times New Roman" w:eastAsia="Times New Roman"/>
          <w:i/>
          <w:iCs/>
          <w:sz w:val="20"/>
        </w:rPr>
        <w:t xml:space="preserve">Cold Regions Science and Technology</w:t>
      </w:r>
      <w:r>
        <w:rPr>
          <w:rFonts w:ascii="Times New Roman" w:hAnsi="Times New Roman" w:eastAsia="Times New Roman"/>
          <w:sz w:val="20"/>
        </w:rPr>
        <w:t xml:space="preserve"> </w:t>
      </w:r>
      <w:r>
        <w:rPr>
          <w:rFonts w:ascii="Times New Roman" w:hAnsi="Times New Roman" w:eastAsia="Times New Roman"/>
          <w:sz w:val="20"/>
        </w:rPr>
        <w:t xml:space="preserve">144: 39–51.</w:t>
      </w:r>
      <w:r>
        <w:rPr>
          <w:rFonts w:ascii="Times New Roman" w:hAnsi="Times New Roman" w:eastAsia="Times New Roman"/>
          <w:sz w:val="20"/>
        </w:rPr>
        <w:t xml:space="preserve"> </w:t>
      </w:r>
      <w:hyperlink r:id="rId60">
        <w:r>
          <w:rPr>
            <w:rStyle w:val="Hyperlink"/>
          </w:rPr>
          <w:t xml:space="preserve">https://doi.org/10.1016/j.coldregions.2017.08.004</w:t>
        </w:r>
      </w:hyperlink>
      <w:r>
        <w:rPr>
          <w:rFonts w:ascii="Times New Roman" w:hAnsi="Times New Roman" w:eastAsia="Times New Roman"/>
          <w:sz w:val="20"/>
        </w:rPr>
        <w:t xml:space="preserve">.</w:t>
      </w:r>
    </w:p>
    <w:bookmarkEnd w:id="61"/>
    <w:bookmarkStart w:id="63" w:name="ref-muller2021synthetic"/>
    <w:p>
      <w:pPr>
        <w:pStyle w:val="Bibliography"/>
        <w:spacing w:after="0" w:line="240" w:lineRule="auto"/>
      </w:pPr>
      <w:r>
        <w:rPr>
          <w:rFonts w:ascii="Times New Roman" w:hAnsi="Times New Roman" w:eastAsia="Times New Roman"/>
          <w:sz w:val="20"/>
        </w:rPr>
        <w:t xml:space="preserve">Eckerstorfer, Markus, Karsten Müller, Eirik Malnes, and Hilde Daugstad Oterhals. 2021.</w:t>
      </w:r>
      <w:r>
        <w:rPr>
          <w:rFonts w:ascii="Times New Roman" w:hAnsi="Times New Roman" w:eastAsia="Times New Roman"/>
          <w:sz w:val="20"/>
        </w:rPr>
        <w:t xml:space="preserve"> </w:t>
      </w:r>
      <w:r>
        <w:rPr>
          <w:rFonts w:ascii="Times New Roman" w:hAnsi="Times New Roman" w:eastAsia="Times New Roman"/>
          <w:sz w:val="20"/>
        </w:rPr>
        <w:t xml:space="preserve">“Manual and Automatic Detection of Dry Snow Avalanches in</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w:t>
      </w:r>
      <w:r>
        <w:rPr>
          <w:rFonts w:ascii="Times New Roman" w:hAnsi="Times New Roman" w:eastAsia="Times New Roman"/>
          <w:sz w:val="20"/>
        </w:rPr>
        <w:t xml:space="preserve"> </w:t>
      </w:r>
      <w:r>
        <w:rPr>
          <w:rFonts w:ascii="Times New Roman" w:hAnsi="Times New Roman" w:eastAsia="Times New Roman"/>
          <w:i/>
          <w:iCs/>
          <w:sz w:val="20"/>
        </w:rPr>
        <w:t xml:space="preserve">IEEE International Geoscience and Remote Sensing Symposium (IGARSS)</w:t>
      </w:r>
      <w:r>
        <w:rPr>
          <w:rFonts w:ascii="Times New Roman" w:hAnsi="Times New Roman" w:eastAsia="Times New Roman"/>
          <w:sz w:val="20"/>
        </w:rPr>
        <w:t xml:space="preserve">, 247–50.</w:t>
      </w:r>
      <w:r>
        <w:rPr>
          <w:rFonts w:ascii="Times New Roman" w:hAnsi="Times New Roman" w:eastAsia="Times New Roman"/>
          <w:sz w:val="20"/>
        </w:rPr>
        <w:t xml:space="preserve"> </w:t>
      </w:r>
      <w:hyperlink r:id="rId62">
        <w:r>
          <w:rPr>
            <w:rStyle w:val="Hyperlink"/>
          </w:rPr>
          <w:t xml:space="preserve">https://doi.org/10.1109/IGARSS47720.2021.9554370</w:t>
        </w:r>
      </w:hyperlink>
      <w:r>
        <w:rPr>
          <w:rFonts w:ascii="Times New Roman" w:hAnsi="Times New Roman" w:eastAsia="Times New Roman"/>
          <w:sz w:val="20"/>
        </w:rPr>
        <w:t xml:space="preserve">.</w:t>
      </w:r>
    </w:p>
    <w:bookmarkEnd w:id="63"/>
    <w:bookmarkStart w:id="65" w:name="ref-eckerstorfer2019near"/>
    <w:p>
      <w:pPr>
        <w:pStyle w:val="Bibliography"/>
        <w:spacing w:after="0" w:line="240" w:lineRule="auto"/>
      </w:pPr>
      <w:r>
        <w:rPr>
          <w:rFonts w:ascii="Times New Roman" w:hAnsi="Times New Roman" w:eastAsia="Times New Roman"/>
          <w:sz w:val="20"/>
        </w:rPr>
        <w:t xml:space="preserve">Eckerstorfer, Markus, Hannah Vickers, Eirik Malnes, and Jakob Grahn. 2019.</w:t>
      </w:r>
      <w:r>
        <w:rPr>
          <w:rFonts w:ascii="Times New Roman" w:hAnsi="Times New Roman" w:eastAsia="Times New Roman"/>
          <w:sz w:val="20"/>
        </w:rPr>
        <w:t xml:space="preserve"> </w:t>
      </w:r>
      <w:r>
        <w:rPr>
          <w:rFonts w:ascii="Times New Roman" w:hAnsi="Times New Roman" w:eastAsia="Times New Roman"/>
          <w:sz w:val="20"/>
        </w:rPr>
        <w:t xml:space="preserve">“Near-Real Time Automatic Snow Avalanche Activity Monitoring System Using</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Data in</w:t>
      </w:r>
      <w:r>
        <w:rPr>
          <w:rFonts w:ascii="Times New Roman" w:hAnsi="Times New Roman" w:eastAsia="Times New Roman"/>
          <w:sz w:val="20"/>
        </w:rPr>
        <w:t xml:space="preserve"> </w:t>
      </w:r>
      <w:r>
        <w:rPr>
          <w:rFonts w:ascii="Times New Roman" w:hAnsi="Times New Roman" w:eastAsia="Times New Roman"/>
          <w:sz w:val="20"/>
        </w:rPr>
        <w:t xml:space="preserve">Norway</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Remote Sensing</w:t>
      </w:r>
      <w:r>
        <w:rPr>
          <w:rFonts w:ascii="Times New Roman" w:hAnsi="Times New Roman" w:eastAsia="Times New Roman"/>
          <w:sz w:val="20"/>
        </w:rPr>
        <w:t xml:space="preserve"> </w:t>
      </w:r>
      <w:r>
        <w:rPr>
          <w:rFonts w:ascii="Times New Roman" w:hAnsi="Times New Roman" w:eastAsia="Times New Roman"/>
          <w:sz w:val="20"/>
        </w:rPr>
        <w:t xml:space="preserve">11 (23): 2863.</w:t>
      </w:r>
      <w:r>
        <w:rPr>
          <w:rFonts w:ascii="Times New Roman" w:hAnsi="Times New Roman" w:eastAsia="Times New Roman"/>
          <w:sz w:val="20"/>
        </w:rPr>
        <w:t xml:space="preserve"> </w:t>
      </w:r>
      <w:hyperlink r:id="rId64">
        <w:r>
          <w:rPr>
            <w:rStyle w:val="Hyperlink"/>
          </w:rPr>
          <w:t xml:space="preserve">https://doi.org/10.3390/rs11232863</w:t>
        </w:r>
      </w:hyperlink>
      <w:r>
        <w:rPr>
          <w:rFonts w:ascii="Times New Roman" w:hAnsi="Times New Roman" w:eastAsia="Times New Roman"/>
          <w:sz w:val="20"/>
        </w:rPr>
        <w:t xml:space="preserve">.</w:t>
      </w:r>
    </w:p>
    <w:bookmarkEnd w:id="65"/>
    <w:bookmarkStart w:id="67" w:name="ref-eaws2022size"/>
    <w:p>
      <w:pPr>
        <w:pStyle w:val="Bibliography"/>
        <w:spacing w:after="0" w:line="240" w:lineRule="auto"/>
      </w:pPr>
      <w:r>
        <w:rPr>
          <w:rFonts w:ascii="Times New Roman" w:hAnsi="Times New Roman" w:eastAsia="Times New Roman"/>
          <w:sz w:val="20"/>
        </w:rPr>
        <w:t xml:space="preserve">European Avalanche Warning Services. 2022.</w:t>
      </w:r>
      <w:r>
        <w:rPr>
          <w:rFonts w:ascii="Times New Roman" w:hAnsi="Times New Roman" w:eastAsia="Times New Roman"/>
          <w:sz w:val="20"/>
        </w:rPr>
        <w:t xml:space="preserve"> </w:t>
      </w:r>
      <w:r>
        <w:rPr>
          <w:rFonts w:ascii="Times New Roman" w:hAnsi="Times New Roman" w:eastAsia="Times New Roman"/>
          <w:i/>
          <w:iCs/>
          <w:sz w:val="20"/>
        </w:rPr>
        <w:t xml:space="preserve">Avalanche Size Classification Standards (Classes</w:t>
      </w:r>
      <w:r>
        <w:rPr>
          <w:rFonts w:ascii="Times New Roman" w:hAnsi="Times New Roman" w:eastAsia="Times New Roman"/>
          <w:i/>
          <w:iCs/>
          <w:sz w:val="20"/>
        </w:rPr>
        <w:t xml:space="preserve"> </w:t>
      </w:r>
      <w:r>
        <w:rPr>
          <w:rFonts w:ascii="Times New Roman" w:hAnsi="Times New Roman" w:eastAsia="Times New Roman"/>
          <w:i/>
          <w:iCs/>
          <w:sz w:val="20"/>
        </w:rPr>
        <w:t xml:space="preserve">D1</w:t>
      </w:r>
      <w:r>
        <w:rPr>
          <w:rFonts w:ascii="Times New Roman" w:hAnsi="Times New Roman" w:eastAsia="Times New Roman"/>
          <w:i/>
          <w:iCs/>
          <w:sz w:val="20"/>
        </w:rPr>
        <w:t xml:space="preserve"> </w:t>
      </w:r>
      <w:r>
        <w:rPr>
          <w:rFonts w:ascii="Times New Roman" w:hAnsi="Times New Roman" w:eastAsia="Times New Roman"/>
          <w:i/>
          <w:iCs/>
          <w:sz w:val="20"/>
        </w:rPr>
        <w:t xml:space="preserve">Through</w:t>
      </w:r>
      <w:r>
        <w:rPr>
          <w:rFonts w:ascii="Times New Roman" w:hAnsi="Times New Roman" w:eastAsia="Times New Roman"/>
          <w:i/>
          <w:iCs/>
          <w:sz w:val="20"/>
        </w:rPr>
        <w:t xml:space="preserve"> </w:t>
      </w:r>
      <w:r>
        <w:rPr>
          <w:rFonts w:ascii="Times New Roman" w:hAnsi="Times New Roman" w:eastAsia="Times New Roman"/>
          <w:i/>
          <w:iCs/>
          <w:sz w:val="20"/>
        </w:rPr>
        <w:t xml:space="preserve">D5</w:t>
      </w:r>
      <w:r>
        <w:rPr>
          <w:rFonts w:ascii="Times New Roman" w:hAnsi="Times New Roman" w:eastAsia="Times New Roman"/>
          <w:i/>
          <w:iCs/>
          <w:sz w:val="20"/>
        </w:rPr>
        <w:t xml:space="preserve">)</w:t>
      </w:r>
      <w:r>
        <w:rPr>
          <w:rFonts w:ascii="Times New Roman" w:hAnsi="Times New Roman" w:eastAsia="Times New Roman"/>
          <w:sz w:val="20"/>
        </w:rPr>
        <w:t xml:space="preserve">.</w:t>
      </w:r>
      <w:r>
        <w:rPr>
          <w:rFonts w:ascii="Times New Roman" w:hAnsi="Times New Roman" w:eastAsia="Times New Roman"/>
          <w:sz w:val="20"/>
        </w:rPr>
        <w:t xml:space="preserve"> </w:t>
      </w:r>
      <w:hyperlink r:id="rId66">
        <w:r>
          <w:rPr>
            <w:rStyle w:val="Hyperlink"/>
          </w:rPr>
          <w:t xml:space="preserve">Https://www.avalanches.org/standards/avalanche-size/</w:t>
        </w:r>
      </w:hyperlink>
      <w:r>
        <w:rPr>
          <w:rFonts w:ascii="Times New Roman" w:hAnsi="Times New Roman" w:eastAsia="Times New Roman"/>
          <w:sz w:val="20"/>
        </w:rPr>
        <w:t xml:space="preserve">.</w:t>
      </w:r>
    </w:p>
    <w:bookmarkEnd w:id="67"/>
    <w:bookmarkStart w:id="69" w:name="ref-esa2026sentinel1"/>
    <w:p>
      <w:pPr>
        <w:pStyle w:val="Bibliography"/>
        <w:spacing w:after="0" w:line="240" w:lineRule="auto"/>
      </w:pPr>
      <w:r>
        <w:rPr>
          <w:rFonts w:ascii="Times New Roman" w:hAnsi="Times New Roman" w:eastAsia="Times New Roman"/>
          <w:sz w:val="20"/>
        </w:rPr>
        <w:t xml:space="preserve">European Space Agency. 2026.</w:t>
      </w:r>
      <w:r>
        <w:rPr>
          <w:rFonts w:ascii="Times New Roman" w:hAnsi="Times New Roman" w:eastAsia="Times New Roman"/>
          <w:sz w:val="20"/>
        </w:rPr>
        <w:t xml:space="preserve"> </w:t>
      </w:r>
      <w:r>
        <w:rPr>
          <w:rFonts w:ascii="Times New Roman" w:hAnsi="Times New Roman" w:eastAsia="Times New Roman"/>
          <w:i/>
          <w:iCs/>
          <w:sz w:val="20"/>
        </w:rPr>
        <w:t xml:space="preserve">Sentinel-1</w:t>
      </w:r>
      <w:r>
        <w:rPr>
          <w:rFonts w:ascii="Times New Roman" w:hAnsi="Times New Roman" w:eastAsia="Times New Roman"/>
          <w:i/>
          <w:iCs/>
          <w:sz w:val="20"/>
        </w:rPr>
        <w:t xml:space="preserve">: Radar Vision for</w:t>
      </w:r>
      <w:r>
        <w:rPr>
          <w:rFonts w:ascii="Times New Roman" w:hAnsi="Times New Roman" w:eastAsia="Times New Roman"/>
          <w:i/>
          <w:iCs/>
          <w:sz w:val="20"/>
        </w:rPr>
        <w:t xml:space="preserve"> </w:t>
      </w:r>
      <w:r>
        <w:rPr>
          <w:rFonts w:ascii="Times New Roman" w:hAnsi="Times New Roman" w:eastAsia="Times New Roman"/>
          <w:i/>
          <w:iCs/>
          <w:sz w:val="20"/>
        </w:rPr>
        <w:t xml:space="preserve">Copernicus</w:t>
      </w:r>
      <w:r>
        <w:rPr>
          <w:rFonts w:ascii="Times New Roman" w:hAnsi="Times New Roman" w:eastAsia="Times New Roman"/>
          <w:sz w:val="20"/>
        </w:rPr>
        <w:t xml:space="preserve">.</w:t>
      </w:r>
      <w:r>
        <w:rPr>
          <w:rFonts w:ascii="Times New Roman" w:hAnsi="Times New Roman" w:eastAsia="Times New Roman"/>
          <w:sz w:val="20"/>
        </w:rPr>
        <w:t xml:space="preserve"> </w:t>
      </w:r>
      <w:hyperlink r:id="rId68">
        <w:r>
          <w:rPr>
            <w:rStyle w:val="Hyperlink"/>
          </w:rPr>
          <w:t xml:space="preserve">Https://www.esa.int/Applications/Observing_the_Earth/Copernicus/Sentinel-1</w:t>
        </w:r>
      </w:hyperlink>
      <w:r>
        <w:rPr>
          <w:rFonts w:ascii="Times New Roman" w:hAnsi="Times New Roman" w:eastAsia="Times New Roman"/>
          <w:sz w:val="20"/>
        </w:rPr>
        <w:t xml:space="preserve">.</w:t>
      </w:r>
    </w:p>
    <w:bookmarkEnd w:id="69"/>
    <w:bookmarkStart w:id="71" w:name="ref-garova2025general"/>
    <w:p>
      <w:pPr>
        <w:pStyle w:val="Bibliography"/>
        <w:spacing w:after="0" w:line="240" w:lineRule="auto"/>
      </w:pPr>
      <w:r>
        <w:rPr>
          <w:rFonts w:ascii="Times New Roman" w:hAnsi="Times New Roman" w:eastAsia="Times New Roman"/>
          <w:sz w:val="20"/>
        </w:rPr>
        <w:t xml:space="preserve">Garova, Elena, Bogdan Chadromtsev, Alexander Pedanov, et al. 2025.</w:t>
      </w:r>
      <w:r>
        <w:rPr>
          <w:rFonts w:ascii="Times New Roman" w:hAnsi="Times New Roman" w:eastAsia="Times New Roman"/>
          <w:sz w:val="20"/>
        </w:rPr>
        <w:t xml:space="preserve"> </w:t>
      </w:r>
      <w:r>
        <w:rPr>
          <w:rFonts w:ascii="Times New Roman" w:hAnsi="Times New Roman" w:eastAsia="Times New Roman"/>
          <w:sz w:val="20"/>
        </w:rPr>
        <w:t xml:space="preserve">“A General Methodological Framework for Hazard Assessment in Remote Mountain Areas Combining Geomorphological Mapping with</w:t>
      </w:r>
      <w:r>
        <w:rPr>
          <w:rFonts w:ascii="Times New Roman" w:hAnsi="Times New Roman" w:eastAsia="Times New Roman"/>
          <w:sz w:val="20"/>
        </w:rPr>
        <w:t xml:space="preserve"> </w:t>
      </w:r>
      <w:r>
        <w:rPr>
          <w:rFonts w:ascii="Times New Roman" w:hAnsi="Times New Roman" w:eastAsia="Times New Roman"/>
          <w:sz w:val="20"/>
        </w:rPr>
        <w:t xml:space="preserve">UAV</w:t>
      </w:r>
      <w:r>
        <w:rPr>
          <w:rFonts w:ascii="Times New Roman" w:hAnsi="Times New Roman" w:eastAsia="Times New Roman"/>
          <w:sz w:val="20"/>
        </w:rPr>
        <w:t xml:space="preserve"> </w:t>
      </w:r>
      <w:r>
        <w:rPr>
          <w:rFonts w:ascii="Times New Roman" w:hAnsi="Times New Roman" w:eastAsia="Times New Roman"/>
          <w:sz w:val="20"/>
        </w:rPr>
        <w:t xml:space="preserve">Survey.”</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22 (3): 763–75.</w:t>
      </w:r>
      <w:r>
        <w:rPr>
          <w:rFonts w:ascii="Times New Roman" w:hAnsi="Times New Roman" w:eastAsia="Times New Roman"/>
          <w:sz w:val="20"/>
        </w:rPr>
        <w:t xml:space="preserve"> </w:t>
      </w:r>
      <w:hyperlink r:id="rId70">
        <w:r>
          <w:rPr>
            <w:rStyle w:val="Hyperlink"/>
          </w:rPr>
          <w:t xml:space="preserve">https://doi.org/10.1007/s11629-024-9096-8</w:t>
        </w:r>
      </w:hyperlink>
      <w:r>
        <w:rPr>
          <w:rFonts w:ascii="Times New Roman" w:hAnsi="Times New Roman" w:eastAsia="Times New Roman"/>
          <w:sz w:val="20"/>
        </w:rPr>
        <w:t xml:space="preserve">.</w:t>
      </w:r>
    </w:p>
    <w:bookmarkEnd w:id="71"/>
    <w:bookmarkStart w:id="73" w:name="ref-avalcd_dataset"/>
    <w:p>
      <w:pPr>
        <w:pStyle w:val="Bibliography"/>
        <w:spacing w:after="0" w:line="240" w:lineRule="auto"/>
      </w:pPr>
      <w:r>
        <w:rPr>
          <w:rFonts w:ascii="Times New Roman" w:hAnsi="Times New Roman" w:eastAsia="Times New Roman"/>
          <w:sz w:val="20"/>
        </w:rPr>
        <w:t xml:space="preserve">Gatti, Mattia. 2026.</w:t>
      </w:r>
      <w:r>
        <w:rPr>
          <w:rFonts w:ascii="Times New Roman" w:hAnsi="Times New Roman" w:eastAsia="Times New Roman"/>
          <w:sz w:val="20"/>
        </w:rPr>
        <w:t xml:space="preserve"> </w:t>
      </w:r>
      <w:r>
        <w:rPr>
          <w:rFonts w:ascii="Times New Roman" w:hAnsi="Times New Roman" w:eastAsia="Times New Roman"/>
          <w:sz w:val="20"/>
        </w:rPr>
        <w:t xml:space="preserve">“</w:t>
      </w:r>
      <w:r>
        <w:rPr>
          <w:rFonts w:ascii="Times New Roman" w:hAnsi="Times New Roman" w:eastAsia="Times New Roman"/>
          <w:sz w:val="20"/>
        </w:rPr>
        <w:t xml:space="preserve">AvalCD</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Zenodo.</w:t>
      </w:r>
      <w:r>
        <w:rPr>
          <w:rFonts w:ascii="Times New Roman" w:hAnsi="Times New Roman" w:eastAsia="Times New Roman"/>
          <w:sz w:val="20"/>
        </w:rPr>
        <w:t xml:space="preserve"> </w:t>
      </w:r>
      <w:hyperlink r:id="rId72">
        <w:r>
          <w:rPr>
            <w:rStyle w:val="Hyperlink"/>
          </w:rPr>
          <w:t xml:space="preserve">https://doi.org/10.5281/zenodo.15863589</w:t>
        </w:r>
      </w:hyperlink>
      <w:r>
        <w:rPr>
          <w:rFonts w:ascii="Times New Roman" w:hAnsi="Times New Roman" w:eastAsia="Times New Roman"/>
          <w:sz w:val="20"/>
        </w:rPr>
        <w:t xml:space="preserve">.</w:t>
      </w:r>
    </w:p>
    <w:bookmarkEnd w:id="73"/>
    <w:bookmarkStart w:id="75" w:name="ref-gatti2026avalanche"/>
    <w:p>
      <w:pPr>
        <w:pStyle w:val="Bibliography"/>
        <w:spacing w:after="0" w:line="240" w:lineRule="auto"/>
      </w:pPr>
      <w:r>
        <w:rPr>
          <w:rFonts w:ascii="Times New Roman" w:hAnsi="Times New Roman" w:eastAsia="Times New Roman"/>
          <w:sz w:val="20"/>
        </w:rPr>
        <w:t xml:space="preserve">Gatti, Mattia, Alberto Mariani, Ignazio Gallo, and Fabiano Monti. 2026.</w:t>
      </w:r>
      <w:r>
        <w:rPr>
          <w:rFonts w:ascii="Times New Roman" w:hAnsi="Times New Roman" w:eastAsia="Times New Roman"/>
          <w:sz w:val="20"/>
        </w:rPr>
        <w:t xml:space="preserve"> </w:t>
      </w:r>
      <w:r>
        <w:rPr>
          <w:rFonts w:ascii="Times New Roman" w:hAnsi="Times New Roman" w:eastAsia="Times New Roman"/>
          <w:sz w:val="20"/>
        </w:rPr>
        <w:t xml:space="preserve">“Large-Scale Avalanche Mapping from</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 with Deep Learning-Based Change Detection.”</w:t>
      </w:r>
      <w:r>
        <w:rPr>
          <w:rFonts w:ascii="Times New Roman" w:hAnsi="Times New Roman" w:eastAsia="Times New Roman"/>
          <w:sz w:val="20"/>
        </w:rPr>
        <w:t xml:space="preserve"> </w:t>
      </w:r>
      <w:r>
        <w:rPr>
          <w:rFonts w:ascii="Times New Roman" w:hAnsi="Times New Roman" w:eastAsia="Times New Roman"/>
          <w:i/>
          <w:iCs/>
          <w:sz w:val="20"/>
        </w:rPr>
        <w:t xml:space="preserve">arXiv Preprint arXiv:2603.22658</w:t>
      </w:r>
      <w:r>
        <w:rPr>
          <w:rFonts w:ascii="Times New Roman" w:hAnsi="Times New Roman" w:eastAsia="Times New Roman"/>
          <w:sz w:val="20"/>
        </w:rPr>
        <w:t xml:space="preserve">.</w:t>
      </w:r>
      <w:r>
        <w:rPr>
          <w:rFonts w:ascii="Times New Roman" w:hAnsi="Times New Roman" w:eastAsia="Times New Roman"/>
          <w:sz w:val="20"/>
        </w:rPr>
        <w:t xml:space="preserve"> </w:t>
      </w:r>
      <w:hyperlink r:id="rId74">
        <w:r>
          <w:rPr>
            <w:rStyle w:val="Hyperlink"/>
          </w:rPr>
          <w:t xml:space="preserve">https://arxiv.org/abs/2603.22658</w:t>
        </w:r>
      </w:hyperlink>
      <w:r>
        <w:rPr>
          <w:rFonts w:ascii="Times New Roman" w:hAnsi="Times New Roman" w:eastAsia="Times New Roman"/>
          <w:sz w:val="20"/>
        </w:rPr>
        <w:t xml:space="preserve">.</w:t>
      </w:r>
    </w:p>
    <w:bookmarkEnd w:id="75"/>
    <w:bookmarkStart w:id="77" w:name="ref-gelato2026promptable"/>
    <w:p>
      <w:pPr>
        <w:pStyle w:val="Bibliography"/>
        <w:spacing w:after="0" w:line="240" w:lineRule="auto"/>
      </w:pPr>
      <w:r>
        <w:rPr>
          <w:rFonts w:ascii="Times New Roman" w:hAnsi="Times New Roman" w:eastAsia="Times New Roman"/>
          <w:sz w:val="20"/>
        </w:rPr>
        <w:t xml:space="preserve">Gelato, Riccardo, Carlo Sgaravatti, Jakob Grahn, Giacomo Boracchi, and Filippo Maria Bianchi. 2026.</w:t>
      </w:r>
      <w:r>
        <w:rPr>
          <w:rFonts w:ascii="Times New Roman" w:hAnsi="Times New Roman" w:eastAsia="Times New Roman"/>
          <w:sz w:val="20"/>
        </w:rPr>
        <w:t xml:space="preserve"> </w:t>
      </w:r>
      <w:r>
        <w:rPr>
          <w:rFonts w:ascii="Times New Roman" w:hAnsi="Times New Roman" w:eastAsia="Times New Roman"/>
          <w:sz w:val="20"/>
        </w:rPr>
        <w:t xml:space="preserve">“Promptable Foundation Models for</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Remote Sensing: Adapting the</w:t>
      </w:r>
      <w:r>
        <w:rPr>
          <w:rFonts w:ascii="Times New Roman" w:hAnsi="Times New Roman" w:eastAsia="Times New Roman"/>
          <w:sz w:val="20"/>
        </w:rPr>
        <w:t xml:space="preserve"> </w:t>
      </w:r>
      <w:r>
        <w:rPr>
          <w:rFonts w:ascii="Times New Roman" w:hAnsi="Times New Roman" w:eastAsia="Times New Roman"/>
          <w:sz w:val="20"/>
        </w:rPr>
        <w:t xml:space="preserve">Segment Anything Model</w:t>
      </w:r>
      <w:r>
        <w:rPr>
          <w:rFonts w:ascii="Times New Roman" w:hAnsi="Times New Roman" w:eastAsia="Times New Roman"/>
          <w:sz w:val="20"/>
        </w:rPr>
        <w:t xml:space="preserve"> </w:t>
      </w:r>
      <w:r>
        <w:rPr>
          <w:rFonts w:ascii="Times New Roman" w:hAnsi="Times New Roman" w:eastAsia="Times New Roman"/>
          <w:sz w:val="20"/>
        </w:rPr>
        <w:t xml:space="preserve">for Snow Avalanche Segmentation.”</w:t>
      </w:r>
      <w:r>
        <w:rPr>
          <w:rFonts w:ascii="Times New Roman" w:hAnsi="Times New Roman" w:eastAsia="Times New Roman"/>
          <w:sz w:val="20"/>
        </w:rPr>
        <w:t xml:space="preserve"> </w:t>
      </w:r>
      <w:r>
        <w:rPr>
          <w:rFonts w:ascii="Times New Roman" w:hAnsi="Times New Roman" w:eastAsia="Times New Roman"/>
          <w:i/>
          <w:iCs/>
          <w:sz w:val="20"/>
        </w:rPr>
        <w:t xml:space="preserve">Remote Sensing</w:t>
      </w:r>
      <w:r>
        <w:rPr>
          <w:rFonts w:ascii="Times New Roman" w:hAnsi="Times New Roman" w:eastAsia="Times New Roman"/>
          <w:sz w:val="20"/>
        </w:rPr>
        <w:t xml:space="preserve"> </w:t>
      </w:r>
      <w:r>
        <w:rPr>
          <w:rFonts w:ascii="Times New Roman" w:hAnsi="Times New Roman" w:eastAsia="Times New Roman"/>
          <w:sz w:val="20"/>
        </w:rPr>
        <w:t xml:space="preserve">18 (3): 519.</w:t>
      </w:r>
      <w:r>
        <w:rPr>
          <w:rFonts w:ascii="Times New Roman" w:hAnsi="Times New Roman" w:eastAsia="Times New Roman"/>
          <w:sz w:val="20"/>
        </w:rPr>
        <w:t xml:space="preserve"> </w:t>
      </w:r>
      <w:hyperlink r:id="rId76">
        <w:r>
          <w:rPr>
            <w:rStyle w:val="Hyperlink"/>
          </w:rPr>
          <w:t xml:space="preserve">https://doi.org/10.3390/rs18030519</w:t>
        </w:r>
      </w:hyperlink>
      <w:r>
        <w:rPr>
          <w:rFonts w:ascii="Times New Roman" w:hAnsi="Times New Roman" w:eastAsia="Times New Roman"/>
          <w:sz w:val="20"/>
        </w:rPr>
        <w:t xml:space="preserve">.</w:t>
      </w:r>
    </w:p>
    <w:bookmarkEnd w:id="77"/>
    <w:bookmarkStart w:id="79" w:name="ref-guo2025forecasting"/>
    <w:p>
      <w:pPr>
        <w:pStyle w:val="Bibliography"/>
        <w:spacing w:after="0" w:line="240" w:lineRule="auto"/>
      </w:pPr>
      <w:r>
        <w:rPr>
          <w:rFonts w:ascii="Times New Roman" w:hAnsi="Times New Roman" w:eastAsia="Times New Roman"/>
          <w:sz w:val="20"/>
        </w:rPr>
        <w:t xml:space="preserve">Guo, Fei, Zhi-zhen Xu, Jilei Hu, Jie Dou, Xiaowei Li, and Qinglin Yi. 2025.</w:t>
      </w:r>
      <w:r>
        <w:rPr>
          <w:rFonts w:ascii="Times New Roman" w:hAnsi="Times New Roman" w:eastAsia="Times New Roman"/>
          <w:sz w:val="20"/>
        </w:rPr>
        <w:t xml:space="preserve"> </w:t>
      </w:r>
      <w:r>
        <w:rPr>
          <w:rFonts w:ascii="Times New Roman" w:hAnsi="Times New Roman" w:eastAsia="Times New Roman"/>
          <w:sz w:val="20"/>
        </w:rPr>
        <w:t xml:space="preserve">“Forecasting Step-Like Landslide Displacement Through Diverse Monitoring Frequencies.”</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22 (1): 122–41.</w:t>
      </w:r>
      <w:r>
        <w:rPr>
          <w:rFonts w:ascii="Times New Roman" w:hAnsi="Times New Roman" w:eastAsia="Times New Roman"/>
          <w:sz w:val="20"/>
        </w:rPr>
        <w:t xml:space="preserve"> </w:t>
      </w:r>
      <w:hyperlink r:id="rId78">
        <w:r>
          <w:rPr>
            <w:rStyle w:val="Hyperlink"/>
          </w:rPr>
          <w:t xml:space="preserve">https://doi.org/10.1007/s11629-024-9064-3</w:t>
        </w:r>
      </w:hyperlink>
      <w:r>
        <w:rPr>
          <w:rFonts w:ascii="Times New Roman" w:hAnsi="Times New Roman" w:eastAsia="Times New Roman"/>
          <w:sz w:val="20"/>
        </w:rPr>
        <w:t xml:space="preserve">.</w:t>
      </w:r>
    </w:p>
    <w:bookmarkEnd w:id="79"/>
    <w:bookmarkStart w:id="81" w:name="ref-guo2024landslide"/>
    <w:p>
      <w:pPr>
        <w:pStyle w:val="Bibliography"/>
        <w:spacing w:after="0" w:line="240" w:lineRule="auto"/>
      </w:pPr>
      <w:r>
        <w:rPr>
          <w:rFonts w:ascii="Times New Roman" w:hAnsi="Times New Roman" w:eastAsia="Times New Roman"/>
          <w:sz w:val="20"/>
        </w:rPr>
        <w:t xml:space="preserve">Guo, Junqi, Wenfei Xi, Zhiquan Yang, et al. 2024.</w:t>
      </w:r>
      <w:r>
        <w:rPr>
          <w:rFonts w:ascii="Times New Roman" w:hAnsi="Times New Roman" w:eastAsia="Times New Roman"/>
          <w:sz w:val="20"/>
        </w:rPr>
        <w:t xml:space="preserve"> </w:t>
      </w:r>
      <w:r>
        <w:rPr>
          <w:rFonts w:ascii="Times New Roman" w:hAnsi="Times New Roman" w:eastAsia="Times New Roman"/>
          <w:sz w:val="20"/>
        </w:rPr>
        <w:t xml:space="preserve">“Landslide Hazard Susceptibility Evaluation Based on</w:t>
      </w:r>
      <w:r>
        <w:rPr>
          <w:rFonts w:ascii="Times New Roman" w:hAnsi="Times New Roman" w:eastAsia="Times New Roman"/>
          <w:sz w:val="20"/>
        </w:rPr>
        <w:t xml:space="preserve"> </w:t>
      </w:r>
      <w:r>
        <w:rPr>
          <w:rFonts w:ascii="Times New Roman" w:hAnsi="Times New Roman" w:eastAsia="Times New Roman"/>
          <w:sz w:val="20"/>
        </w:rPr>
        <w:t xml:space="preserve">SBAS-InSAR</w:t>
      </w:r>
      <w:r>
        <w:rPr>
          <w:rFonts w:ascii="Times New Roman" w:hAnsi="Times New Roman" w:eastAsia="Times New Roman"/>
          <w:sz w:val="20"/>
        </w:rPr>
        <w:t xml:space="preserve"> </w:t>
      </w:r>
      <w:r>
        <w:rPr>
          <w:rFonts w:ascii="Times New Roman" w:hAnsi="Times New Roman" w:eastAsia="Times New Roman"/>
          <w:sz w:val="20"/>
        </w:rPr>
        <w:t xml:space="preserve">Technology and</w:t>
      </w:r>
      <w:r>
        <w:rPr>
          <w:rFonts w:ascii="Times New Roman" w:hAnsi="Times New Roman" w:eastAsia="Times New Roman"/>
          <w:sz w:val="20"/>
        </w:rPr>
        <w:t xml:space="preserve"> </w:t>
      </w:r>
      <w:r>
        <w:rPr>
          <w:rFonts w:ascii="Times New Roman" w:hAnsi="Times New Roman" w:eastAsia="Times New Roman"/>
          <w:sz w:val="20"/>
        </w:rPr>
        <w:t xml:space="preserve">SSA-BP</w:t>
      </w:r>
      <w:r>
        <w:rPr>
          <w:rFonts w:ascii="Times New Roman" w:hAnsi="Times New Roman" w:eastAsia="Times New Roman"/>
          <w:sz w:val="20"/>
        </w:rPr>
        <w:t xml:space="preserve"> </w:t>
      </w:r>
      <w:r>
        <w:rPr>
          <w:rFonts w:ascii="Times New Roman" w:hAnsi="Times New Roman" w:eastAsia="Times New Roman"/>
          <w:sz w:val="20"/>
        </w:rPr>
        <w:t xml:space="preserve">Neural Network Algorithm: A Case Study of</w:t>
      </w:r>
      <w:r>
        <w:rPr>
          <w:rFonts w:ascii="Times New Roman" w:hAnsi="Times New Roman" w:eastAsia="Times New Roman"/>
          <w:sz w:val="20"/>
        </w:rPr>
        <w:t xml:space="preserve"> </w:t>
      </w:r>
      <w:r>
        <w:rPr>
          <w:rFonts w:ascii="Times New Roman" w:hAnsi="Times New Roman" w:eastAsia="Times New Roman"/>
          <w:sz w:val="20"/>
        </w:rPr>
        <w:t xml:space="preserve">Baihetan Reservoir Area</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21 (3): 952–72.</w:t>
      </w:r>
      <w:r>
        <w:rPr>
          <w:rFonts w:ascii="Times New Roman" w:hAnsi="Times New Roman" w:eastAsia="Times New Roman"/>
          <w:sz w:val="20"/>
        </w:rPr>
        <w:t xml:space="preserve"> </w:t>
      </w:r>
      <w:hyperlink r:id="rId80">
        <w:r>
          <w:rPr>
            <w:rStyle w:val="Hyperlink"/>
          </w:rPr>
          <w:t xml:space="preserve">https://doi.org/10.1007/s11629-023-8083-9</w:t>
        </w:r>
      </w:hyperlink>
      <w:r>
        <w:rPr>
          <w:rFonts w:ascii="Times New Roman" w:hAnsi="Times New Roman" w:eastAsia="Times New Roman"/>
          <w:sz w:val="20"/>
        </w:rPr>
        <w:t xml:space="preserve">.</w:t>
      </w:r>
    </w:p>
    <w:bookmarkEnd w:id="81"/>
    <w:bookmarkStart w:id="83" w:name="ref-liu2021object"/>
    <w:p>
      <w:pPr>
        <w:pStyle w:val="Bibliography"/>
        <w:spacing w:after="0" w:line="240" w:lineRule="auto"/>
      </w:pPr>
      <w:r>
        <w:rPr>
          <w:rFonts w:ascii="Times New Roman" w:hAnsi="Times New Roman" w:eastAsia="Times New Roman"/>
          <w:sz w:val="20"/>
        </w:rPr>
        <w:t xml:space="preserve">Liu, Yang, Xi Chen, Yubao Qiu, Jiansheng Hao, Jinming Yang, and Lanhai Li. 2021.</w:t>
      </w:r>
      <w:r>
        <w:rPr>
          <w:rFonts w:ascii="Times New Roman" w:hAnsi="Times New Roman" w:eastAsia="Times New Roman"/>
          <w:sz w:val="20"/>
        </w:rPr>
        <w:t xml:space="preserve"> </w:t>
      </w:r>
      <w:r>
        <w:rPr>
          <w:rFonts w:ascii="Times New Roman" w:hAnsi="Times New Roman" w:eastAsia="Times New Roman"/>
          <w:sz w:val="20"/>
        </w:rPr>
        <w:t xml:space="preserve">“Mapping Snow Avalanche Debris by Object-Based Classification in Mountainous Regions from</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Images and Causative Indices.”</w:t>
      </w:r>
      <w:r>
        <w:rPr>
          <w:rFonts w:ascii="Times New Roman" w:hAnsi="Times New Roman" w:eastAsia="Times New Roman"/>
          <w:sz w:val="20"/>
        </w:rPr>
        <w:t xml:space="preserve"> </w:t>
      </w:r>
      <w:r>
        <w:rPr>
          <w:rFonts w:ascii="Times New Roman" w:hAnsi="Times New Roman" w:eastAsia="Times New Roman"/>
          <w:i/>
          <w:iCs/>
          <w:sz w:val="20"/>
        </w:rPr>
        <w:t xml:space="preserve">CATENA</w:t>
      </w:r>
      <w:r>
        <w:rPr>
          <w:rFonts w:ascii="Times New Roman" w:hAnsi="Times New Roman" w:eastAsia="Times New Roman"/>
          <w:sz w:val="20"/>
        </w:rPr>
        <w:t xml:space="preserve"> </w:t>
      </w:r>
      <w:r>
        <w:rPr>
          <w:rFonts w:ascii="Times New Roman" w:hAnsi="Times New Roman" w:eastAsia="Times New Roman"/>
          <w:sz w:val="20"/>
        </w:rPr>
        <w:t xml:space="preserve">206: 105559.</w:t>
      </w:r>
      <w:r>
        <w:rPr>
          <w:rFonts w:ascii="Times New Roman" w:hAnsi="Times New Roman" w:eastAsia="Times New Roman"/>
          <w:sz w:val="20"/>
        </w:rPr>
        <w:t xml:space="preserve"> </w:t>
      </w:r>
      <w:hyperlink r:id="rId82">
        <w:r>
          <w:rPr>
            <w:rStyle w:val="Hyperlink"/>
          </w:rPr>
          <w:t xml:space="preserve">https://doi.org/10.1016/j.catena.2021.105559</w:t>
        </w:r>
      </w:hyperlink>
      <w:r>
        <w:rPr>
          <w:rFonts w:ascii="Times New Roman" w:hAnsi="Times New Roman" w:eastAsia="Times New Roman"/>
          <w:sz w:val="20"/>
        </w:rPr>
        <w:t xml:space="preserve">.</w:t>
      </w:r>
    </w:p>
    <w:bookmarkEnd w:id="83"/>
    <w:bookmarkStart w:id="85" w:name="ref-openstreetmap2026"/>
    <w:p>
      <w:pPr>
        <w:pStyle w:val="Bibliography"/>
        <w:spacing w:after="0" w:line="240" w:lineRule="auto"/>
      </w:pPr>
      <w:r>
        <w:rPr>
          <w:rFonts w:ascii="Times New Roman" w:hAnsi="Times New Roman" w:eastAsia="Times New Roman"/>
          <w:sz w:val="20"/>
        </w:rPr>
        <w:t xml:space="preserve">OpenStreetMap contributors. 2026.</w:t>
      </w:r>
      <w:r>
        <w:rPr>
          <w:rFonts w:ascii="Times New Roman" w:hAnsi="Times New Roman" w:eastAsia="Times New Roman"/>
          <w:sz w:val="20"/>
        </w:rPr>
        <w:t xml:space="preserve"> </w:t>
      </w:r>
      <w:r>
        <w:rPr>
          <w:rFonts w:ascii="Times New Roman" w:hAnsi="Times New Roman" w:eastAsia="Times New Roman"/>
          <w:i/>
          <w:iCs/>
          <w:sz w:val="20"/>
        </w:rPr>
        <w:t xml:space="preserve">OpenStreetMap</w:t>
      </w:r>
      <w:r>
        <w:rPr>
          <w:rFonts w:ascii="Times New Roman" w:hAnsi="Times New Roman" w:eastAsia="Times New Roman"/>
          <w:sz w:val="20"/>
        </w:rPr>
        <w:t xml:space="preserve">.</w:t>
      </w:r>
      <w:r>
        <w:rPr>
          <w:rFonts w:ascii="Times New Roman" w:hAnsi="Times New Roman" w:eastAsia="Times New Roman"/>
          <w:sz w:val="20"/>
        </w:rPr>
        <w:t xml:space="preserve"> </w:t>
      </w:r>
      <w:hyperlink r:id="rId84">
        <w:r>
          <w:rPr>
            <w:rStyle w:val="Hyperlink"/>
          </w:rPr>
          <w:t xml:space="preserve">Https://www.openstreetmap.org/copyright</w:t>
        </w:r>
      </w:hyperlink>
      <w:r>
        <w:rPr>
          <w:rFonts w:ascii="Times New Roman" w:hAnsi="Times New Roman" w:eastAsia="Times New Roman"/>
          <w:sz w:val="20"/>
        </w:rPr>
        <w:t xml:space="preserve">.</w:t>
      </w:r>
    </w:p>
    <w:bookmarkEnd w:id="85"/>
    <w:bookmarkStart w:id="87" w:name="ref-sajjad2024assessing"/>
    <w:p>
      <w:pPr>
        <w:pStyle w:val="Bibliography"/>
        <w:spacing w:after="0" w:line="240" w:lineRule="auto"/>
      </w:pPr>
      <w:r>
        <w:rPr>
          <w:rFonts w:ascii="Times New Roman" w:hAnsi="Times New Roman" w:eastAsia="Times New Roman"/>
          <w:sz w:val="20"/>
        </w:rPr>
        <w:t xml:space="preserve">Sajjad, Meer Muhammad, Juanle Wang, Daqing Ge, Rehan Khan, Izhar Ahmed, and Khan Zada. 2024.</w:t>
      </w:r>
      <w:r>
        <w:rPr>
          <w:rFonts w:ascii="Times New Roman" w:hAnsi="Times New Roman" w:eastAsia="Times New Roman"/>
          <w:sz w:val="20"/>
        </w:rPr>
        <w:t xml:space="preserve"> </w:t>
      </w:r>
      <w:r>
        <w:rPr>
          <w:rFonts w:ascii="Times New Roman" w:hAnsi="Times New Roman" w:eastAsia="Times New Roman"/>
          <w:sz w:val="20"/>
        </w:rPr>
        <w:t xml:space="preserve">“Assessing the Potential Landslide Risk Identification in the Northern Section of</w:t>
      </w:r>
      <w:r>
        <w:rPr>
          <w:rFonts w:ascii="Times New Roman" w:hAnsi="Times New Roman" w:eastAsia="Times New Roman"/>
          <w:sz w:val="20"/>
        </w:rPr>
        <w:t xml:space="preserve"> </w:t>
      </w:r>
      <w:r>
        <w:rPr>
          <w:rFonts w:ascii="Times New Roman" w:hAnsi="Times New Roman" w:eastAsia="Times New Roman"/>
          <w:sz w:val="20"/>
        </w:rPr>
        <w:t xml:space="preserve">CPEC</w:t>
      </w:r>
      <w:r>
        <w:rPr>
          <w:rFonts w:ascii="Times New Roman" w:hAnsi="Times New Roman" w:eastAsia="Times New Roman"/>
          <w:sz w:val="20"/>
        </w:rPr>
        <w:t xml:space="preserve"> </w:t>
      </w:r>
      <w:r>
        <w:rPr>
          <w:rFonts w:ascii="Times New Roman" w:hAnsi="Times New Roman" w:eastAsia="Times New Roman"/>
          <w:sz w:val="20"/>
        </w:rPr>
        <w:t xml:space="preserve">Route</w:t>
      </w:r>
      <w:r>
        <w:rPr>
          <w:rFonts w:ascii="Times New Roman" w:hAnsi="Times New Roman" w:eastAsia="Times New Roman"/>
          <w:sz w:val="20"/>
        </w:rPr>
        <w:t xml:space="preserve"> </w:t>
      </w:r>
      <w:r>
        <w:rPr>
          <w:rFonts w:ascii="Times New Roman" w:hAnsi="Times New Roman" w:eastAsia="Times New Roman"/>
          <w:sz w:val="20"/>
        </w:rPr>
        <w:t xml:space="preserve">Pakistan</w:t>
      </w:r>
      <w:r>
        <w:rPr>
          <w:rFonts w:ascii="Times New Roman" w:hAnsi="Times New Roman" w:eastAsia="Times New Roman"/>
          <w:sz w:val="20"/>
        </w:rPr>
        <w:t xml:space="preserve"> </w:t>
      </w:r>
      <w:r>
        <w:rPr>
          <w:rFonts w:ascii="Times New Roman" w:hAnsi="Times New Roman" w:eastAsia="Times New Roman"/>
          <w:sz w:val="20"/>
        </w:rPr>
        <w:t xml:space="preserve">Based on Multi-Temporal</w:t>
      </w:r>
      <w:r>
        <w:rPr>
          <w:rFonts w:ascii="Times New Roman" w:hAnsi="Times New Roman" w:eastAsia="Times New Roman"/>
          <w:sz w:val="20"/>
        </w:rPr>
        <w:t xml:space="preserve"> </w:t>
      </w:r>
      <w:r>
        <w:rPr>
          <w:rFonts w:ascii="Times New Roman" w:hAnsi="Times New Roman" w:eastAsia="Times New Roman"/>
          <w:sz w:val="20"/>
        </w:rPr>
        <w:t xml:space="preserve">InSAR</w:t>
      </w:r>
      <w:r>
        <w:rPr>
          <w:rFonts w:ascii="Times New Roman" w:hAnsi="Times New Roman" w:eastAsia="Times New Roman"/>
          <w:sz w:val="20"/>
        </w:rPr>
        <w:t xml:space="preserve"> </w:t>
      </w:r>
      <w:r>
        <w:rPr>
          <w:rFonts w:ascii="Times New Roman" w:hAnsi="Times New Roman" w:eastAsia="Times New Roman"/>
          <w:sz w:val="20"/>
        </w:rPr>
        <w:t xml:space="preserve">Approaches.”</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21 (12): 4131–48.</w:t>
      </w:r>
      <w:r>
        <w:rPr>
          <w:rFonts w:ascii="Times New Roman" w:hAnsi="Times New Roman" w:eastAsia="Times New Roman"/>
          <w:sz w:val="20"/>
        </w:rPr>
        <w:t xml:space="preserve"> </w:t>
      </w:r>
      <w:hyperlink r:id="rId86">
        <w:r>
          <w:rPr>
            <w:rStyle w:val="Hyperlink"/>
          </w:rPr>
          <w:t xml:space="preserve">https://doi.org/10.1007/s11629-024-8871-x</w:t>
        </w:r>
      </w:hyperlink>
      <w:r>
        <w:rPr>
          <w:rFonts w:ascii="Times New Roman" w:hAnsi="Times New Roman" w:eastAsia="Times New Roman"/>
          <w:sz w:val="20"/>
        </w:rPr>
        <w:t xml:space="preserve">.</w:t>
      </w:r>
    </w:p>
    <w:bookmarkEnd w:id="87"/>
    <w:bookmarkStart w:id="89" w:name="ref-small2011flattening"/>
    <w:p>
      <w:pPr>
        <w:pStyle w:val="Bibliography"/>
        <w:spacing w:after="0" w:line="240" w:lineRule="auto"/>
      </w:pPr>
      <w:r>
        <w:rPr>
          <w:rFonts w:ascii="Times New Roman" w:hAnsi="Times New Roman" w:eastAsia="Times New Roman"/>
          <w:sz w:val="20"/>
        </w:rPr>
        <w:t xml:space="preserve">Small, David. 2011.</w:t>
      </w:r>
      <w:r>
        <w:rPr>
          <w:rFonts w:ascii="Times New Roman" w:hAnsi="Times New Roman" w:eastAsia="Times New Roman"/>
          <w:sz w:val="20"/>
        </w:rPr>
        <w:t xml:space="preserve"> </w:t>
      </w:r>
      <w:r>
        <w:rPr>
          <w:rFonts w:ascii="Times New Roman" w:hAnsi="Times New Roman" w:eastAsia="Times New Roman"/>
          <w:sz w:val="20"/>
        </w:rPr>
        <w:t xml:space="preserve">“Flattening</w:t>
      </w:r>
      <w:r>
        <w:rPr>
          <w:rFonts w:ascii="Times New Roman" w:hAnsi="Times New Roman" w:eastAsia="Times New Roman"/>
          <w:sz w:val="20"/>
        </w:rPr>
        <w:t xml:space="preserve"> </w:t>
      </w:r>
      <w:r>
        <w:rPr>
          <w:rFonts w:ascii="Times New Roman" w:hAnsi="Times New Roman" w:eastAsia="Times New Roman"/>
          <w:sz w:val="20"/>
        </w:rPr>
        <w:t xml:space="preserve">Gamma</w:t>
      </w:r>
      <w:r>
        <w:rPr>
          <w:rFonts w:ascii="Times New Roman" w:hAnsi="Times New Roman" w:eastAsia="Times New Roman"/>
          <w:sz w:val="20"/>
        </w:rPr>
        <w:t xml:space="preserve">: Radiometric Terrain Correction for</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Imagery.”</w:t>
      </w:r>
      <w:r>
        <w:rPr>
          <w:rFonts w:ascii="Times New Roman" w:hAnsi="Times New Roman" w:eastAsia="Times New Roman"/>
          <w:sz w:val="20"/>
        </w:rPr>
        <w:t xml:space="preserve"> </w:t>
      </w:r>
      <w:r>
        <w:rPr>
          <w:rFonts w:ascii="Times New Roman" w:hAnsi="Times New Roman" w:eastAsia="Times New Roman"/>
          <w:i/>
          <w:iCs/>
          <w:sz w:val="20"/>
        </w:rPr>
        <w:t xml:space="preserve">IEEE Transactions on Geoscience and Remote Sensing</w:t>
      </w:r>
      <w:r>
        <w:rPr>
          <w:rFonts w:ascii="Times New Roman" w:hAnsi="Times New Roman" w:eastAsia="Times New Roman"/>
          <w:sz w:val="20"/>
        </w:rPr>
        <w:t xml:space="preserve"> </w:t>
      </w:r>
      <w:r>
        <w:rPr>
          <w:rFonts w:ascii="Times New Roman" w:hAnsi="Times New Roman" w:eastAsia="Times New Roman"/>
          <w:sz w:val="20"/>
        </w:rPr>
        <w:t xml:space="preserve">49 (8): 3081–93.</w:t>
      </w:r>
      <w:r>
        <w:rPr>
          <w:rFonts w:ascii="Times New Roman" w:hAnsi="Times New Roman" w:eastAsia="Times New Roman"/>
          <w:sz w:val="20"/>
        </w:rPr>
        <w:t xml:space="preserve"> </w:t>
      </w:r>
      <w:hyperlink r:id="rId88">
        <w:r>
          <w:rPr>
            <w:rStyle w:val="Hyperlink"/>
          </w:rPr>
          <w:t xml:space="preserve">https://doi.org/10.1109/TGRS.2011.2120616</w:t>
        </w:r>
      </w:hyperlink>
      <w:r>
        <w:rPr>
          <w:rFonts w:ascii="Times New Roman" w:hAnsi="Times New Roman" w:eastAsia="Times New Roman"/>
          <w:sz w:val="20"/>
        </w:rPr>
        <w:t xml:space="preserve">.</w:t>
      </w:r>
    </w:p>
    <w:bookmarkEnd w:id="89"/>
    <w:bookmarkStart w:id="91" w:name="ref-techel2018spatial"/>
    <w:p>
      <w:pPr>
        <w:pStyle w:val="Bibliography"/>
        <w:spacing w:after="0" w:line="240" w:lineRule="auto"/>
      </w:pPr>
      <w:r>
        <w:rPr>
          <w:rFonts w:ascii="Times New Roman" w:hAnsi="Times New Roman" w:eastAsia="Times New Roman"/>
          <w:sz w:val="20"/>
        </w:rPr>
        <w:t xml:space="preserve">Techel, Frank, Christoph Mitterer, Elisabetta Ceaglio, et al. 2018.</w:t>
      </w:r>
      <w:r>
        <w:rPr>
          <w:rFonts w:ascii="Times New Roman" w:hAnsi="Times New Roman" w:eastAsia="Times New Roman"/>
          <w:sz w:val="20"/>
        </w:rPr>
        <w:t xml:space="preserve"> </w:t>
      </w:r>
      <w:r>
        <w:rPr>
          <w:rFonts w:ascii="Times New Roman" w:hAnsi="Times New Roman" w:eastAsia="Times New Roman"/>
          <w:sz w:val="20"/>
        </w:rPr>
        <w:t xml:space="preserve">“Spatial Consistency and Bias in Avalanche Forecasts—a Case Study in the</w:t>
      </w:r>
      <w:r>
        <w:rPr>
          <w:rFonts w:ascii="Times New Roman" w:hAnsi="Times New Roman" w:eastAsia="Times New Roman"/>
          <w:sz w:val="20"/>
        </w:rPr>
        <w:t xml:space="preserve"> </w:t>
      </w:r>
      <w:r>
        <w:rPr>
          <w:rFonts w:ascii="Times New Roman" w:hAnsi="Times New Roman" w:eastAsia="Times New Roman"/>
          <w:sz w:val="20"/>
        </w:rPr>
        <w:t xml:space="preserve">European Alps</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Natural Hazards and Earth System Sciences</w:t>
      </w:r>
      <w:r>
        <w:rPr>
          <w:rFonts w:ascii="Times New Roman" w:hAnsi="Times New Roman" w:eastAsia="Times New Roman"/>
          <w:sz w:val="20"/>
        </w:rPr>
        <w:t xml:space="preserve"> </w:t>
      </w:r>
      <w:r>
        <w:rPr>
          <w:rFonts w:ascii="Times New Roman" w:hAnsi="Times New Roman" w:eastAsia="Times New Roman"/>
          <w:sz w:val="20"/>
        </w:rPr>
        <w:t xml:space="preserve">18 (10): 2697–716.</w:t>
      </w:r>
      <w:r>
        <w:rPr>
          <w:rFonts w:ascii="Times New Roman" w:hAnsi="Times New Roman" w:eastAsia="Times New Roman"/>
          <w:sz w:val="20"/>
        </w:rPr>
        <w:t xml:space="preserve"> </w:t>
      </w:r>
      <w:hyperlink r:id="rId90">
        <w:r>
          <w:rPr>
            <w:rStyle w:val="Hyperlink"/>
          </w:rPr>
          <w:t xml:space="preserve">https://doi.org/10.5194/nhess-18-2697-2018</w:t>
        </w:r>
      </w:hyperlink>
      <w:r>
        <w:rPr>
          <w:rFonts w:ascii="Times New Roman" w:hAnsi="Times New Roman" w:eastAsia="Times New Roman"/>
          <w:sz w:val="20"/>
        </w:rPr>
        <w:t xml:space="preserve">.</w:t>
      </w:r>
    </w:p>
    <w:bookmarkEnd w:id="91"/>
    <w:bookmarkStart w:id="93" w:name="ref-tompkin2021backscatter"/>
    <w:p>
      <w:pPr>
        <w:pStyle w:val="Bibliography"/>
        <w:spacing w:after="0" w:line="240" w:lineRule="auto"/>
      </w:pPr>
      <w:r>
        <w:rPr>
          <w:rFonts w:ascii="Times New Roman" w:hAnsi="Times New Roman" w:eastAsia="Times New Roman"/>
          <w:sz w:val="20"/>
        </w:rPr>
        <w:t xml:space="preserve">Tompkin, Cedric, and Silvan Leinss. 2021.</w:t>
      </w:r>
      <w:r>
        <w:rPr>
          <w:rFonts w:ascii="Times New Roman" w:hAnsi="Times New Roman" w:eastAsia="Times New Roman"/>
          <w:sz w:val="20"/>
        </w:rPr>
        <w:t xml:space="preserve"> </w:t>
      </w:r>
      <w:r>
        <w:rPr>
          <w:rFonts w:ascii="Times New Roman" w:hAnsi="Times New Roman" w:eastAsia="Times New Roman"/>
          <w:sz w:val="20"/>
        </w:rPr>
        <w:t xml:space="preserve">“Backscatter Characteristics of Snow Avalanches for Mapping with Local Resolution Weighting.”</w:t>
      </w:r>
      <w:r>
        <w:rPr>
          <w:rFonts w:ascii="Times New Roman" w:hAnsi="Times New Roman" w:eastAsia="Times New Roman"/>
          <w:sz w:val="20"/>
        </w:rPr>
        <w:t xml:space="preserve"> </w:t>
      </w:r>
      <w:r>
        <w:rPr>
          <w:rFonts w:ascii="Times New Roman" w:hAnsi="Times New Roman" w:eastAsia="Times New Roman"/>
          <w:i/>
          <w:iCs/>
          <w:sz w:val="20"/>
        </w:rPr>
        <w:t xml:space="preserve">IEEE Journal of Selected Topics in Applied Earth Observations and Remote Sensing</w:t>
      </w:r>
      <w:r>
        <w:rPr>
          <w:rFonts w:ascii="Times New Roman" w:hAnsi="Times New Roman" w:eastAsia="Times New Roman"/>
          <w:sz w:val="20"/>
        </w:rPr>
        <w:t xml:space="preserve"> </w:t>
      </w:r>
      <w:r>
        <w:rPr>
          <w:rFonts w:ascii="Times New Roman" w:hAnsi="Times New Roman" w:eastAsia="Times New Roman"/>
          <w:sz w:val="20"/>
        </w:rPr>
        <w:t xml:space="preserve">14: 4452–64.</w:t>
      </w:r>
      <w:r>
        <w:rPr>
          <w:rFonts w:ascii="Times New Roman" w:hAnsi="Times New Roman" w:eastAsia="Times New Roman"/>
          <w:sz w:val="20"/>
        </w:rPr>
        <w:t xml:space="preserve"> </w:t>
      </w:r>
      <w:hyperlink r:id="rId92">
        <w:r>
          <w:rPr>
            <w:rStyle w:val="Hyperlink"/>
          </w:rPr>
          <w:t xml:space="preserve">https://doi.org/10.1109/JSTARS.2021.3074418</w:t>
        </w:r>
      </w:hyperlink>
      <w:r>
        <w:rPr>
          <w:rFonts w:ascii="Times New Roman" w:hAnsi="Times New Roman" w:eastAsia="Times New Roman"/>
          <w:sz w:val="20"/>
        </w:rPr>
        <w:t xml:space="preserve">.</w:t>
      </w:r>
    </w:p>
    <w:bookmarkEnd w:id="93"/>
    <w:bookmarkStart w:id="95" w:name="ref-veitinger2014large"/>
    <w:p>
      <w:pPr>
        <w:pStyle w:val="Bibliography"/>
        <w:spacing w:after="0" w:line="240" w:lineRule="auto"/>
      </w:pPr>
      <w:r>
        <w:rPr>
          <w:rFonts w:ascii="Times New Roman" w:hAnsi="Times New Roman" w:eastAsia="Times New Roman"/>
          <w:sz w:val="20"/>
        </w:rPr>
        <w:t xml:space="preserve">Veitinger, J., B. Sovilla, and R. S. Purves. 2014.</w:t>
      </w:r>
      <w:r>
        <w:rPr>
          <w:rFonts w:ascii="Times New Roman" w:hAnsi="Times New Roman" w:eastAsia="Times New Roman"/>
          <w:sz w:val="20"/>
        </w:rPr>
        <w:t xml:space="preserve"> </w:t>
      </w:r>
      <w:r>
        <w:rPr>
          <w:rFonts w:ascii="Times New Roman" w:hAnsi="Times New Roman" w:eastAsia="Times New Roman"/>
          <w:sz w:val="20"/>
        </w:rPr>
        <w:t xml:space="preserve">“Influence of Snow Depth Distribution on Surface Roughness in Alpine Terrain: A Multi-Scale Approach.”</w:t>
      </w:r>
      <w:r>
        <w:rPr>
          <w:rFonts w:ascii="Times New Roman" w:hAnsi="Times New Roman" w:eastAsia="Times New Roman"/>
          <w:sz w:val="20"/>
        </w:rPr>
        <w:t xml:space="preserve"> </w:t>
      </w:r>
      <w:r>
        <w:rPr>
          <w:rFonts w:ascii="Times New Roman" w:hAnsi="Times New Roman" w:eastAsia="Times New Roman"/>
          <w:i/>
          <w:iCs/>
          <w:sz w:val="20"/>
        </w:rPr>
        <w:t xml:space="preserve">The Cryosphere</w:t>
      </w:r>
      <w:r>
        <w:rPr>
          <w:rFonts w:ascii="Times New Roman" w:hAnsi="Times New Roman" w:eastAsia="Times New Roman"/>
          <w:sz w:val="20"/>
        </w:rPr>
        <w:t xml:space="preserve"> </w:t>
      </w:r>
      <w:r>
        <w:rPr>
          <w:rFonts w:ascii="Times New Roman" w:hAnsi="Times New Roman" w:eastAsia="Times New Roman"/>
          <w:sz w:val="20"/>
        </w:rPr>
        <w:t xml:space="preserve">8 (2): 547–69.</w:t>
      </w:r>
      <w:r>
        <w:rPr>
          <w:rFonts w:ascii="Times New Roman" w:hAnsi="Times New Roman" w:eastAsia="Times New Roman"/>
          <w:sz w:val="20"/>
        </w:rPr>
        <w:t xml:space="preserve"> </w:t>
      </w:r>
      <w:hyperlink r:id="rId94">
        <w:r>
          <w:rPr>
            <w:rStyle w:val="Hyperlink"/>
          </w:rPr>
          <w:t xml:space="preserve">https://doi.org/10.5194/tc-8-547-2014</w:t>
        </w:r>
      </w:hyperlink>
      <w:r>
        <w:rPr>
          <w:rFonts w:ascii="Times New Roman" w:hAnsi="Times New Roman" w:eastAsia="Times New Roman"/>
          <w:sz w:val="20"/>
        </w:rPr>
        <w:t xml:space="preserve">.</w:t>
      </w:r>
    </w:p>
    <w:bookmarkEnd w:id="95"/>
    <w:bookmarkStart w:id="97" w:name="ref-vickers2016method"/>
    <w:p>
      <w:pPr>
        <w:pStyle w:val="Bibliography"/>
        <w:spacing w:after="0" w:line="240" w:lineRule="auto"/>
      </w:pPr>
      <w:r>
        <w:rPr>
          <w:rFonts w:ascii="Times New Roman" w:hAnsi="Times New Roman" w:eastAsia="Times New Roman"/>
          <w:sz w:val="20"/>
        </w:rPr>
        <w:t xml:space="preserve">Vickers, Hannah, Markus Eckerstorfer, Eirik Malnes, Yngvar Larsen, and Heidi Hindberg. 2016.</w:t>
      </w:r>
      <w:r>
        <w:rPr>
          <w:rFonts w:ascii="Times New Roman" w:hAnsi="Times New Roman" w:eastAsia="Times New Roman"/>
          <w:sz w:val="20"/>
        </w:rPr>
        <w:t xml:space="preserve"> </w:t>
      </w:r>
      <w:r>
        <w:rPr>
          <w:rFonts w:ascii="Times New Roman" w:hAnsi="Times New Roman" w:eastAsia="Times New Roman"/>
          <w:sz w:val="20"/>
        </w:rPr>
        <w:t xml:space="preserve">“A Method for Automated Snow Avalanche Debris Detection Through Use of Synthetic Aperture Radar (</w:t>
      </w:r>
      <w:r>
        <w:rPr>
          <w:rFonts w:ascii="Times New Roman" w:hAnsi="Times New Roman" w:eastAsia="Times New Roman"/>
          <w:sz w:val="20"/>
        </w:rPr>
        <w:t xml:space="preserve">SAR</w:t>
      </w:r>
      <w:r>
        <w:rPr>
          <w:rFonts w:ascii="Times New Roman" w:hAnsi="Times New Roman" w:eastAsia="Times New Roman"/>
          <w:sz w:val="20"/>
        </w:rPr>
        <w:t xml:space="preserve">) Imaging.”</w:t>
      </w:r>
      <w:r>
        <w:rPr>
          <w:rFonts w:ascii="Times New Roman" w:hAnsi="Times New Roman" w:eastAsia="Times New Roman"/>
          <w:sz w:val="20"/>
        </w:rPr>
        <w:t xml:space="preserve"> </w:t>
      </w:r>
      <w:r>
        <w:rPr>
          <w:rFonts w:ascii="Times New Roman" w:hAnsi="Times New Roman" w:eastAsia="Times New Roman"/>
          <w:i/>
          <w:iCs/>
          <w:sz w:val="20"/>
        </w:rPr>
        <w:t xml:space="preserve">Earth and Space Science</w:t>
      </w:r>
      <w:r>
        <w:rPr>
          <w:rFonts w:ascii="Times New Roman" w:hAnsi="Times New Roman" w:eastAsia="Times New Roman"/>
          <w:sz w:val="20"/>
        </w:rPr>
        <w:t xml:space="preserve"> </w:t>
      </w:r>
      <w:r>
        <w:rPr>
          <w:rFonts w:ascii="Times New Roman" w:hAnsi="Times New Roman" w:eastAsia="Times New Roman"/>
          <w:sz w:val="20"/>
        </w:rPr>
        <w:t xml:space="preserve">3 (11): 446–62.</w:t>
      </w:r>
      <w:r>
        <w:rPr>
          <w:rFonts w:ascii="Times New Roman" w:hAnsi="Times New Roman" w:eastAsia="Times New Roman"/>
          <w:sz w:val="20"/>
        </w:rPr>
        <w:t xml:space="preserve"> </w:t>
      </w:r>
      <w:hyperlink r:id="rId96">
        <w:r>
          <w:rPr>
            <w:rStyle w:val="Hyperlink"/>
          </w:rPr>
          <w:t xml:space="preserve">https://doi.org/10.1002/2016EA000168</w:t>
        </w:r>
      </w:hyperlink>
      <w:r>
        <w:rPr>
          <w:rFonts w:ascii="Times New Roman" w:hAnsi="Times New Roman" w:eastAsia="Times New Roman"/>
          <w:sz w:val="20"/>
        </w:rPr>
        <w:t xml:space="preserve">.</w:t>
      </w:r>
    </w:p>
    <w:bookmarkEnd w:id="97"/>
    <w:bookmarkStart w:id="99" w:name="ref-wang2023evaluation"/>
    <w:p>
      <w:pPr>
        <w:pStyle w:val="Bibliography"/>
        <w:spacing w:after="0" w:line="240" w:lineRule="auto"/>
      </w:pPr>
      <w:r>
        <w:rPr>
          <w:rFonts w:ascii="Times New Roman" w:hAnsi="Times New Roman" w:eastAsia="Times New Roman"/>
          <w:sz w:val="20"/>
        </w:rPr>
        <w:t xml:space="preserve">Wang, Di, Rong-hao Yang, Xiao Wang, et al. 2023.</w:t>
      </w:r>
      <w:r>
        <w:rPr>
          <w:rFonts w:ascii="Times New Roman" w:hAnsi="Times New Roman" w:eastAsia="Times New Roman"/>
          <w:sz w:val="20"/>
        </w:rPr>
        <w:t xml:space="preserve"> </w:t>
      </w:r>
      <w:r>
        <w:rPr>
          <w:rFonts w:ascii="Times New Roman" w:hAnsi="Times New Roman" w:eastAsia="Times New Roman"/>
          <w:sz w:val="20"/>
        </w:rPr>
        <w:t xml:space="preserve">“Evaluation of Deep Learning Algorithms for Landslide Susceptibility Mapping in an Alpine-Gorge Area: A Case Study in</w:t>
      </w:r>
      <w:r>
        <w:rPr>
          <w:rFonts w:ascii="Times New Roman" w:hAnsi="Times New Roman" w:eastAsia="Times New Roman"/>
          <w:sz w:val="20"/>
        </w:rPr>
        <w:t xml:space="preserve"> </w:t>
      </w:r>
      <w:r>
        <w:rPr>
          <w:rFonts w:ascii="Times New Roman" w:hAnsi="Times New Roman" w:eastAsia="Times New Roman"/>
          <w:sz w:val="20"/>
        </w:rPr>
        <w:t xml:space="preserve">Jiuzhaigou County</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20 (2): 484–500.</w:t>
      </w:r>
      <w:r>
        <w:rPr>
          <w:rFonts w:ascii="Times New Roman" w:hAnsi="Times New Roman" w:eastAsia="Times New Roman"/>
          <w:sz w:val="20"/>
        </w:rPr>
        <w:t xml:space="preserve"> </w:t>
      </w:r>
      <w:hyperlink r:id="rId98">
        <w:r>
          <w:rPr>
            <w:rStyle w:val="Hyperlink"/>
          </w:rPr>
          <w:t xml:space="preserve">https://doi.org/10.1007/s11629-022-7326-5</w:t>
        </w:r>
      </w:hyperlink>
      <w:r>
        <w:rPr>
          <w:rFonts w:ascii="Times New Roman" w:hAnsi="Times New Roman" w:eastAsia="Times New Roman"/>
          <w:sz w:val="20"/>
        </w:rPr>
        <w:t xml:space="preserve">.</w:t>
      </w:r>
    </w:p>
    <w:bookmarkEnd w:id="99"/>
    <w:bookmarkStart w:id="101" w:name="ref-zhang2018road"/>
    <w:p>
      <w:pPr>
        <w:pStyle w:val="Bibliography"/>
        <w:spacing w:after="0" w:line="240" w:lineRule="auto"/>
      </w:pPr>
      <w:r>
        <w:rPr>
          <w:rFonts w:ascii="Times New Roman" w:hAnsi="Times New Roman" w:eastAsia="Times New Roman"/>
          <w:sz w:val="20"/>
        </w:rPr>
        <w:t xml:space="preserve">Zhang, Zhengxin, Qingjie Liu, and Yunhong Wang. 2018.</w:t>
      </w:r>
      <w:r>
        <w:rPr>
          <w:rFonts w:ascii="Times New Roman" w:hAnsi="Times New Roman" w:eastAsia="Times New Roman"/>
          <w:sz w:val="20"/>
        </w:rPr>
        <w:t xml:space="preserve"> </w:t>
      </w:r>
      <w:r>
        <w:rPr>
          <w:rFonts w:ascii="Times New Roman" w:hAnsi="Times New Roman" w:eastAsia="Times New Roman"/>
          <w:sz w:val="20"/>
        </w:rPr>
        <w:t xml:space="preserve">“Road Extraction by Deep Residual</w:t>
      </w:r>
      <w:r>
        <w:rPr>
          <w:rFonts w:ascii="Times New Roman" w:hAnsi="Times New Roman" w:eastAsia="Times New Roman"/>
          <w:sz w:val="20"/>
        </w:rPr>
        <w:t xml:space="preserve"> </w:t>
      </w:r>
      <w:r>
        <w:rPr>
          <w:rFonts w:ascii="Times New Roman" w:hAnsi="Times New Roman" w:eastAsia="Times New Roman"/>
          <w:sz w:val="20"/>
        </w:rPr>
        <w:t xml:space="preserve">U-Net</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IEEE Geoscience and Remote Sensing Letters</w:t>
      </w:r>
      <w:r>
        <w:rPr>
          <w:rFonts w:ascii="Times New Roman" w:hAnsi="Times New Roman" w:eastAsia="Times New Roman"/>
          <w:sz w:val="20"/>
        </w:rPr>
        <w:t xml:space="preserve"> </w:t>
      </w:r>
      <w:r>
        <w:rPr>
          <w:rFonts w:ascii="Times New Roman" w:hAnsi="Times New Roman" w:eastAsia="Times New Roman"/>
          <w:sz w:val="20"/>
        </w:rPr>
        <w:t xml:space="preserve">15 (5): 749–53.</w:t>
      </w:r>
      <w:r>
        <w:rPr>
          <w:rFonts w:ascii="Times New Roman" w:hAnsi="Times New Roman" w:eastAsia="Times New Roman"/>
          <w:sz w:val="20"/>
        </w:rPr>
        <w:t xml:space="preserve"> </w:t>
      </w:r>
      <w:hyperlink r:id="rId100">
        <w:r>
          <w:rPr>
            <w:rStyle w:val="Hyperlink"/>
          </w:rPr>
          <w:t xml:space="preserve">https://doi.org/10.1109/LGRS.2018.2802944</w:t>
        </w:r>
      </w:hyperlink>
      <w:r>
        <w:rPr>
          <w:rFonts w:ascii="Times New Roman" w:hAnsi="Times New Roman" w:eastAsia="Times New Roman"/>
          <w:sz w:val="20"/>
        </w:rPr>
        <w:t xml:space="preserve">.</w:t>
      </w:r>
    </w:p>
    <w:bookmarkEnd w:id="101"/>
    <w:bookmarkStart w:id="103" w:name="ref-zhou2023deformation"/>
    <w:p>
      <w:pPr>
        <w:pStyle w:val="Bibliography"/>
        <w:spacing w:after="0" w:line="240" w:lineRule="auto"/>
      </w:pPr>
      <w:r>
        <w:rPr>
          <w:rFonts w:ascii="Times New Roman" w:hAnsi="Times New Roman" w:eastAsia="Times New Roman"/>
          <w:sz w:val="20"/>
        </w:rPr>
        <w:t xml:space="preserve">Zhou, Zhen-kai, Xin Yao, Ren-jiang Li, et al. 2023.</w:t>
      </w:r>
      <w:r>
        <w:rPr>
          <w:rFonts w:ascii="Times New Roman" w:hAnsi="Times New Roman" w:eastAsia="Times New Roman"/>
          <w:sz w:val="20"/>
        </w:rPr>
        <w:t xml:space="preserve"> </w:t>
      </w:r>
      <w:r>
        <w:rPr>
          <w:rFonts w:ascii="Times New Roman" w:hAnsi="Times New Roman" w:eastAsia="Times New Roman"/>
          <w:sz w:val="20"/>
        </w:rPr>
        <w:t xml:space="preserve">“Deformation Characteristics and Mechanism of an Impoundment-Induced Toppling Landslide in</w:t>
      </w:r>
      <w:r>
        <w:rPr>
          <w:rFonts w:ascii="Times New Roman" w:hAnsi="Times New Roman" w:eastAsia="Times New Roman"/>
          <w:sz w:val="20"/>
        </w:rPr>
        <w:t xml:space="preserve"> </w:t>
      </w:r>
      <w:r>
        <w:rPr>
          <w:rFonts w:ascii="Times New Roman" w:hAnsi="Times New Roman" w:eastAsia="Times New Roman"/>
          <w:sz w:val="20"/>
        </w:rPr>
        <w:t xml:space="preserve">Baihetan Reservoir</w:t>
      </w:r>
      <w:r>
        <w:rPr>
          <w:rFonts w:ascii="Times New Roman" w:hAnsi="Times New Roman" w:eastAsia="Times New Roman"/>
          <w:sz w:val="20"/>
        </w:rPr>
        <w:t xml:space="preserve"> </w:t>
      </w:r>
      <w:r>
        <w:rPr>
          <w:rFonts w:ascii="Times New Roman" w:hAnsi="Times New Roman" w:eastAsia="Times New Roman"/>
          <w:sz w:val="20"/>
        </w:rPr>
        <w:t xml:space="preserve">Based on Multi-Source Remote Sensing.”</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20 (12): 3614–30.</w:t>
      </w:r>
      <w:r>
        <w:rPr>
          <w:rFonts w:ascii="Times New Roman" w:hAnsi="Times New Roman" w:eastAsia="Times New Roman"/>
          <w:sz w:val="20"/>
        </w:rPr>
        <w:t xml:space="preserve"> </w:t>
      </w:r>
      <w:hyperlink r:id="rId102">
        <w:r>
          <w:rPr>
            <w:rStyle w:val="Hyperlink"/>
          </w:rPr>
          <w:t xml:space="preserve">https://doi.org/10.1007/s11629-023-7903-2</w:t>
        </w:r>
      </w:hyperlink>
      <w:r>
        <w:rPr>
          <w:rFonts w:ascii="Times New Roman" w:hAnsi="Times New Roman" w:eastAsia="Times New Roman"/>
          <w:sz w:val="20"/>
        </w:rPr>
        <w:t xml:space="preserve">.</w:t>
      </w:r>
    </w:p>
    <w:bookmarkEnd w:id="103"/>
    <w:bookmarkEnd w:id="104"/>
    <w:bookmarkEnd w:id="105"/>
    <w:sectPr>
      <w:footnotePr>
        <w:numRestart w:val="eachSect"/>
      </w:footnotePr>
      <w:pgSz w:w="11906" w:h="16838"/>
      <w:pgMar w:top="1440" w:bottom="1440" w:left="1440" w:right="144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40" w:lineRule="auto"/>
    </w:pPr>
    <w:rPr>
      <w:rFonts w:ascii="Times New Roman" w:hAnsi="Times New Roman" w:eastAsia="Times New Roman"/>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0" w:line="240" w:lineRule="auto" w:before="120"/>
      <w:contextualSpacing/>
      <w:jc w:val="center"/>
    </w:pPr>
    <w:rPr>
      <w:rFonts w:asciiTheme="majorHAnsi" w:cstheme="majorBidi" w:eastAsiaTheme="majorEastAsia" w:hAnsiTheme="majorHAnsi" w:ascii="Times New Roman" w:hAnsi="Times New Roman" w:eastAsia="Times New Roman"/>
      <w:b/>
      <w:sz w:val="2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120" w:line="240" w:lineRule="auto"/>
      <w:outlineLvl w:val="0"/>
    </w:pPr>
    <w:rPr>
      <w:rFonts w:asciiTheme="majorHAnsi" w:cstheme="majorBidi" w:eastAsiaTheme="majorEastAsia" w:hAnsiTheme="majorHAnsi" w:ascii="Times New Roman" w:hAnsi="Times New Roman" w:eastAsia="Times New Roman"/>
      <w:b/>
      <w:color w:themeColor="accent1" w:themeShade="BF" w:val="0F4761"/>
      <w:sz w:val="20"/>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240" w:lineRule="auto"/>
      <w:outlineLvl w:val="1"/>
    </w:pPr>
    <w:rPr>
      <w:rFonts w:asciiTheme="majorHAnsi" w:cstheme="majorBidi" w:eastAsiaTheme="majorEastAsia" w:hAnsiTheme="majorHAnsi" w:ascii="Times New Roman" w:hAnsi="Times New Roman" w:eastAsia="Times New Roman"/>
      <w:b/>
      <w:color w:themeColor="accent1" w:themeShade="BF" w:val="0F4761"/>
      <w:sz w:val="20"/>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240" w:lineRule="auto"/>
      <w:outlineLvl w:val="2"/>
    </w:pPr>
    <w:rPr>
      <w:rFonts w:cstheme="majorBidi" w:eastAsiaTheme="majorEastAsia" w:ascii="Times New Roman" w:hAnsi="Times New Roman" w:eastAsia="Times New Roman"/>
      <w:b/>
      <w:color w:themeColor="accent1" w:themeShade="BF" w:val="0F4761"/>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16" Type="http://schemas.openxmlformats.org/officeDocument/2006/relationships/image" Target="media/rId16.png"/><Relationship Id="rId31" Type="http://schemas.openxmlformats.org/officeDocument/2006/relationships/image" Target="media/rId31.png"/><Relationship Id="rId26" Type="http://schemas.openxmlformats.org/officeDocument/2006/relationships/image" Target="media/rId26.png"/><Relationship Id="rId74" Type="http://schemas.openxmlformats.org/officeDocument/2006/relationships/hyperlink" Target="https://arxiv.org/abs/2603.22658" TargetMode="External"/><Relationship Id="rId96" Type="http://schemas.openxmlformats.org/officeDocument/2006/relationships/hyperlink" Target="https://doi.org/10.1002/2016EA000168" TargetMode="External"/><Relationship Id="rId98" Type="http://schemas.openxmlformats.org/officeDocument/2006/relationships/hyperlink" Target="https://doi.org/10.1007/s11629-022-7326-5" TargetMode="External"/><Relationship Id="rId102" Type="http://schemas.openxmlformats.org/officeDocument/2006/relationships/hyperlink" Target="https://doi.org/10.1007/s11629-023-7903-2" TargetMode="External"/><Relationship Id="rId80" Type="http://schemas.openxmlformats.org/officeDocument/2006/relationships/hyperlink" Target="https://doi.org/10.1007/s11629-023-8083-9" TargetMode="External"/><Relationship Id="rId86" Type="http://schemas.openxmlformats.org/officeDocument/2006/relationships/hyperlink" Target="https://doi.org/10.1007/s11629-024-8871-x" TargetMode="External"/><Relationship Id="rId78" Type="http://schemas.openxmlformats.org/officeDocument/2006/relationships/hyperlink" Target="https://doi.org/10.1007/s11629-024-9064-3" TargetMode="External"/><Relationship Id="rId70" Type="http://schemas.openxmlformats.org/officeDocument/2006/relationships/hyperlink" Target="https://doi.org/10.1007/s11629-024-9096-8" TargetMode="External"/><Relationship Id="rId54" Type="http://schemas.openxmlformats.org/officeDocument/2006/relationships/hyperlink" Target="https://doi.org/10.1007/s11629-025-9805-y" TargetMode="External"/><Relationship Id="rId82" Type="http://schemas.openxmlformats.org/officeDocument/2006/relationships/hyperlink" Target="https://doi.org/10.1016/j.catena.2021.105559" TargetMode="External"/><Relationship Id="rId60" Type="http://schemas.openxmlformats.org/officeDocument/2006/relationships/hyperlink" Target="https://doi.org/10.1016/j.coldregions.2017.08.004" TargetMode="External"/><Relationship Id="rId56" Type="http://schemas.openxmlformats.org/officeDocument/2006/relationships/hyperlink" Target="https://doi.org/10.1109/ICIP.2018.8451652" TargetMode="External"/><Relationship Id="rId48" Type="http://schemas.openxmlformats.org/officeDocument/2006/relationships/hyperlink" Target="https://doi.org/10.1109/IGARSS46834.2022.9883686" TargetMode="External"/><Relationship Id="rId62" Type="http://schemas.openxmlformats.org/officeDocument/2006/relationships/hyperlink" Target="https://doi.org/10.1109/IGARSS47720.2021.9554370" TargetMode="External"/><Relationship Id="rId50" Type="http://schemas.openxmlformats.org/officeDocument/2006/relationships/hyperlink" Target="https://doi.org/10.1109/JSTARS.2020.3036914" TargetMode="External"/><Relationship Id="rId92" Type="http://schemas.openxmlformats.org/officeDocument/2006/relationships/hyperlink" Target="https://doi.org/10.1109/JSTARS.2021.3074418" TargetMode="External"/><Relationship Id="rId100" Type="http://schemas.openxmlformats.org/officeDocument/2006/relationships/hyperlink" Target="https://doi.org/10.1109/LGRS.2018.2802944" TargetMode="External"/><Relationship Id="rId88" Type="http://schemas.openxmlformats.org/officeDocument/2006/relationships/hyperlink" Target="https://doi.org/10.1109/TGRS.2011.2120616" TargetMode="External"/><Relationship Id="rId58" Type="http://schemas.openxmlformats.org/officeDocument/2006/relationships/hyperlink" Target="https://doi.org/10.1109/TGRS.2021.3095166" TargetMode="External"/><Relationship Id="rId64" Type="http://schemas.openxmlformats.org/officeDocument/2006/relationships/hyperlink" Target="https://doi.org/10.3390/rs11232863" TargetMode="External"/><Relationship Id="rId76" Type="http://schemas.openxmlformats.org/officeDocument/2006/relationships/hyperlink" Target="https://doi.org/10.3390/rs18030519" TargetMode="External"/><Relationship Id="rId90" Type="http://schemas.openxmlformats.org/officeDocument/2006/relationships/hyperlink" Target="https://doi.org/10.5194/nhess-18-2697-2018" TargetMode="External"/><Relationship Id="rId52" Type="http://schemas.openxmlformats.org/officeDocument/2006/relationships/hyperlink" Target="https://doi.org/10.5194/tc-13-3225-2019" TargetMode="External"/><Relationship Id="rId94" Type="http://schemas.openxmlformats.org/officeDocument/2006/relationships/hyperlink" Target="https://doi.org/10.5194/tc-8-547-2014" TargetMode="External"/><Relationship Id="rId72" Type="http://schemas.openxmlformats.org/officeDocument/2006/relationships/hyperlink" Target="https://doi.org/10.5281/zenodo.15863589" TargetMode="External"/><Relationship Id="rId66" Type="http://schemas.openxmlformats.org/officeDocument/2006/relationships/hyperlink" Target="https://www.avalanches.org/standards/avalanche-size/" TargetMode="External"/><Relationship Id="rId68" Type="http://schemas.openxmlformats.org/officeDocument/2006/relationships/hyperlink" Target="https://www.esa.int/Applications/Observing_the_Earth/Copernicus/Sentinel-1" TargetMode="External"/><Relationship Id="rId84" Type="http://schemas.openxmlformats.org/officeDocument/2006/relationships/hyperlink" Target="https://www.openstreetmap.org/copyright" TargetMode="External"/></Relationships>
</file>

<file path=word/_rels/footnotes.xml.rels><?xml version='1.0' encoding='UTF-8' standalone='yes'?>
<Relationships xmlns="http://schemas.openxmlformats.org/package/2006/relationships"><Relationship Id="rId74" Type="http://schemas.openxmlformats.org/officeDocument/2006/relationships/hyperlink" Target="https://arxiv.org/abs/2603.22658" TargetMode="External"/><Relationship Id="rId96" Type="http://schemas.openxmlformats.org/officeDocument/2006/relationships/hyperlink" Target="https://doi.org/10.1002/2016EA000168" TargetMode="External"/><Relationship Id="rId98" Type="http://schemas.openxmlformats.org/officeDocument/2006/relationships/hyperlink" Target="https://doi.org/10.1007/s11629-022-7326-5" TargetMode="External"/><Relationship Id="rId102" Type="http://schemas.openxmlformats.org/officeDocument/2006/relationships/hyperlink" Target="https://doi.org/10.1007/s11629-023-7903-2" TargetMode="External"/><Relationship Id="rId80" Type="http://schemas.openxmlformats.org/officeDocument/2006/relationships/hyperlink" Target="https://doi.org/10.1007/s11629-023-8083-9" TargetMode="External"/><Relationship Id="rId86" Type="http://schemas.openxmlformats.org/officeDocument/2006/relationships/hyperlink" Target="https://doi.org/10.1007/s11629-024-8871-x" TargetMode="External"/><Relationship Id="rId78" Type="http://schemas.openxmlformats.org/officeDocument/2006/relationships/hyperlink" Target="https://doi.org/10.1007/s11629-024-9064-3" TargetMode="External"/><Relationship Id="rId70" Type="http://schemas.openxmlformats.org/officeDocument/2006/relationships/hyperlink" Target="https://doi.org/10.1007/s11629-024-9096-8" TargetMode="External"/><Relationship Id="rId54" Type="http://schemas.openxmlformats.org/officeDocument/2006/relationships/hyperlink" Target="https://doi.org/10.1007/s11629-025-9805-y" TargetMode="External"/><Relationship Id="rId82" Type="http://schemas.openxmlformats.org/officeDocument/2006/relationships/hyperlink" Target="https://doi.org/10.1016/j.catena.2021.105559" TargetMode="External"/><Relationship Id="rId60" Type="http://schemas.openxmlformats.org/officeDocument/2006/relationships/hyperlink" Target="https://doi.org/10.1016/j.coldregions.2017.08.004" TargetMode="External"/><Relationship Id="rId56" Type="http://schemas.openxmlformats.org/officeDocument/2006/relationships/hyperlink" Target="https://doi.org/10.1109/ICIP.2018.8451652" TargetMode="External"/><Relationship Id="rId48" Type="http://schemas.openxmlformats.org/officeDocument/2006/relationships/hyperlink" Target="https://doi.org/10.1109/IGARSS46834.2022.9883686" TargetMode="External"/><Relationship Id="rId62" Type="http://schemas.openxmlformats.org/officeDocument/2006/relationships/hyperlink" Target="https://doi.org/10.1109/IGARSS47720.2021.9554370" TargetMode="External"/><Relationship Id="rId50" Type="http://schemas.openxmlformats.org/officeDocument/2006/relationships/hyperlink" Target="https://doi.org/10.1109/JSTARS.2020.3036914" TargetMode="External"/><Relationship Id="rId92" Type="http://schemas.openxmlformats.org/officeDocument/2006/relationships/hyperlink" Target="https://doi.org/10.1109/JSTARS.2021.3074418" TargetMode="External"/><Relationship Id="rId100" Type="http://schemas.openxmlformats.org/officeDocument/2006/relationships/hyperlink" Target="https://doi.org/10.1109/LGRS.2018.2802944" TargetMode="External"/><Relationship Id="rId88" Type="http://schemas.openxmlformats.org/officeDocument/2006/relationships/hyperlink" Target="https://doi.org/10.1109/TGRS.2011.2120616" TargetMode="External"/><Relationship Id="rId58" Type="http://schemas.openxmlformats.org/officeDocument/2006/relationships/hyperlink" Target="https://doi.org/10.1109/TGRS.2021.3095166" TargetMode="External"/><Relationship Id="rId64" Type="http://schemas.openxmlformats.org/officeDocument/2006/relationships/hyperlink" Target="https://doi.org/10.3390/rs11232863" TargetMode="External"/><Relationship Id="rId76" Type="http://schemas.openxmlformats.org/officeDocument/2006/relationships/hyperlink" Target="https://doi.org/10.3390/rs18030519" TargetMode="External"/><Relationship Id="rId90" Type="http://schemas.openxmlformats.org/officeDocument/2006/relationships/hyperlink" Target="https://doi.org/10.5194/nhess-18-2697-2018" TargetMode="External"/><Relationship Id="rId52" Type="http://schemas.openxmlformats.org/officeDocument/2006/relationships/hyperlink" Target="https://doi.org/10.5194/tc-13-3225-2019" TargetMode="External"/><Relationship Id="rId94" Type="http://schemas.openxmlformats.org/officeDocument/2006/relationships/hyperlink" Target="https://doi.org/10.5194/tc-8-547-2014" TargetMode="External"/><Relationship Id="rId72" Type="http://schemas.openxmlformats.org/officeDocument/2006/relationships/hyperlink" Target="https://doi.org/10.5281/zenodo.15863589" TargetMode="External"/><Relationship Id="rId66" Type="http://schemas.openxmlformats.org/officeDocument/2006/relationships/hyperlink" Target="https://www.avalanches.org/standards/avalanche-size/" TargetMode="External"/><Relationship Id="rId68" Type="http://schemas.openxmlformats.org/officeDocument/2006/relationships/hyperlink" Target="https://www.esa.int/Applications/Observing_the_Earth/Copernicus/Sentinel-1" TargetMode="External"/><Relationship Id="rId84" Type="http://schemas.openxmlformats.org/officeDocument/2006/relationships/hyperlink" Target="https://www.openstreetmap.org/copyrigh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Topographic Radar Geometry-Guided Cross-Attention for Alpine Avalanche Debris Mapping in Sentinel-1 SAR: Cross-System Generalization Across the Alps, Pamirs, and Arctic</dc:title>
  <dc:creator/>
  <cp:keywords/>
  <dcterms:created xsi:type="dcterms:W3CDTF">2026-09-19T19:30:05Z</dcterms:created>
  <dcterms:modified xsi:type="dcterms:W3CDTF">2026-09-19T19:30:05Z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Rapid, all-weather mapping of snow avalanche debris across rugged mountain terrain is critical for alpine civil protection, emergency response, and search-and-rescue operations. Synthetic Aperture Radar (SAR) sensors such as Sentinel-1 provide cloud-penetrating day-and-night winter monitoring, but bitemporal change detection in steep terrain suffers from foreshortening, layover, and radar shadow. We propose TopoRadar-Net, coupling bitemporal Sentinel-1 C-band SAR with local radar-topographic geometry through: (1) an analytical characterization of shift-invariant linear-convolution limits under non-stationary terrain projection; (2) multi-scale Radar-Topographic Cross-Attention Blocks; (3) a heuristic slope-prior loss audited for positive-label conflict; and (4) calibrated component- and corridor-level operational proxies. On AvalCD (7 events, 4 mountain systems, 993 polygons), TopoRadar-Net reaches 63.79\% \pm 1.88\% pooled macro F1, compared with Attention U-Net (63.41\%), SiamUNet-conc (63.13\%), ResU-Net (62.92\%), and SiamUNet-diff (54.87\%). Across three seeds, only the margin over SiamUNet-diff is significant (+8.92\%, p=0.021); the Attention U-Net difference is +0.38\% (p=0.869). Seed-42 backslope differences do not persist as stable three-seed effects (Tromsø: -0.34\% \pm 6.28\%; Pamir: +1.20\% \pm 7.73\%). In Pamir, the false-alarm footprint is 30.0\% lower than Attention U-Net (72.9\text{ ha} nominal-grid equivalent; 55.6\text{ ha} affine physical difference). The slope-prior mask overlaps 18.47\% of training positives and lowers held-out positive recall inside that mask relative to No-GeoLoss. Validation-calibrated Pamir road-corridor alerts achieve 83.0\% precision and 62.5\% recall, but the single Tromsø road-intersecting avalanche is missed in all seeds. These results establish competitive pixel performance and explicit operational failure boundaries, not a component-isolated mechanism or deployment-ready system.</vt:lpwstr>
  </property>
  <property fmtid="{D5CDD505-2E9C-101B-9397-08002B2CF9AE}" pid="3" name="bibliography">
    <vt:lpwstr/>
  </property>
  <property fmtid="{D5CDD505-2E9C-101B-9397-08002B2CF9AE}" pid="4" name="date">
    <vt:lpwstr/>
  </property>
</Properties>
</file>