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Round-2 Peer Review — When resolution consistency fails: an information-matched audit for disaster remote sensing</w:t>
      </w:r>
    </w:p>
    <w:p>
      <w:pPr>
        <w:jc w:val="center"/>
      </w:pPr>
      <w:r>
        <w:t>Reviewed file: studies/disaster-resolution-audit/paper/main.pdf</w:t>
        <w:br/>
        <w:t>Prior report: Review_Report_IJRS_Resolution_Audit_Round1.docx</w:t>
        <w:br/>
        <w:t>Date: 25 July 2026</w:t>
      </w:r>
    </w:p>
    <w:p>
      <w:pPr>
        <w:pStyle w:val="Heading1"/>
      </w:pPr>
      <w:r>
        <w:t>1. Summary</w:t>
      </w:r>
    </w:p>
    <w:p>
      <w:r>
        <w:rPr>
          <w:b/>
        </w:rPr>
        <w:t>Round-2 verdict: Minor revision; no substantive finding remains.</w:t>
      </w:r>
    </w:p>
    <w:p>
      <w:r>
        <w:rPr>
          <w:b w:val="0"/>
        </w:rPr>
        <w:t>The corrected manuscript resolves all four substantive and all four minor Round-1 findings. Numerical results remain unchanged and pass the 12-check machine verification. The source archive is self-contained and clean-builds; the 374.7 MB reproducibility supplement contains code, checkpoints, results, logs and ledgers. The only remaining action is assigning a public repository/archive URL when the supplement is deposited externally.</w:t>
      </w:r>
    </w:p>
    <w:p>
      <w:pPr>
        <w:pStyle w:val="Heading1"/>
      </w:pPr>
      <w:r>
        <w:t>2. Verification coverage</w:t>
      </w:r>
    </w:p>
    <w:p>
      <w:pPr>
        <w:pStyle w:val="ListBullet"/>
      </w:pPr>
      <w:r>
        <w:t>Extracted and reviewed all 12 corrected PDF pages and current LaTeX.</w:t>
      </w:r>
    </w:p>
    <w:p>
      <w:pPr>
        <w:pStyle w:val="ListBullet"/>
      </w:pPr>
      <w:r>
        <w:t>Re-ran all 12 quantitative checks successfully.</w:t>
      </w:r>
    </w:p>
    <w:p>
      <w:pPr>
        <w:pStyle w:val="ListBullet"/>
      </w:pPr>
      <w:r>
        <w:t>Confirmed 13 citation keys, 13 BibTeX entries, no missing or uncited entry.</w:t>
      </w:r>
    </w:p>
    <w:p>
      <w:pPr>
        <w:pStyle w:val="ListBullet"/>
      </w:pPr>
      <w:r>
        <w:t>Verified AIDER, Hurricane Damage and CRASAR DOI/version/licence statements against Zenodo, DataCite and fixed-revision dataset cards.</w:t>
      </w:r>
    </w:p>
    <w:p>
      <w:pPr>
        <w:pStyle w:val="ListBullet"/>
      </w:pPr>
      <w:r>
        <w:t>Verified resolution-audit-source.zip: 22 files; fresh Tectonic build exit code 0.</w:t>
      </w:r>
    </w:p>
    <w:p>
      <w:pPr>
        <w:pStyle w:val="ListBullet"/>
      </w:pPr>
      <w:r>
        <w:t>Verified resolution-audit-reproducibility.zip: 119 files and all manifest hashes.</w:t>
      </w:r>
    </w:p>
    <w:p>
      <w:pPr>
        <w:pStyle w:val="ListBullet"/>
      </w:pPr>
      <w:r>
        <w:t>Re-inspected both figures: labels are sharp, unclipped and readable.</w:t>
      </w:r>
    </w:p>
    <w:p>
      <w:pPr>
        <w:pStyle w:val="Heading1"/>
      </w:pPr>
      <w:r>
        <w:t>3. Round-1 finding disposition</w:t>
      </w:r>
    </w:p>
    <w:p>
      <w:r>
        <w:rPr>
          <w:b/>
          <w:color w:val="146937"/>
        </w:rPr>
        <w:t>S1  Release/accessibility contradiction</w:t>
      </w:r>
    </w:p>
    <w:p>
      <w:r>
        <w:rPr>
          <w:b w:val="0"/>
        </w:rPr>
        <w:t>Evidence: The abstract now states that the protocol is developed rather than released. The data statement identifies resolution-audit-reproducibility.zip, and submission/verification.json confirms archive hashes and clean source build.</w:t>
      </w:r>
    </w:p>
    <w:p>
      <w:r>
        <w:rPr>
          <w:b w:val="0"/>
        </w:rPr>
        <w:t>Round-2 status: RESOLVED for submission supplementation. A public DOI remains a deposit-time action.</w:t>
      </w:r>
    </w:p>
    <w:p>
      <w:r>
        <w:rPr>
          <w:b/>
          <w:color w:val="146937"/>
        </w:rPr>
        <w:t>S2  Dataset provenance and licensing</w:t>
      </w:r>
    </w:p>
    <w:p>
      <w:r>
        <w:rPr>
          <w:b w:val="0"/>
        </w:rPr>
        <w:t>Evidence: The setup and data statement now provide three primary dataset citations, DOIs, versions/revisions, split counts and CC BY 4.0 licences.</w:t>
      </w:r>
    </w:p>
    <w:p>
      <w:r>
        <w:rPr>
          <w:b w:val="0"/>
        </w:rPr>
        <w:t>Round-2 status: RESOLVED.</w:t>
      </w:r>
    </w:p>
    <w:p>
      <w:r>
        <w:rPr>
          <w:b/>
          <w:color w:val="146937"/>
        </w:rPr>
        <w:t>S3  Incomplete training protocol</w:t>
      </w:r>
    </w:p>
    <w:p>
      <w:r>
        <w:rPr>
          <w:b w:val="0"/>
        </w:rPr>
        <w:t>Evidence: Section 4.2 now reports model revision, learning rate, weight decay, batch size, class-weight formula, transforms, interpolation, checkpoint selection, software versions and hardware.</w:t>
      </w:r>
    </w:p>
    <w:p>
      <w:r>
        <w:rPr>
          <w:b w:val="0"/>
        </w:rPr>
        <w:t>Round-2 status: RESOLVED.</w:t>
      </w:r>
    </w:p>
    <w:p>
      <w:r>
        <w:rPr>
          <w:b/>
          <w:color w:val="146937"/>
        </w:rPr>
        <w:t>S4  Unsupported duplicate/spatial reversal attribution</w:t>
      </w:r>
    </w:p>
    <w:p>
      <w:r>
        <w:rPr>
          <w:b w:val="0"/>
        </w:rPr>
        <w:t>Evidence: The abstract now attributes reversal only to hidden-reference access and site pooling; duplicate and overlap findings are described as requiring controls.</w:t>
      </w:r>
    </w:p>
    <w:p>
      <w:r>
        <w:rPr>
          <w:b w:val="0"/>
        </w:rPr>
        <w:t>Round-2 status: RESOLVED without changing empirical claims.</w:t>
      </w:r>
    </w:p>
    <w:p>
      <w:r>
        <w:rPr>
          <w:b/>
          <w:color w:val="146937"/>
        </w:rPr>
        <w:t>M1  Undefined A1 and W11–W13 labels</w:t>
      </w:r>
    </w:p>
    <w:p>
      <w:r>
        <w:rPr>
          <w:b w:val="0"/>
        </w:rPr>
        <w:t>Evidence: A new pre-specified-criteria subsection defines all four criteria.</w:t>
      </w:r>
    </w:p>
    <w:p>
      <w:r>
        <w:rPr>
          <w:b w:val="0"/>
        </w:rPr>
        <w:t>Round-2 status: RESOLVED.</w:t>
      </w:r>
    </w:p>
    <w:p>
      <w:r>
        <w:rPr>
          <w:b/>
          <w:color w:val="146937"/>
        </w:rPr>
        <w:t>M2  Undefined acronyms and ViM symbols</w:t>
      </w:r>
    </w:p>
    <w:p>
      <w:r>
        <w:rPr>
          <w:b w:val="0"/>
        </w:rPr>
        <w:t>Evidence: AUROC is expanded in the abstract, DPN-RS is expanded in related work, and W, b and the Moore–Penrose pseudoinverse are defined in the method.</w:t>
      </w:r>
    </w:p>
    <w:p>
      <w:r>
        <w:rPr>
          <w:b w:val="0"/>
        </w:rPr>
        <w:t>Round-2 status: RESOLVED.</w:t>
      </w:r>
    </w:p>
    <w:p>
      <w:r>
        <w:rPr>
          <w:b/>
          <w:color w:val="146937"/>
        </w:rPr>
        <w:t>M3  Dense Figure 1 labels</w:t>
      </w:r>
    </w:p>
    <w:p>
      <w:r>
        <w:rPr>
          <w:b w:val="0"/>
        </w:rPr>
        <w:t>Evidence: Figure 1 now uses abbreviated labels, larger vertical extent and panel letters; the caption defines MSP, Recv-JS and Priv-JS.</w:t>
      </w:r>
    </w:p>
    <w:p>
      <w:r>
        <w:rPr>
          <w:b w:val="0"/>
        </w:rPr>
        <w:t>Round-2 status: RESOLVED.</w:t>
      </w:r>
    </w:p>
    <w:p>
      <w:r>
        <w:rPr>
          <w:b/>
          <w:color w:val="146937"/>
        </w:rPr>
        <w:t>M4  Non-self-contained IJRS source</w:t>
      </w:r>
    </w:p>
    <w:p>
      <w:r>
        <w:rPr>
          <w:b w:val="0"/>
        </w:rPr>
        <w:t>Evidence: main.tex now uses local interact.cls and tfcad.bst. The packaged source clean-builds in an isolated temporary directory.</w:t>
      </w:r>
    </w:p>
    <w:p>
      <w:r>
        <w:rPr>
          <w:b w:val="0"/>
        </w:rPr>
        <w:t>Round-2 status: RESOLVED.</w:t>
      </w:r>
    </w:p>
    <w:p>
      <w:pPr>
        <w:pStyle w:val="Heading1"/>
      </w:pPr>
      <w:r>
        <w:t>4. Remaining minor action</w:t>
      </w:r>
    </w:p>
    <w:p>
      <w:r>
        <w:rPr>
          <w:b w:val="0"/>
        </w:rPr>
        <w:t>P1  Public archive identifier. The supplementary archive is complete and verified locally, but the data statement accurately says that a public DOI will be added to the version of record. Add the repository URL and immutable archive DOI after external deposition; this requires the authors' release action.</w:t>
      </w:r>
    </w:p>
    <w:p>
      <w:pPr>
        <w:pStyle w:val="Heading1"/>
      </w:pPr>
      <w:r>
        <w:t>5. Verified-consistent outcomes</w:t>
      </w:r>
    </w:p>
    <w:p>
      <w:pPr>
        <w:pStyle w:val="ListBullet"/>
      </w:pPr>
      <w:r>
        <w:t>Privileged-information AUROC inflation remains 0.341 and 0.399.</w:t>
      </w:r>
    </w:p>
    <w:p>
      <w:pPr>
        <w:pStyle w:val="ListBullet"/>
      </w:pPr>
      <w:r>
        <w:t>All six paired bootstrap intervals continue to exclude zero.</w:t>
      </w:r>
    </w:p>
    <w:p>
      <w:pPr>
        <w:pStyle w:val="ListBullet"/>
      </w:pPr>
      <w:r>
        <w:t>The four-site measured-GSD sample remains 1,441 pairs in 708 blocks.</w:t>
      </w:r>
    </w:p>
    <w:p>
      <w:pPr>
        <w:pStyle w:val="ListBullet"/>
      </w:pPr>
      <w:r>
        <w:t>W11 passes; W12 and W13 remain failed and disclosed.</w:t>
      </w:r>
    </w:p>
    <w:p>
      <w:pPr>
        <w:pStyle w:val="ListBullet"/>
      </w:pPr>
      <w:r>
        <w:t>Abstract, prose, tables and figures agree with registered JSON.</w:t>
      </w:r>
    </w:p>
    <w:p>
      <w:pPr>
        <w:pStyle w:val="ListBullet"/>
      </w:pPr>
      <w:r>
        <w:t>No publication-value change was introduced by the revision.</w:t>
      </w:r>
    </w:p>
    <w:p>
      <w:pPr>
        <w:pStyle w:val="Heading1"/>
      </w:pPr>
      <w:r>
        <w:t>6. Acceptance assessment</w:t>
      </w:r>
    </w:p>
    <w:p>
      <w:r>
        <w:rPr>
          <w:b w:val="0"/>
        </w:rPr>
        <w:t>Current IJRS likelihood band: Moderate. The paper has a distinct failure-characterisation contribution, multi-seed and multi-event evidence, current matched baselines, complete local reproducibility, and no remaining substantive review finding. External deposition and editorial assessment remain.</w:t>
      </w:r>
    </w:p>
    <w:p>
      <w:pPr>
        <w:pStyle w:val="Heading1"/>
      </w:pPr>
      <w:r>
        <w:t>7. Verdict</w:t>
      </w:r>
    </w:p>
    <w:p>
      <w:r>
        <w:rPr>
          <w:b/>
        </w:rPr>
        <w:t>Verdict: Minor revision.</w:t>
      </w:r>
    </w:p>
    <w:p>
      <w:r>
        <w:rPr>
          <w:b w:val="0"/>
        </w:rPr>
        <w:t>Required before final public version: deposit the verified reproducibility archive and replace the future DOI statement with resolving repository/archive links.</w:t>
      </w:r>
    </w:p>
    <w:p>
      <w:r>
        <w:drawing>
          <wp:inline xmlns:a="http://schemas.openxmlformats.org/drawingml/2006/main" xmlns:pic="http://schemas.openxmlformats.org/drawingml/2006/picture">
            <wp:extent cx="6035040" cy="21139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1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Corrected Figure 1: abbreviated labels and panel identifiers are legible.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