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Final Round-3 Peer Review — When resolution consistency fails: an information-matched audit for disaster remote sensing</w:t>
      </w:r>
    </w:p>
    <w:p>
      <w:pPr>
        <w:jc w:val="center"/>
      </w:pPr>
      <w:r>
        <w:t>Reviewed file: studies/disaster-resolution-audit/paper/main.pdf</w:t>
        <w:br/>
        <w:t>Public release: https://github.com/akssha74/rcg-tt/releases/tag/v2.0.2</w:t>
        <w:br/>
        <w:t>Zenodo: https://doi.org/10.5281/zenodo.21544245</w:t>
        <w:br/>
        <w:t>Date: 25 July 2026</w:t>
      </w:r>
    </w:p>
    <w:p>
      <w:pPr>
        <w:pStyle w:val="Heading1"/>
      </w:pPr>
      <w:r>
        <w:t>1. Summary</w:t>
      </w:r>
    </w:p>
    <w:p>
      <w:r>
        <w:rPr>
          <w:b/>
        </w:rPr>
        <w:t>Final review verdict: Minor revision; no substantive validity finding remains.</w:t>
      </w:r>
    </w:p>
    <w:p>
      <w:r>
        <w:rPr>
          <w:b w:val="0"/>
        </w:rPr>
        <w:t>The final manuscript reports a descriptive oracle–received protocol gap, not a causal estimate. It preserves the original mean-based W13 pass and separates the failed all-seed sensitivity. It also supplies anchor-matched analysis, portable per-example arrays, acquisition-selection counts, joint UAS/satellite overlap clustering, fixed GSD metadata, and current baseline context.</w:t>
      </w:r>
    </w:p>
    <w:p>
      <w:r>
        <w:rPr>
          <w:b w:val="0"/>
        </w:rPr>
        <w:t>All arithmetic, raw-array recomputation, archive manifests, clean source build, GitHub assets and Zenodo v2.0.2 record verified. Remaining items concern internal readiness metadata and minor typesetting.</w:t>
      </w:r>
    </w:p>
    <w:p>
      <w:pPr>
        <w:pStyle w:val="Heading1"/>
      </w:pPr>
      <w:r>
        <w:t>2. Verification coverage</w:t>
      </w:r>
    </w:p>
    <w:p>
      <w:pPr>
        <w:pStyle w:val="ListBullet"/>
      </w:pPr>
      <w:r>
        <w:t>Extracted and read all 14 final PDF pages and current LaTeX source.</w:t>
      </w:r>
    </w:p>
    <w:p>
      <w:pPr>
        <w:pStyle w:val="ListBullet"/>
      </w:pPr>
      <w:r>
        <w:t>Recomputed 13 registered headline checks; all passed.</w:t>
      </w:r>
    </w:p>
    <w:p>
      <w:pPr>
        <w:pStyle w:val="ListBullet"/>
      </w:pPr>
      <w:r>
        <w:t>Recomputed synthetic and paired AUROCs, ViM-minus-kNN intervals, prediction transitions and acquisition sensitivities from portable per-example arrays.</w:t>
      </w:r>
    </w:p>
    <w:p>
      <w:pPr>
        <w:pStyle w:val="ListBullet"/>
      </w:pPr>
      <w:r>
        <w:t>Verified W11 pass, W12 failure, preregistered mean-based W13 pass, and failed post-hoc all-seed W13 sensitivity.</w:t>
      </w:r>
    </w:p>
    <w:p>
      <w:pPr>
        <w:pStyle w:val="ListBullet"/>
      </w:pPr>
      <w:r>
        <w:t>Verified 16 citation keys against 16 cited BibTeX entries.</w:t>
      </w:r>
    </w:p>
    <w:p>
      <w:pPr>
        <w:pStyle w:val="ListBullet"/>
      </w:pPr>
      <w:r>
        <w:t>Verified source archive clean build, 156-file reproducibility manifest, and non-mutating reproduction workflow.</w:t>
      </w:r>
    </w:p>
    <w:p>
      <w:pPr>
        <w:pStyle w:val="ListBullet"/>
      </w:pPr>
      <w:r>
        <w:t>Verified GitHub v2.0.2 assets and Zenodo record 10.5281/zenodo.21544245 under concept DOI 10.5281/zenodo.21510152.</w:t>
      </w:r>
    </w:p>
    <w:p>
      <w:pPr>
        <w:pStyle w:val="ListBullet"/>
      </w:pPr>
      <w:r>
        <w:t>Inspected both vector figures at print size; no clipping or unreadable labels.</w:t>
      </w:r>
    </w:p>
    <w:p>
      <w:pPr>
        <w:pStyle w:val="Heading1"/>
      </w:pPr>
      <w:r>
        <w:t>3. Round-2 and independent-review disposition</w:t>
      </w:r>
    </w:p>
    <w:p>
      <w:pPr>
        <w:pStyle w:val="ListBullet"/>
      </w:pPr>
      <w:r>
        <w:t>W13 adjudication: corrected. Mean coverage error and mean selective risk favour received consistency; seed 202 remains a failed robustness sensitivity.</w:t>
      </w:r>
    </w:p>
    <w:p>
      <w:pPr>
        <w:pStyle w:val="ListBullet"/>
      </w:pPr>
      <w:r>
        <w:t>Central attribution: corrected. The manuscript calls the main quantity an oracle–received protocol gap and states that degradation direction remains different.</w:t>
      </w:r>
    </w:p>
    <w:p>
      <w:pPr>
        <w:pStyle w:val="ListBullet"/>
      </w:pPr>
      <w:r>
        <w:t>Mechanism sensitivity: added. The same s=8 anchor and three comparisons retain gaps of 0.336 on AIDER and 0.398 on Hurricane.</w:t>
      </w:r>
    </w:p>
    <w:p>
      <w:pPr>
        <w:pStyle w:val="ListBullet"/>
      </w:pPr>
      <w:r>
        <w:t>Raw auditability: resolved with per-example labels, predictions, scores, transitions, acquisition IDs and overlap-cluster IDs.</w:t>
      </w:r>
    </w:p>
    <w:p>
      <w:pPr>
        <w:pStyle w:val="ListBullet"/>
      </w:pPr>
      <w:r>
        <w:t>Portability: resolved with normalized paths, pinned dependencies, local IJRS assets, imported-source generation and a tested reproduction command.</w:t>
      </w:r>
    </w:p>
    <w:p>
      <w:pPr>
        <w:pStyle w:val="ListBullet"/>
      </w:pPr>
      <w:r>
        <w:t>Measured-GSD dependence: strengthened. The paper reports selection counts and the post-hoc finding of only 2/1/1/1 effective joint-overlap clusters.</w:t>
      </w:r>
    </w:p>
    <w:p>
      <w:pPr>
        <w:pStyle w:val="ListBullet"/>
      </w:pPr>
      <w:r>
        <w:t>Baseline context: strengthened with TARDIS and EarthShift and an explicit source-only information-budget rationale.</w:t>
      </w:r>
    </w:p>
    <w:p>
      <w:pPr>
        <w:pStyle w:val="ListBullet"/>
      </w:pPr>
      <w:r>
        <w:t>Public artifacts: resolved by GitHub v2.0.2 and immutable Zenodo v2.0.2.</w:t>
      </w:r>
    </w:p>
    <w:p>
      <w:pPr>
        <w:pStyle w:val="Heading1"/>
      </w:pPr>
      <w:r>
        <w:t>4. Novelty and scope assessment</w:t>
      </w:r>
    </w:p>
    <w:p>
      <w:r>
        <w:rPr>
          <w:b w:val="0"/>
        </w:rPr>
        <w:t>The contribution is an integrated audit and counterexample rather than a new uncertainty primitive. The paper now states that its literature set does not establish field-wide prevalence of the exact failure mode. This scope is consistent with the evidence. The large six-run oracle–received gap and the measured-GSD acquisition sign reversal remain the main empirical delta.</w:t>
      </w:r>
    </w:p>
    <w:p>
      <w:r>
        <w:rPr>
          <w:b w:val="0"/>
        </w:rPr>
        <w:t>Generality is bounded to one backbone, bicubic synthetic degradation, three geographies and two hurricane events. The limitations section states these boundaries and does not claim event-general or causal GSD inference.</w:t>
      </w:r>
    </w:p>
    <w:p>
      <w:pPr>
        <w:pStyle w:val="Heading1"/>
      </w:pPr>
      <w:r>
        <w:t>5. Substantive findings</w:t>
      </w:r>
    </w:p>
    <w:p>
      <w:r>
        <w:rPr>
          <w:b w:val="0"/>
        </w:rPr>
        <w:t>None.</w:t>
      </w:r>
    </w:p>
    <w:p>
      <w:pPr>
        <w:pStyle w:val="Heading1"/>
      </w:pPr>
      <w:r>
        <w:t>6. Minor and presentation findings</w:t>
      </w:r>
    </w:p>
    <w:p>
      <w:r>
        <w:rPr>
          <w:b/>
          <w:color w:val="784B0A"/>
        </w:rPr>
        <w:t>M1  Internal readiness files remain stale.</w:t>
      </w:r>
    </w:p>
    <w:p>
      <w:r>
        <w:rPr>
          <w:b w:val="0"/>
        </w:rPr>
        <w:t>Evidence: reviews/greatness-verdict.json and reviews/readiness.json still contain uncompleted adjudication fields, so study validation does not yet pass.</w:t>
      </w:r>
    </w:p>
    <w:p>
      <w:r>
        <w:rPr>
          <w:b w:val="0"/>
        </w:rPr>
        <w:t>Analysis: This does not alter the manuscript results or public artifact hashes, but the archived workflow state is inconsistent with a final submission package.</w:t>
      </w:r>
    </w:p>
    <w:p>
      <w:r>
        <w:rPr>
          <w:b w:val="0"/>
        </w:rPr>
        <w:t>Action: Record the latest independent reviews, synchronize the two JSON verdict files, and rerun strict validation. Do not mark scientific greatness unless the independent greatness review supports it.</w:t>
      </w:r>
    </w:p>
    <w:p>
      <w:r>
        <w:rPr>
          <w:b/>
          <w:color w:val="784B0A"/>
        </w:rPr>
        <w:t>M2  A small typesetting warning remains.</w:t>
      </w:r>
    </w:p>
    <w:p>
      <w:r>
        <w:rPr>
          <w:b w:val="0"/>
        </w:rPr>
        <w:t>Evidence: The final Tectonic log reports a 2.27 pt overfull line in the GSD metadata hash paragraph and underfull bibliography/data-source lines.</w:t>
      </w:r>
    </w:p>
    <w:p>
      <w:r>
        <w:rPr>
          <w:b w:val="0"/>
        </w:rPr>
        <w:t>Analysis: Rendered content is visible and unclipped; this is a source-layout warning.</w:t>
      </w:r>
    </w:p>
    <w:p>
      <w:r>
        <w:rPr>
          <w:b w:val="0"/>
        </w:rPr>
        <w:t>Action: Move the long revision/hash strings to a compact appendix table or allow additional line breaking before final typesetting.</w:t>
      </w:r>
    </w:p>
    <w:p>
      <w:pPr>
        <w:pStyle w:val="Heading1"/>
      </w:pPr>
      <w:r>
        <w:t>7. Disclosed design choices (not defects)</w:t>
      </w:r>
    </w:p>
    <w:p>
      <w:pPr>
        <w:pStyle w:val="ListBullet"/>
      </w:pPr>
      <w:r>
        <w:t>The main gap remains descriptive because finer and coarser degradation directions differ.</w:t>
      </w:r>
    </w:p>
    <w:p>
      <w:pPr>
        <w:pStyle w:val="ListBullet"/>
      </w:pPr>
      <w:r>
        <w:t>Only exact hashes and literal crop intersection are closed; near-duplicate and spatial dependence limits are stated.</w:t>
      </w:r>
    </w:p>
    <w:p>
      <w:pPr>
        <w:pStyle w:val="ListBullet"/>
      </w:pPr>
      <w:r>
        <w:t>Same-label pair selection and all exclusion counts are reported.</w:t>
      </w:r>
    </w:p>
    <w:p>
      <w:pPr>
        <w:pStyle w:val="ListBullet"/>
      </w:pPr>
      <w:r>
        <w:t>Joint-overlap clustering is post hoc and degenerates within three acquisitions; no site-level inference is claimed.</w:t>
      </w:r>
    </w:p>
    <w:p>
      <w:pPr>
        <w:pStyle w:val="ListBullet"/>
      </w:pPr>
      <w:r>
        <w:t>The effective event count is two and event-associated differences are descriptive.</w:t>
      </w:r>
    </w:p>
    <w:p>
      <w:pPr>
        <w:pStyle w:val="ListBullet"/>
      </w:pPr>
      <w:r>
        <w:t>The study does not claim that the audited mistake is prevalent in published EO work.</w:t>
      </w:r>
    </w:p>
    <w:p>
      <w:pPr>
        <w:pStyle w:val="Heading1"/>
      </w:pPr>
      <w:r>
        <w:t>8. Verified-consistent outcomes</w:t>
      </w:r>
    </w:p>
    <w:p>
      <w:pPr>
        <w:pStyle w:val="ListBullet"/>
      </w:pPr>
      <w:r>
        <w:t>Reference-dependent minus received-image gaps: 0.341 AIDER, 0.399 Hurricane.</w:t>
      </w:r>
    </w:p>
    <w:p>
      <w:pPr>
        <w:pStyle w:val="ListBullet"/>
      </w:pPr>
      <w:r>
        <w:t>Anchor-matched post-hoc gaps: 0.336 AIDER, 0.398 Hurricane.</w:t>
      </w:r>
    </w:p>
    <w:p>
      <w:pPr>
        <w:pStyle w:val="ListBullet"/>
      </w:pPr>
      <w:r>
        <w:t>All six paired intervals for both gap formulations are positive.</w:t>
      </w:r>
    </w:p>
    <w:p>
      <w:pPr>
        <w:pStyle w:val="ListBullet"/>
      </w:pPr>
      <w:r>
        <w:t>AIDER/Hurricane exact retained totals remain 6,429/9,994.</w:t>
      </w:r>
    </w:p>
    <w:p>
      <w:pPr>
        <w:pStyle w:val="ListBullet"/>
      </w:pPr>
      <w:r>
        <w:t>Measured-GSD sample remains 1,441 pairs across four acquisitions.</w:t>
      </w:r>
    </w:p>
    <w:p>
      <w:pPr>
        <w:pStyle w:val="ListBullet"/>
      </w:pPr>
      <w:r>
        <w:t>W11 passes; W12 fails; mean-based W13 passes; all-seed sensitivity fails.</w:t>
      </w:r>
    </w:p>
    <w:p>
      <w:pPr>
        <w:pStyle w:val="ListBullet"/>
      </w:pPr>
      <w:r>
        <w:t>Tables, figures, abstract and registered JSON agree after rounding.</w:t>
      </w:r>
    </w:p>
    <w:p>
      <w:pPr>
        <w:pStyle w:val="ListBullet"/>
      </w:pPr>
      <w:r>
        <w:t>Public GitHub asset digests match the local source, paper and reproducibility archives.</w:t>
      </w:r>
    </w:p>
    <w:p>
      <w:pPr>
        <w:pStyle w:val="Heading1"/>
      </w:pPr>
      <w:r>
        <w:t>9. Acceptance assessment</w:t>
      </w:r>
    </w:p>
    <w:p>
      <w:r>
        <w:rPr>
          <w:b w:val="0"/>
        </w:rPr>
        <w:t>Current IJRS likelihood band: Moderate. The study is internally consistent, publicly reproducible, transparent about negative results, and within journal scope. The main limiting factor is significance: the paper documents a bounded counterexample and audit protocol rather than field-wide prevalence or a new reliability method. Editorial and reviewer assessment remains decisive.</w:t>
      </w:r>
    </w:p>
    <w:p>
      <w:pPr>
        <w:pStyle w:val="Heading1"/>
      </w:pPr>
      <w:r>
        <w:t>10. Verdict</w:t>
      </w:r>
    </w:p>
    <w:p>
      <w:r>
        <w:rPr>
          <w:b/>
        </w:rPr>
        <w:t>Verdict: Minor revision.</w:t>
      </w:r>
    </w:p>
    <w:p>
      <w:r>
        <w:rPr>
          <w:b w:val="0"/>
        </w:rPr>
        <w:t>Required before submission: reconcile the archived readiness/verdict state with the latest independent reviews and rerun strict validation. Typesetting cleanup is recommended. No additional numerical experiment is required to support the manuscript's present bounded claims.</w:t>
      </w:r>
    </w:p>
    <w:p>
      <w:r>
        <w:drawing>
          <wp:inline xmlns:a="http://schemas.openxmlformats.org/drawingml/2006/main" xmlns:pic="http://schemas.openxmlformats.org/drawingml/2006/picture">
            <wp:extent cx="6035040" cy="21139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form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11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Final Figure 1: labels and uncertainty bars are legible.</w:t>
      </w:r>
    </w:p>
    <w:p>
      <w:r>
        <w:drawing>
          <wp:inline xmlns:a="http://schemas.openxmlformats.org/drawingml/2006/main" xmlns:pic="http://schemas.openxmlformats.org/drawingml/2006/picture">
            <wp:extent cx="6035040" cy="186891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asu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689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Final Figure 2: pooled and acquisition-level signs match registered arrays.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