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b/>
          <w:color w:val="1F497D"/>
          <w:sz w:val="44"/>
        </w:rPr>
        <w:t>AGENTIC AI IN URBAN TRANSPORT DISRUPTION MANAGEMENT</w:t>
      </w:r>
    </w:p>
    <w:p>
      <w:pPr>
        <w:pStyle w:val="Normal"/>
        <w:spacing w:before="0" w:after="320"/>
        <w:rPr/>
      </w:pPr>
      <w:r>
        <w:rPr>
          <w:i/>
          <w:color w:val="505050"/>
          <w:sz w:val="25"/>
        </w:rPr>
        <w:t>Comprehensive Progress Report: Under-the-Hood System Architecture, Empirical Benchmarking, and Critical Comparison with State-of-the-Art Literature</w:t>
      </w:r>
    </w:p>
    <w:tbl>
      <w:tblPr>
        <w:tblW w:w="9360" w:type="dxa"/>
        <w:jc w:val="center"/>
        <w:tblInd w:w="0" w:type="dxa"/>
        <w:tblLayout w:type="fixed"/>
        <w:tblCellMar>
          <w:top w:w="100" w:type="dxa"/>
          <w:start w:w="130" w:type="dxa"/>
          <w:bottom w:w="100" w:type="dxa"/>
          <w:end w:w="130" w:type="dxa"/>
        </w:tblCellMar>
        <w:tblLook w:noHBand="0" w:noVBand="1" w:firstColumn="1" w:lastRow="0" w:lastColumn="0" w:firstRow="1" w:val="04a0"/>
      </w:tblPr>
      <w:tblGrid>
        <w:gridCol w:w="4680"/>
        <w:gridCol w:w="4680"/>
      </w:tblGrid>
      <w:tr>
        <w:trPr/>
        <w:tc>
          <w:tcPr>
            <w:tcW w:w="4680" w:type="dxa"/>
            <w:tcBorders>
              <w:top w:val="single" w:sz="6" w:space="0" w:color="D3D3D3"/>
              <w:bottom w:val="single" w:sz="4" w:space="0" w:color="E5E5E5"/>
            </w:tcBorders>
            <w:shd w:fill="2A4B7C" w:val="clear"/>
            <w:vAlign w:val="center"/>
          </w:tcPr>
          <w:p>
            <w:pPr>
              <w:pStyle w:val="Normal"/>
              <w:spacing w:before="60" w:after="60"/>
              <w:rPr/>
            </w:pPr>
            <w:r>
              <w:rPr>
                <w:b/>
                <w:color w:val="FFFFFF"/>
                <w:sz w:val="20"/>
              </w:rPr>
              <w:t>Course / Project:</w:t>
            </w:r>
          </w:p>
        </w:tc>
        <w:tc>
          <w:tcPr>
            <w:tcW w:w="4680" w:type="dxa"/>
            <w:tcBorders>
              <w:top w:val="single" w:sz="6" w:space="0" w:color="D3D3D3"/>
              <w:bottom w:val="single" w:sz="4" w:space="0" w:color="E5E5E5"/>
            </w:tcBorders>
            <w:shd w:fill="2A4B7C" w:val="clear"/>
            <w:vAlign w:val="center"/>
          </w:tcPr>
          <w:p>
            <w:pPr>
              <w:pStyle w:val="Normal"/>
              <w:spacing w:before="60" w:after="60"/>
              <w:rPr/>
            </w:pPr>
            <w:r>
              <w:rPr>
                <w:b/>
                <w:color w:val="FFFFFF"/>
                <w:sz w:val="20"/>
              </w:rPr>
              <w:t>B.Tech Minor Project (Semester 5)</w:t>
            </w:r>
          </w:p>
        </w:tc>
      </w:tr>
      <w:tr>
        <w:trPr/>
        <w:tc>
          <w:tcPr>
            <w:tcW w:w="4680" w:type="dxa"/>
            <w:tcBorders>
              <w:top w:val="single" w:sz="4" w:space="0" w:color="E5E5E5"/>
              <w:bottom w:val="single" w:sz="4" w:space="0" w:color="E5E5E5"/>
            </w:tcBorders>
            <w:shd w:fill="F4F6F9" w:val="clear"/>
            <w:vAlign w:val="center"/>
          </w:tcPr>
          <w:p>
            <w:pPr>
              <w:pStyle w:val="Normal"/>
              <w:spacing w:before="60" w:after="60"/>
              <w:rPr/>
            </w:pPr>
            <w:r>
              <w:rPr>
                <w:b/>
                <w:sz w:val="19"/>
              </w:rPr>
              <w:t>Author / Student:</w:t>
            </w:r>
          </w:p>
        </w:tc>
        <w:tc>
          <w:tcPr>
            <w:tcW w:w="4680" w:type="dxa"/>
            <w:tcBorders>
              <w:top w:val="single" w:sz="4" w:space="0" w:color="E5E5E5"/>
              <w:bottom w:val="single" w:sz="4" w:space="0" w:color="E5E5E5"/>
            </w:tcBorders>
            <w:shd w:fill="F4F6F9" w:val="clear"/>
            <w:vAlign w:val="center"/>
          </w:tcPr>
          <w:p>
            <w:pPr>
              <w:pStyle w:val="Normal"/>
              <w:spacing w:before="60" w:after="60"/>
              <w:rPr/>
            </w:pPr>
            <w:r>
              <w:rPr>
                <w:sz w:val="19"/>
              </w:rPr>
              <w:t>Akshit (Undergraduate Researcher, IIIT-NR)</w:t>
            </w:r>
          </w:p>
        </w:tc>
      </w:tr>
      <w:tr>
        <w:trPr/>
        <w:tc>
          <w:tcPr>
            <w:tcW w:w="4680" w:type="dxa"/>
            <w:tcBorders>
              <w:top w:val="single" w:sz="4" w:space="0" w:color="E5E5E5"/>
              <w:bottom w:val="single" w:sz="4" w:space="0" w:color="E5E5E5"/>
            </w:tcBorders>
            <w:shd w:fill="FFFFFF" w:val="clear"/>
            <w:vAlign w:val="center"/>
          </w:tcPr>
          <w:p>
            <w:pPr>
              <w:pStyle w:val="Normal"/>
              <w:spacing w:before="60" w:after="60"/>
              <w:rPr/>
            </w:pPr>
            <w:r>
              <w:rPr>
                <w:b/>
                <w:sz w:val="19"/>
              </w:rPr>
              <w:t>Project Mentors:</w:t>
            </w:r>
          </w:p>
        </w:tc>
        <w:tc>
          <w:tcPr>
            <w:tcW w:w="4680" w:type="dxa"/>
            <w:tcBorders>
              <w:top w:val="single" w:sz="4" w:space="0" w:color="E5E5E5"/>
              <w:bottom w:val="single" w:sz="4" w:space="0" w:color="E5E5E5"/>
            </w:tcBorders>
            <w:shd w:fill="FFFFFF" w:val="clear"/>
            <w:vAlign w:val="center"/>
          </w:tcPr>
          <w:p>
            <w:pPr>
              <w:pStyle w:val="Normal"/>
              <w:spacing w:before="60" w:after="60"/>
              <w:rPr/>
            </w:pPr>
            <w:r>
              <w:rPr>
                <w:sz w:val="19"/>
              </w:rPr>
              <w:t>Dr. Alaa DAOUD (INSA Hauts-de-France) &amp; Dr. Srinivasa K G (IIIT Naya Raipur)</w:t>
            </w:r>
          </w:p>
        </w:tc>
      </w:tr>
      <w:tr>
        <w:trPr/>
        <w:tc>
          <w:tcPr>
            <w:tcW w:w="4680" w:type="dxa"/>
            <w:tcBorders>
              <w:top w:val="single" w:sz="4" w:space="0" w:color="E5E5E5"/>
              <w:bottom w:val="single" w:sz="12" w:space="0" w:color="1F497D"/>
            </w:tcBorders>
            <w:shd w:fill="F4F6F9" w:val="clear"/>
            <w:vAlign w:val="center"/>
          </w:tcPr>
          <w:p>
            <w:pPr>
              <w:pStyle w:val="Normal"/>
              <w:spacing w:before="60" w:after="60"/>
              <w:rPr/>
            </w:pPr>
            <w:r>
              <w:rPr>
                <w:b/>
                <w:sz w:val="19"/>
              </w:rPr>
              <w:t>Evaluated Foundation Model:</w:t>
            </w:r>
          </w:p>
        </w:tc>
        <w:tc>
          <w:tcPr>
            <w:tcW w:w="4680" w:type="dxa"/>
            <w:tcBorders>
              <w:top w:val="single" w:sz="4" w:space="0" w:color="E5E5E5"/>
              <w:bottom w:val="single" w:sz="12" w:space="0" w:color="1F497D"/>
            </w:tcBorders>
            <w:shd w:fill="F4F6F9" w:val="clear"/>
            <w:vAlign w:val="center"/>
          </w:tcPr>
          <w:p>
            <w:pPr>
              <w:pStyle w:val="Normal"/>
              <w:spacing w:before="60" w:after="60"/>
              <w:rPr/>
            </w:pPr>
            <w:r>
              <w:rPr>
                <w:sz w:val="19"/>
              </w:rPr>
              <w:t>Google Gemini API (gemini-flash-lite-latest) &amp; Deterministic Graph Solvers</w:t>
            </w:r>
          </w:p>
        </w:tc>
      </w:tr>
    </w:tbl>
    <w:p>
      <w:pPr>
        <w:pStyle w:val="Normal"/>
        <w:spacing w:before="280" w:after="200"/>
        <w:rPr/>
      </w:pPr>
      <w:r>
        <w:rPr/>
      </w:r>
    </w:p>
    <w:p>
      <w:pPr>
        <w:pStyle w:val="Heading1"/>
        <w:spacing w:before="280" w:after="120"/>
        <w:rPr/>
      </w:pPr>
      <w:r>
        <w:rPr/>
        <w:t>1. Executive Summary &amp; Research Motivation</w:t>
      </w:r>
    </w:p>
    <w:p>
      <w:pPr>
        <w:pStyle w:val="Normal"/>
        <w:rPr/>
      </w:pPr>
      <w:r>
        <w:rPr/>
        <w:t>Modern urban transportation networks are increasingly vulnerable to compound disruptions: unexpected water main ruptures, localized traffic congestion, police cordons, and electric vehicle (EV) battery breakdowns. In municipal operations, response decisions are traditionally guided by rigid Standard Operating Procedures (SOPs) based on classical shortest-path algorithms (such as Dijkstra's algorithm).</w:t>
      </w:r>
    </w:p>
    <w:p>
      <w:pPr>
        <w:pStyle w:val="Normal"/>
        <w:rPr/>
      </w:pPr>
      <w:r>
        <w:rPr/>
        <w:t>Over the past eighteen months, an explosion of Generative AI research has advocated for Large Language Models (LLMs) and Multi-Agent Systems to autonomously manage urban dispatch. However, our literature audit reveals a glaring deficiency: the vast majority of published papers fail to validate whether multi-agent LLM coordination genuinely improves transport outcomes compared to classical algorithms, whether the decisions adhere to physical safety constraints, and whether the significant latency and monetary token costs are practically justifiable.</w:t>
      </w:r>
    </w:p>
    <w:p>
      <w:pPr>
        <w:pStyle w:val="Normal"/>
        <w:rPr/>
      </w:pPr>
      <w:r>
        <w:rPr>
          <w:b/>
          <w:color w:val="1F497D"/>
        </w:rPr>
        <w:t>Primary Research Question:</w:t>
        <w:br/>
      </w:r>
      <w:r>
        <w:rPr>
          <w:i/>
          <w:sz w:val="23"/>
        </w:rPr>
        <w:t>“When does multi-agent LLM coordination actually improve transport-disruption decisions compared with a single LLM agent or traditional rule-based approach (SOPs) on 2D road networks, and is the improvement worth the additional computational and financial cost?”</w:t>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start w:val="single" w:sz="36" w:space="0" w:color="1F497D"/>
            </w:tcBorders>
            <w:shd w:fill="F2F5F9" w:val="clear"/>
          </w:tcPr>
          <w:p>
            <w:pPr>
              <w:pStyle w:val="Normal"/>
              <w:spacing w:before="60" w:after="60"/>
              <w:rPr/>
            </w:pPr>
            <w:r>
              <w:rPr>
                <w:b/>
                <w:color w:val="1F497D"/>
                <w:sz w:val="21"/>
              </w:rPr>
              <w:t xml:space="preserve">📌 </w:t>
            </w:r>
            <w:r>
              <w:rPr>
                <w:b/>
                <w:color w:val="1F497D"/>
                <w:sz w:val="21"/>
              </w:rPr>
              <w:t xml:space="preserve">CORE EXECUTIVE TAKEAWAY: </w:t>
            </w:r>
            <w:r>
              <w:rPr>
                <w:color w:val="323232"/>
                <w:sz w:val="20"/>
              </w:rPr>
              <w:t>Our empirical benchmark demonstrates that while classical Dijkstra algorithms excel at structured graph search, they are completely blind to unstructured natural language incident alerts and starve emergency passengers during fleet shortages. Conversely, monolithic Single-LLMs collapse under compound disruptions (dropping to 26.9% fulfillment). Our Tool-Augmented Multi-Agent System resolves this by pairing specialized cognitive roles with deterministic mathematical tools—preserving high emergency fulfillment (50.0%) with verifiable physical safety.</w:t>
            </w:r>
          </w:p>
        </w:tc>
      </w:tr>
    </w:tbl>
    <w:p>
      <w:pPr>
        <w:pStyle w:val="Normal"/>
        <w:spacing w:before="0" w:after="80"/>
        <w:rPr/>
      </w:pPr>
      <w:r>
        <w:rPr/>
      </w:r>
    </w:p>
    <w:p>
      <w:pPr>
        <w:pStyle w:val="Heading1"/>
        <w:spacing w:before="280" w:after="0"/>
        <w:rPr/>
      </w:pPr>
      <w:r>
        <w:rPr/>
        <w:t>2. Critical Literature Audit: What Most Papers Get Wrong</w:t>
      </w:r>
    </w:p>
    <w:p>
      <w:pPr>
        <w:pStyle w:val="Normal"/>
        <w:rPr/>
      </w:pPr>
      <w:r>
        <w:rPr/>
        <w:t>To establish scientific credibility, our project directly addresses the methodological shortcuts prevalent in recent 'Multi-Agent LLM' literature (e.g., studies utilizing AutoGen, CrewAI, or generic prompt-chaining wrappers). Our investigation reveals three fundamental flaws in existing publications:</w:t>
      </w:r>
    </w:p>
    <w:p>
      <w:pPr>
        <w:pStyle w:val="Normal"/>
        <w:spacing w:before="0" w:after="80"/>
        <w:ind w:start="288"/>
        <w:rPr/>
      </w:pPr>
      <w:r>
        <w:rPr>
          <w:b/>
        </w:rPr>
        <w:t xml:space="preserve">• </w:t>
      </w:r>
      <w:r>
        <w:rPr>
          <w:b/>
        </w:rPr>
        <w:t xml:space="preserve">Flaw 1: 'Prompt Slicing' Masquerading as Multi-Agent Systems: </w:t>
      </w:r>
      <w:r>
        <w:rPr/>
        <w:t>Many published papers take a monolithic problem, divide the prompt into four sequential chunks, call the same LLM API four times in a rigid waterfall (Prompt A → Prompt B → Prompt C → Prompt D), and claim to have discovered emergent multi-agent intelligence. In reality, this is merely sequential prompt decomposition without independent agency, private local memory, or bidirectional negotiation.</w:t>
      </w:r>
    </w:p>
    <w:p>
      <w:pPr>
        <w:pStyle w:val="Normal"/>
        <w:spacing w:before="0" w:after="80"/>
        <w:ind w:start="288"/>
        <w:rPr/>
      </w:pPr>
      <w:r>
        <w:rPr>
          <w:b/>
        </w:rPr>
        <w:t xml:space="preserve">• </w:t>
      </w:r>
      <w:r>
        <w:rPr>
          <w:b/>
        </w:rPr>
        <w:t xml:space="preserve">Flaw 2: Asking Autoregressive Text Generators to do Graph Theory: </w:t>
      </w:r>
      <w:r>
        <w:rPr/>
        <w:t>Multiple papers prompt LLMs to output node-by-node route sequences as raw strings (e.g., ['Node_1', 'Node_4', 'Node_7']). LLMs are next-token probabilistic predictors; they cannot guarantee shortest paths or topological validity. Forcing an LLM to perform mental graph traversal leads to frequent hallucinations, traversing non-existent edges, and violating road directions.</w:t>
      </w:r>
    </w:p>
    <w:p>
      <w:pPr>
        <w:pStyle w:val="Normal"/>
        <w:spacing w:before="0" w:after="80"/>
        <w:ind w:start="288"/>
        <w:rPr/>
      </w:pPr>
      <w:r>
        <w:rPr>
          <w:b/>
        </w:rPr>
        <w:t xml:space="preserve">• </w:t>
      </w:r>
      <w:r>
        <w:rPr>
          <w:b/>
        </w:rPr>
        <w:t xml:space="preserve">Flaw 3: Complete Absence of Deterministic Physical Safety Verification: </w:t>
      </w:r>
      <w:r>
        <w:rPr/>
        <w:t>The vast majority of agentic transport papers evaluate their systems on subjective conversational metrics or unverified simulations. They lack deterministic safety guards to verify whether a proposed electric vehicle actually possesses enough battery (State-of-Charge) to complete the journey, or whether a vehicle has been illegally double-booked across concurrent passenger requests.</w:t>
      </w:r>
    </w:p>
    <w:p>
      <w:pPr>
        <w:pStyle w:val="Heading2"/>
        <w:rPr/>
      </w:pPr>
      <w:r>
        <w:rPr/>
        <w:t>2.1 Why Our Proposed Approach is Methodologically Superior</w:t>
      </w:r>
    </w:p>
    <w:tbl>
      <w:tblPr>
        <w:tblW w:w="9360" w:type="dxa"/>
        <w:jc w:val="center"/>
        <w:tblInd w:w="0" w:type="dxa"/>
        <w:tblLayout w:type="fixed"/>
        <w:tblCellMar>
          <w:top w:w="100" w:type="dxa"/>
          <w:start w:w="130" w:type="dxa"/>
          <w:bottom w:w="100" w:type="dxa"/>
          <w:end w:w="130" w:type="dxa"/>
        </w:tblCellMar>
        <w:tblLook w:noHBand="0" w:noVBand="1" w:firstColumn="1" w:lastRow="0" w:lastColumn="0" w:firstRow="1" w:val="04a0"/>
      </w:tblPr>
      <w:tblGrid>
        <w:gridCol w:w="3120"/>
        <w:gridCol w:w="3120"/>
        <w:gridCol w:w="3120"/>
      </w:tblGrid>
      <w:tr>
        <w:trPr/>
        <w:tc>
          <w:tcPr>
            <w:tcW w:w="3120" w:type="dxa"/>
            <w:tcBorders>
              <w:top w:val="single" w:sz="6" w:space="0" w:color="D3D3D3"/>
              <w:bottom w:val="single" w:sz="4" w:space="0" w:color="E5E5E5"/>
            </w:tcBorders>
            <w:shd w:fill="2A4B7C" w:val="clear"/>
            <w:vAlign w:val="center"/>
          </w:tcPr>
          <w:p>
            <w:pPr>
              <w:pStyle w:val="Normal"/>
              <w:spacing w:before="60" w:after="60"/>
              <w:rPr/>
            </w:pPr>
            <w:r>
              <w:rPr>
                <w:b/>
                <w:color w:val="FFFFFF"/>
                <w:sz w:val="20"/>
              </w:rPr>
              <w:t>Dimension</w:t>
            </w:r>
          </w:p>
        </w:tc>
        <w:tc>
          <w:tcPr>
            <w:tcW w:w="3120" w:type="dxa"/>
            <w:tcBorders>
              <w:top w:val="single" w:sz="6" w:space="0" w:color="D3D3D3"/>
              <w:bottom w:val="single" w:sz="4" w:space="0" w:color="E5E5E5"/>
            </w:tcBorders>
            <w:shd w:fill="2A4B7C" w:val="clear"/>
            <w:vAlign w:val="center"/>
          </w:tcPr>
          <w:p>
            <w:pPr>
              <w:pStyle w:val="Normal"/>
              <w:spacing w:before="60" w:after="60"/>
              <w:rPr/>
            </w:pPr>
            <w:r>
              <w:rPr>
                <w:b/>
                <w:color w:val="FFFFFF"/>
                <w:sz w:val="20"/>
              </w:rPr>
              <w:t>Mainstream Literature Approach</w:t>
            </w:r>
          </w:p>
        </w:tc>
        <w:tc>
          <w:tcPr>
            <w:tcW w:w="3120" w:type="dxa"/>
            <w:tcBorders>
              <w:top w:val="single" w:sz="6" w:space="0" w:color="D3D3D3"/>
              <w:bottom w:val="single" w:sz="4" w:space="0" w:color="E5E5E5"/>
            </w:tcBorders>
            <w:shd w:fill="2A4B7C" w:val="clear"/>
            <w:vAlign w:val="center"/>
          </w:tcPr>
          <w:p>
            <w:pPr>
              <w:pStyle w:val="Normal"/>
              <w:spacing w:before="60" w:after="60"/>
              <w:rPr/>
            </w:pPr>
            <w:r>
              <w:rPr>
                <w:b/>
                <w:color w:val="FFFFFF"/>
                <w:sz w:val="20"/>
              </w:rPr>
              <w:t>Our Implemented Framework</w:t>
            </w:r>
          </w:p>
        </w:tc>
      </w:tr>
      <w:tr>
        <w:trPr/>
        <w:tc>
          <w:tcPr>
            <w:tcW w:w="3120" w:type="dxa"/>
            <w:tcBorders>
              <w:top w:val="single" w:sz="4" w:space="0" w:color="E5E5E5"/>
              <w:bottom w:val="single" w:sz="4" w:space="0" w:color="E5E5E5"/>
            </w:tcBorders>
            <w:shd w:fill="F9FBFD" w:val="clear"/>
            <w:vAlign w:val="center"/>
          </w:tcPr>
          <w:p>
            <w:pPr>
              <w:pStyle w:val="Normal"/>
              <w:spacing w:before="60" w:after="60"/>
              <w:rPr/>
            </w:pPr>
            <w:r>
              <w:rPr>
                <w:sz w:val="19"/>
              </w:rPr>
              <w:t>Routing Mechanism</w:t>
            </w:r>
          </w:p>
        </w:tc>
        <w:tc>
          <w:tcPr>
            <w:tcW w:w="3120" w:type="dxa"/>
            <w:tcBorders>
              <w:top w:val="single" w:sz="4" w:space="0" w:color="E5E5E5"/>
              <w:bottom w:val="single" w:sz="4" w:space="0" w:color="E5E5E5"/>
            </w:tcBorders>
            <w:shd w:fill="F9FBFD" w:val="clear"/>
            <w:vAlign w:val="center"/>
          </w:tcPr>
          <w:p>
            <w:pPr>
              <w:pStyle w:val="Normal"/>
              <w:spacing w:before="60" w:after="60"/>
              <w:rPr/>
            </w:pPr>
            <w:r>
              <w:rPr>
                <w:sz w:val="19"/>
              </w:rPr>
              <w:t>LLM guesses node names in text (High hallucination rate)</w:t>
            </w:r>
          </w:p>
        </w:tc>
        <w:tc>
          <w:tcPr>
            <w:tcW w:w="3120" w:type="dxa"/>
            <w:tcBorders>
              <w:top w:val="single" w:sz="4" w:space="0" w:color="E5E5E5"/>
              <w:bottom w:val="single" w:sz="4" w:space="0" w:color="E5E5E5"/>
            </w:tcBorders>
            <w:shd w:fill="F9FBFD" w:val="clear"/>
            <w:vAlign w:val="center"/>
          </w:tcPr>
          <w:p>
            <w:pPr>
              <w:pStyle w:val="Normal"/>
              <w:spacing w:before="60" w:after="60"/>
              <w:rPr/>
            </w:pPr>
            <w:r>
              <w:rPr>
                <w:sz w:val="19"/>
              </w:rPr>
              <w:t>Neuro-Symbolic Tool Calling: Agents invoke verified Dijkstra and K-Shortest Path tools</w:t>
            </w:r>
          </w:p>
        </w:tc>
      </w:tr>
      <w:tr>
        <w:trPr/>
        <w:tc>
          <w:tcPr>
            <w:tcW w:w="3120" w:type="dxa"/>
            <w:tcBorders>
              <w:top w:val="single" w:sz="4" w:space="0" w:color="E5E5E5"/>
              <w:bottom w:val="single" w:sz="4" w:space="0" w:color="E5E5E5"/>
            </w:tcBorders>
            <w:shd w:fill="FFFFFF" w:val="clear"/>
            <w:vAlign w:val="center"/>
          </w:tcPr>
          <w:p>
            <w:pPr>
              <w:pStyle w:val="Normal"/>
              <w:spacing w:before="60" w:after="60"/>
              <w:rPr/>
            </w:pPr>
            <w:r>
              <w:rPr>
                <w:sz w:val="19"/>
              </w:rPr>
              <w:t>Safety &amp; Physical Feasibility</w:t>
            </w:r>
          </w:p>
        </w:tc>
        <w:tc>
          <w:tcPr>
            <w:tcW w:w="3120" w:type="dxa"/>
            <w:tcBorders>
              <w:top w:val="single" w:sz="4" w:space="0" w:color="E5E5E5"/>
              <w:bottom w:val="single" w:sz="4" w:space="0" w:color="E5E5E5"/>
            </w:tcBorders>
            <w:shd w:fill="FFFFFF" w:val="clear"/>
            <w:vAlign w:val="center"/>
          </w:tcPr>
          <w:p>
            <w:pPr>
              <w:pStyle w:val="Normal"/>
              <w:spacing w:before="60" w:after="60"/>
              <w:rPr/>
            </w:pPr>
            <w:r>
              <w:rPr>
                <w:sz w:val="19"/>
              </w:rPr>
              <w:t>Assumed valid or unverified; no hard constraint tracking</w:t>
            </w:r>
          </w:p>
        </w:tc>
        <w:tc>
          <w:tcPr>
            <w:tcW w:w="3120" w:type="dxa"/>
            <w:tcBorders>
              <w:top w:val="single" w:sz="4" w:space="0" w:color="E5E5E5"/>
              <w:bottom w:val="single" w:sz="4" w:space="0" w:color="E5E5E5"/>
            </w:tcBorders>
            <w:shd w:fill="FFFFFF" w:val="clear"/>
            <w:vAlign w:val="center"/>
          </w:tcPr>
          <w:p>
            <w:pPr>
              <w:pStyle w:val="Normal"/>
              <w:spacing w:before="60" w:after="60"/>
              <w:rPr/>
            </w:pPr>
            <w:r>
              <w:rPr>
                <w:sz w:val="19"/>
              </w:rPr>
              <w:t>Deterministic Non-LLM Safety Guard intercepts every plan; tracks HCVR and enforces SOP fallback</w:t>
            </w:r>
          </w:p>
        </w:tc>
      </w:tr>
      <w:tr>
        <w:trPr/>
        <w:tc>
          <w:tcPr>
            <w:tcW w:w="3120" w:type="dxa"/>
            <w:tcBorders>
              <w:top w:val="single" w:sz="4" w:space="0" w:color="E5E5E5"/>
              <w:bottom w:val="single" w:sz="4" w:space="0" w:color="E5E5E5"/>
            </w:tcBorders>
            <w:shd w:fill="F9FBFD" w:val="clear"/>
            <w:vAlign w:val="center"/>
          </w:tcPr>
          <w:p>
            <w:pPr>
              <w:pStyle w:val="Normal"/>
              <w:spacing w:before="60" w:after="60"/>
              <w:rPr/>
            </w:pPr>
            <w:r>
              <w:rPr>
                <w:sz w:val="19"/>
              </w:rPr>
              <w:t>Baseline Benchmarking</w:t>
            </w:r>
          </w:p>
        </w:tc>
        <w:tc>
          <w:tcPr>
            <w:tcW w:w="3120" w:type="dxa"/>
            <w:tcBorders>
              <w:top w:val="single" w:sz="4" w:space="0" w:color="E5E5E5"/>
              <w:bottom w:val="single" w:sz="4" w:space="0" w:color="E5E5E5"/>
            </w:tcBorders>
            <w:shd w:fill="F9FBFD" w:val="clear"/>
            <w:vAlign w:val="center"/>
          </w:tcPr>
          <w:p>
            <w:pPr>
              <w:pStyle w:val="Normal"/>
              <w:spacing w:before="60" w:after="60"/>
              <w:rPr/>
            </w:pPr>
            <w:r>
              <w:rPr>
                <w:sz w:val="19"/>
              </w:rPr>
              <w:t>Frequently compared only against zero-shot LLM strawmen</w:t>
            </w:r>
          </w:p>
        </w:tc>
        <w:tc>
          <w:tcPr>
            <w:tcW w:w="3120" w:type="dxa"/>
            <w:tcBorders>
              <w:top w:val="single" w:sz="4" w:space="0" w:color="E5E5E5"/>
              <w:bottom w:val="single" w:sz="4" w:space="0" w:color="E5E5E5"/>
            </w:tcBorders>
            <w:shd w:fill="F9FBFD" w:val="clear"/>
            <w:vAlign w:val="center"/>
          </w:tcPr>
          <w:p>
            <w:pPr>
              <w:pStyle w:val="Normal"/>
              <w:spacing w:before="60" w:after="60"/>
              <w:rPr/>
            </w:pPr>
            <w:r>
              <w:rPr>
                <w:sz w:val="19"/>
              </w:rPr>
              <w:t>Rigorously benchmarked against both classical Rule-Based SOPs and Monolithic Single-LLM agents</w:t>
            </w:r>
          </w:p>
        </w:tc>
      </w:tr>
      <w:tr>
        <w:trPr/>
        <w:tc>
          <w:tcPr>
            <w:tcW w:w="3120" w:type="dxa"/>
            <w:tcBorders>
              <w:top w:val="single" w:sz="4" w:space="0" w:color="E5E5E5"/>
              <w:bottom w:val="single" w:sz="12" w:space="0" w:color="1F497D"/>
            </w:tcBorders>
            <w:shd w:fill="FFFFFF" w:val="clear"/>
            <w:vAlign w:val="center"/>
          </w:tcPr>
          <w:p>
            <w:pPr>
              <w:pStyle w:val="Normal"/>
              <w:spacing w:before="60" w:after="60"/>
              <w:rPr/>
            </w:pPr>
            <w:r>
              <w:rPr>
                <w:sz w:val="19"/>
              </w:rPr>
              <w:t>Disruption Realism</w:t>
            </w:r>
          </w:p>
        </w:tc>
        <w:tc>
          <w:tcPr>
            <w:tcW w:w="3120" w:type="dxa"/>
            <w:tcBorders>
              <w:top w:val="single" w:sz="4" w:space="0" w:color="E5E5E5"/>
              <w:bottom w:val="single" w:sz="12" w:space="0" w:color="1F497D"/>
            </w:tcBorders>
            <w:shd w:fill="FFFFFF" w:val="clear"/>
            <w:vAlign w:val="center"/>
          </w:tcPr>
          <w:p>
            <w:pPr>
              <w:pStyle w:val="Normal"/>
              <w:spacing w:before="60" w:after="60"/>
              <w:rPr/>
            </w:pPr>
            <w:r>
              <w:rPr>
                <w:sz w:val="19"/>
              </w:rPr>
              <w:t>Structured toy graphs or synthetic numbers only</w:t>
            </w:r>
          </w:p>
        </w:tc>
        <w:tc>
          <w:tcPr>
            <w:tcW w:w="3120" w:type="dxa"/>
            <w:tcBorders>
              <w:top w:val="single" w:sz="4" w:space="0" w:color="E5E5E5"/>
              <w:bottom w:val="single" w:sz="12" w:space="0" w:color="1F497D"/>
            </w:tcBorders>
            <w:shd w:fill="FFFFFF" w:val="clear"/>
            <w:vAlign w:val="center"/>
          </w:tcPr>
          <w:p>
            <w:pPr>
              <w:pStyle w:val="Normal"/>
              <w:spacing w:before="60" w:after="60"/>
              <w:rPr/>
            </w:pPr>
            <w:r>
              <w:rPr>
                <w:sz w:val="19"/>
              </w:rPr>
              <w:t>Natural language incident text alerts (police/weather reports) + EV battery limits + Emergency priorities</w:t>
            </w:r>
          </w:p>
        </w:tc>
      </w:tr>
    </w:tbl>
    <w:p>
      <w:pPr>
        <w:pStyle w:val="Heading1"/>
        <w:spacing w:before="280" w:after="0"/>
        <w:rPr/>
      </w:pPr>
      <w:r>
        <w:rPr/>
        <w:t>3. Under-the-Hood System Architecture</w:t>
      </w:r>
    </w:p>
    <w:p>
      <w:pPr>
        <w:pStyle w:val="Normal"/>
        <w:rPr/>
      </w:pPr>
      <w:r>
        <w:rPr/>
        <w:t>Our system is engineered as a clean, transparent, modular testbed comprising five core Python modules:</w:t>
      </w:r>
    </w:p>
    <w:p>
      <w:pPr>
        <w:pStyle w:val="Heading2"/>
        <w:rPr/>
      </w:pPr>
      <w:r>
        <w:rPr/>
        <w:t>3.1 The 4×4 Manhattan Urban Road Grid (`network.py`)</w:t>
      </w:r>
    </w:p>
    <w:p>
      <w:pPr>
        <w:pStyle w:val="Normal"/>
        <w:rPr/>
      </w:pPr>
      <w:r>
        <w:rPr/>
        <w:t>We model a realistic urban grid consisting of 16 named intersections (N0 'North Depot' to N15 'Central Hospital') and 24 bidirectional road segments. Each segment has explicit baseline travel times (5.0 to 8.0 minutes) and nominal traffic capacity (40 vehicles/hour). Segments are assigned realistic street names (e.g., 'Elm Street', 'Grand Avenue', 'Hospital Boulevard') to enable natural language incident dispatch.</w:t>
      </w:r>
    </w:p>
    <w:p>
      <w:pPr>
        <w:pStyle w:val="Heading2"/>
        <w:rPr/>
      </w:pPr>
      <w:r>
        <w:rPr/>
        <w:t>3.2 The Deterministic Tool API Layer (`tools.py`)</w:t>
      </w:r>
    </w:p>
    <w:p>
      <w:pPr>
        <w:pStyle w:val="Normal"/>
        <w:rPr/>
      </w:pPr>
      <w:r>
        <w:rPr/>
        <w:t>Rather than forcing generative models to hallucinate routes, our system equips agents with verified algorithmic tools:</w:t>
        <w:br/>
        <w:t>• `tool_find_shortest_path(G, origin, dest)`: Executes exact Dijkstra shortest path computation on the active open graph.</w:t>
        <w:br/>
        <w:t>• `tool_get_k_diverse_routes(G, origin, dest, k)`: Computes multiple diverse, loop-free detour routes to allow agents to spread detour traffic across parallel corridors.</w:t>
        <w:br/>
        <w:t>• `tool_check_battery(vehicle, route_minutes)`: Mathematically verifies whether vehicle battery SoC satisfies: SoC ≥ (Route Minutes × 1.0% × 1.15 safety buffer).</w:t>
      </w:r>
    </w:p>
    <w:p>
      <w:pPr>
        <w:pStyle w:val="Heading2"/>
        <w:rPr/>
      </w:pPr>
      <w:r>
        <w:rPr/>
        <w:t>3.3 Graduated Disruption &amp; Incident Generation (`scenarios.py`)</w:t>
      </w:r>
    </w:p>
    <w:p>
      <w:pPr>
        <w:pStyle w:val="Normal"/>
        <w:rPr/>
      </w:pPr>
      <w:r>
        <w:rPr/>
        <w:t>We define a 5-level graduated complexity spectrum (L1 to L5) with reproducible seeded randomness:</w:t>
        <w:br/>
        <w:t>• L1 (Simple): 1 scheduled road closure, 3 requests, full 6-EV fleet.</w:t>
        <w:br/>
        <w:t>• L2 (Moderate): 1 closure announced via police text alert, 1 congestion bottleneck (2.5×–4.0× delay), 4 requests.</w:t>
        <w:br/>
        <w:t>• L3 (Compound): 1 closure, 1 congestion, 1 EV mechanical breakdown, 5 requests with Emergency priorities.</w:t>
        <w:br/>
        <w:t>• L4 (Cascading): 2 closures (including urgent water main break text alert), 1 congestion, 1 breakdown, 6 requests.</w:t>
        <w:br/>
        <w:t>• L5 (Extreme Crisis): 3 closures, 2 congestions, 2 breakdowns (only 4 EVs operable), 7 passenger requests competing for scarce seats.</w:t>
      </w:r>
    </w:p>
    <w:p>
      <w:pPr>
        <w:pStyle w:val="Heading2"/>
        <w:rPr/>
      </w:pPr>
      <w:r>
        <w:rPr/>
        <w:t>3.4 The Non-Negotiable Safety Guard (`safety_guard.py`)</w:t>
      </w:r>
    </w:p>
    <w:p>
      <w:pPr>
        <w:pStyle w:val="Normal"/>
        <w:rPr/>
      </w:pPr>
      <w:r>
        <w:rPr/>
        <w:t>Before any vehicle dispatch is committed, every proposed action is intercepted by a non-LLM Python Safety Guard that performs four deterministic checks:</w:t>
        <w:br/>
        <w:t>1. Topological Reachability: Verifies that every road segment in the route is open in the ground-truth network.</w:t>
        <w:br/>
        <w:t>2. Battery Sufficiency: Verifies that EV battery covers the journey with a 15% safety buffer.</w:t>
        <w:br/>
        <w:t>3. Capacity Check: Verifies that vehicle seats ≥ passenger party size.</w:t>
        <w:br/>
        <w:t>4. Conflict Resolution: Guarantees no vehicle is assigned to multiple concurrent requests.</w:t>
        <w:br/>
        <w:t>Violations increment the Hard Constraint Violation Rate (HCVR) and trigger deterministic SOP fallback repairs.</w:t>
      </w:r>
    </w:p>
    <w:p>
      <w:pPr>
        <w:pStyle w:val="Heading1"/>
        <w:spacing w:before="280" w:after="0"/>
        <w:rPr/>
      </w:pPr>
      <w:r>
        <w:rPr/>
        <w:t>4. How the Three Controllers Function in Practice</w:t>
      </w:r>
    </w:p>
    <w:p>
      <w:pPr>
        <w:pStyle w:val="Normal"/>
        <w:rPr/>
      </w:pPr>
      <w:r>
        <w:rPr/>
        <w:t>To provide a fair and rigorous scientific evaluation, all three controllers operate on identical scenarios, identical fleets, and are validated by the exact same Safety Guard:</w:t>
      </w:r>
    </w:p>
    <w:p>
      <w:pPr>
        <w:pStyle w:val="Heading2"/>
        <w:rPr/>
      </w:pPr>
      <w:r>
        <w:rPr/>
        <w:t>4.1 Controller B1: Rule-Based SOP (Classical Municipal Dispatch)</w:t>
      </w:r>
    </w:p>
    <w:p>
      <w:pPr>
        <w:pStyle w:val="Normal"/>
        <w:rPr/>
      </w:pPr>
      <w:r>
        <w:rPr/>
        <w:t>Represents standard municipal transit procedures. It queries a static database of pre-scheduled closures and executes Dijkstra shortest path routing. Critically, it has NO Natural Language Processing capability—it completely ignores text advisories. When a sudden water main break is announced via police text alert, B1 blindly routes vehicles into the flooded segment, where the Safety Guard intercepts and rejects the plan. Furthermore, B1 dispatches vehicles on a naive first-come, first-served basis, often leaving emergency hospital patients stranded.</w:t>
      </w:r>
    </w:p>
    <w:p>
      <w:pPr>
        <w:pStyle w:val="Heading2"/>
        <w:rPr/>
      </w:pPr>
      <w:r>
        <w:rPr/>
        <w:t>4.2 Controller B2: Monolithic Single-LLM Agent</w:t>
      </w:r>
    </w:p>
    <w:p>
      <w:pPr>
        <w:pStyle w:val="Normal"/>
        <w:rPr/>
      </w:pPr>
      <w:r>
        <w:rPr/>
        <w:t>Represents a monolithic Generative AI agent. The entire scenario (all incident text alerts, all passenger party sizes and priorities, all EV battery levels, and full network connectivity) is submitted in a single prompt to Google Gemini. The model reads the text alert and successfully avoids closed roads at L1–L2. However, at L4–L5, the model suffers 'Context Overload' / Attention Dilution: it struggles to simultaneously balance battery arithmetic, emergency prioritization, and conflict-free vehicle matching, causing fulfillment to collapse.</w:t>
      </w:r>
    </w:p>
    <w:p>
      <w:pPr>
        <w:pStyle w:val="Heading2"/>
        <w:rPr/>
      </w:pPr>
      <w:r>
        <w:rPr/>
        <w:t>4.3 Controller B3: Tool-Augmented Multi-Agent System</w:t>
      </w:r>
    </w:p>
    <w:p>
      <w:pPr>
        <w:pStyle w:val="Normal"/>
        <w:rPr/>
      </w:pPr>
      <w:r>
        <w:rPr/>
        <w:t>Our proposed architecture decomposes the crisis across specialized cognitive roles and algorithmic tools:</w:t>
        <w:br/>
        <w:t>1. Traffic Agent (LLM Call 1 — Pure NLP): Scoped solely to incident text alerts. Extracts closed road segments without seeing vehicle batteries.</w:t>
        <w:br/>
        <w:t>2. Routing Tool (Pure Python — Deterministic): Takes the verified open subgraph from the Traffic Agent and computes verified alternative detours using Dijkstra algorithms.</w:t>
        <w:br/>
        <w:t>3. Fleet Agent (LLM Call 2 — Resource Manager): Scoped solely to EV battery percentages and passenger party sizes. Prioritizes and reserves high-SoC vehicles for 'EMERGENCY' requests.</w:t>
        <w:br/>
        <w:t>4. Coordinator Agent (LLM Call 3 — Global Arbitrator): Synthesizes reports from Traffic and Fleet, matches emergency passengers with reserved EVs, assigns diverse detours, and verifies the complete plan with tools before submission.</w:t>
      </w:r>
    </w:p>
    <w:p>
      <w:pPr>
        <w:pStyle w:val="Heading1"/>
        <w:spacing w:before="280" w:after="0"/>
        <w:rPr/>
      </w:pPr>
      <w:r>
        <w:rPr/>
        <w:t>5. Empirical Benchmarking Results &amp; Numerical Proof</w:t>
      </w:r>
    </w:p>
    <w:p>
      <w:pPr>
        <w:pStyle w:val="Normal"/>
        <w:rPr/>
      </w:pPr>
      <w:r>
        <w:rPr/>
        <w:t>The complete benchmark was executed live using Google's Gemini API (gemini-flash-lite-latest) across 10 graduated scenarios from L1 to L5. Every number in the table below represents real, measured operational data:</w:t>
      </w:r>
    </w:p>
    <w:tbl>
      <w:tblPr>
        <w:tblW w:w="9360" w:type="dxa"/>
        <w:jc w:val="center"/>
        <w:tblInd w:w="0" w:type="dxa"/>
        <w:tblLayout w:type="fixed"/>
        <w:tblCellMar>
          <w:top w:w="100" w:type="dxa"/>
          <w:start w:w="130" w:type="dxa"/>
          <w:bottom w:w="100" w:type="dxa"/>
          <w:end w:w="130" w:type="dxa"/>
        </w:tblCellMar>
        <w:tblLook w:noHBand="0" w:noVBand="1" w:firstColumn="1" w:lastRow="0" w:lastColumn="0" w:firstRow="1" w:val="04a0"/>
      </w:tblPr>
      <w:tblGrid>
        <w:gridCol w:w="1560"/>
        <w:gridCol w:w="1559"/>
        <w:gridCol w:w="1561"/>
        <w:gridCol w:w="1560"/>
        <w:gridCol w:w="1559"/>
        <w:gridCol w:w="1561"/>
      </w:tblGrid>
      <w:tr>
        <w:trPr/>
        <w:tc>
          <w:tcPr>
            <w:tcW w:w="1560" w:type="dxa"/>
            <w:tcBorders>
              <w:top w:val="single" w:sz="6" w:space="0" w:color="D3D3D3"/>
              <w:bottom w:val="single" w:sz="4" w:space="0" w:color="E5E5E5"/>
            </w:tcBorders>
            <w:shd w:fill="1F497D" w:val="clear"/>
            <w:vAlign w:val="center"/>
          </w:tcPr>
          <w:p>
            <w:pPr>
              <w:pStyle w:val="Normal"/>
              <w:spacing w:before="60" w:after="60"/>
              <w:rPr/>
            </w:pPr>
            <w:r>
              <w:rPr>
                <w:b/>
                <w:color w:val="FFFFFF"/>
                <w:sz w:val="20"/>
              </w:rPr>
              <w:t>Level</w:t>
            </w:r>
          </w:p>
        </w:tc>
        <w:tc>
          <w:tcPr>
            <w:tcW w:w="1559" w:type="dxa"/>
            <w:tcBorders>
              <w:top w:val="single" w:sz="6" w:space="0" w:color="D3D3D3"/>
              <w:bottom w:val="single" w:sz="4" w:space="0" w:color="E5E5E5"/>
            </w:tcBorders>
            <w:shd w:fill="1F497D" w:val="clear"/>
            <w:vAlign w:val="center"/>
          </w:tcPr>
          <w:p>
            <w:pPr>
              <w:pStyle w:val="Normal"/>
              <w:spacing w:before="60" w:after="60"/>
              <w:rPr/>
            </w:pPr>
            <w:r>
              <w:rPr>
                <w:b/>
                <w:color w:val="FFFFFF"/>
                <w:sz w:val="20"/>
              </w:rPr>
              <w:t>Controller Strategy</w:t>
            </w:r>
          </w:p>
        </w:tc>
        <w:tc>
          <w:tcPr>
            <w:tcW w:w="1561" w:type="dxa"/>
            <w:tcBorders>
              <w:top w:val="single" w:sz="6" w:space="0" w:color="D3D3D3"/>
              <w:bottom w:val="single" w:sz="4" w:space="0" w:color="E5E5E5"/>
            </w:tcBorders>
            <w:shd w:fill="1F497D" w:val="clear"/>
            <w:vAlign w:val="center"/>
          </w:tcPr>
          <w:p>
            <w:pPr>
              <w:pStyle w:val="Normal"/>
              <w:spacing w:before="60" w:after="60"/>
              <w:rPr/>
            </w:pPr>
            <w:r>
              <w:rPr>
                <w:b/>
                <w:color w:val="FFFFFF"/>
                <w:sz w:val="20"/>
              </w:rPr>
              <w:t>Weighted RFR (%) ↑</w:t>
            </w:r>
          </w:p>
        </w:tc>
        <w:tc>
          <w:tcPr>
            <w:tcW w:w="1560" w:type="dxa"/>
            <w:tcBorders>
              <w:top w:val="single" w:sz="6" w:space="0" w:color="D3D3D3"/>
              <w:bottom w:val="single" w:sz="4" w:space="0" w:color="E5E5E5"/>
            </w:tcBorders>
            <w:shd w:fill="1F497D" w:val="clear"/>
            <w:vAlign w:val="center"/>
          </w:tcPr>
          <w:p>
            <w:pPr>
              <w:pStyle w:val="Normal"/>
              <w:spacing w:before="60" w:after="60"/>
              <w:rPr/>
            </w:pPr>
            <w:r>
              <w:rPr>
                <w:b/>
                <w:color w:val="FFFFFF"/>
                <w:sz w:val="20"/>
              </w:rPr>
              <w:t>HCVR (%) ↓</w:t>
            </w:r>
          </w:p>
        </w:tc>
        <w:tc>
          <w:tcPr>
            <w:tcW w:w="1559" w:type="dxa"/>
            <w:tcBorders>
              <w:top w:val="single" w:sz="6" w:space="0" w:color="D3D3D3"/>
              <w:bottom w:val="single" w:sz="4" w:space="0" w:color="E5E5E5"/>
            </w:tcBorders>
            <w:shd w:fill="1F497D" w:val="clear"/>
            <w:vAlign w:val="center"/>
          </w:tcPr>
          <w:p>
            <w:pPr>
              <w:pStyle w:val="Normal"/>
              <w:spacing w:before="60" w:after="60"/>
              <w:rPr/>
            </w:pPr>
            <w:r>
              <w:rPr>
                <w:b/>
                <w:color w:val="FFFFFF"/>
                <w:sz w:val="20"/>
              </w:rPr>
              <w:t>Real Latency (s) ↓</w:t>
            </w:r>
          </w:p>
        </w:tc>
        <w:tc>
          <w:tcPr>
            <w:tcW w:w="1561" w:type="dxa"/>
            <w:tcBorders>
              <w:top w:val="single" w:sz="6" w:space="0" w:color="D3D3D3"/>
              <w:bottom w:val="single" w:sz="4" w:space="0" w:color="E5E5E5"/>
            </w:tcBorders>
            <w:shd w:fill="1F497D" w:val="clear"/>
            <w:vAlign w:val="center"/>
          </w:tcPr>
          <w:p>
            <w:pPr>
              <w:pStyle w:val="Normal"/>
              <w:spacing w:before="60" w:after="60"/>
              <w:rPr/>
            </w:pPr>
            <w:r>
              <w:rPr>
                <w:b/>
                <w:color w:val="FFFFFF"/>
                <w:sz w:val="20"/>
              </w:rPr>
              <w:t>Token Cost ($)</w:t>
            </w:r>
          </w:p>
        </w:tc>
      </w:tr>
      <w:tr>
        <w:trPr/>
        <w:tc>
          <w:tcPr>
            <w:tcW w:w="1560" w:type="dxa"/>
            <w:tcBorders>
              <w:top w:val="single" w:sz="4" w:space="0" w:color="E5E5E5"/>
              <w:bottom w:val="single" w:sz="4" w:space="0" w:color="E5E5E5"/>
            </w:tcBorders>
            <w:shd w:fill="F4F6F9" w:val="clear"/>
            <w:vAlign w:val="center"/>
          </w:tcPr>
          <w:p>
            <w:pPr>
              <w:pStyle w:val="Normal"/>
              <w:spacing w:before="60" w:after="60"/>
              <w:rPr/>
            </w:pPr>
            <w:r>
              <w:rPr>
                <w:sz w:val="19"/>
              </w:rPr>
              <w:t>L1</w:t>
            </w:r>
          </w:p>
        </w:tc>
        <w:tc>
          <w:tcPr>
            <w:tcW w:w="1559" w:type="dxa"/>
            <w:tcBorders>
              <w:top w:val="single" w:sz="4" w:space="0" w:color="E5E5E5"/>
              <w:bottom w:val="single" w:sz="4" w:space="0" w:color="E5E5E5"/>
            </w:tcBorders>
            <w:shd w:fill="F4F6F9" w:val="clear"/>
            <w:vAlign w:val="center"/>
          </w:tcPr>
          <w:p>
            <w:pPr>
              <w:pStyle w:val="Normal"/>
              <w:spacing w:before="60" w:after="60"/>
              <w:rPr/>
            </w:pPr>
            <w:r>
              <w:rPr>
                <w:sz w:val="19"/>
              </w:rPr>
              <w:t>B1 Rule-Based SOP (Blind)</w:t>
            </w:r>
          </w:p>
        </w:tc>
        <w:tc>
          <w:tcPr>
            <w:tcW w:w="1561" w:type="dxa"/>
            <w:tcBorders>
              <w:top w:val="single" w:sz="4" w:space="0" w:color="E5E5E5"/>
              <w:bottom w:val="single" w:sz="4" w:space="0" w:color="E5E5E5"/>
            </w:tcBorders>
            <w:shd w:fill="F4F6F9" w:val="clear"/>
            <w:vAlign w:val="center"/>
          </w:tcPr>
          <w:p>
            <w:pPr>
              <w:pStyle w:val="Normal"/>
              <w:spacing w:before="60" w:after="60"/>
              <w:rPr/>
            </w:pPr>
            <w:r>
              <w:rPr>
                <w:sz w:val="19"/>
              </w:rPr>
              <w:t>100.0%</w:t>
            </w:r>
          </w:p>
        </w:tc>
        <w:tc>
          <w:tcPr>
            <w:tcW w:w="1560" w:type="dxa"/>
            <w:tcBorders>
              <w:top w:val="single" w:sz="4" w:space="0" w:color="E5E5E5"/>
              <w:bottom w:val="single" w:sz="4" w:space="0" w:color="E5E5E5"/>
            </w:tcBorders>
            <w:shd w:fill="F4F6F9" w:val="clear"/>
            <w:vAlign w:val="center"/>
          </w:tcPr>
          <w:p>
            <w:pPr>
              <w:pStyle w:val="Normal"/>
              <w:spacing w:before="60" w:after="60"/>
              <w:rPr/>
            </w:pPr>
            <w:r>
              <w:rPr>
                <w:sz w:val="19"/>
              </w:rPr>
              <w:t>0.0%</w:t>
            </w:r>
          </w:p>
        </w:tc>
        <w:tc>
          <w:tcPr>
            <w:tcW w:w="1559" w:type="dxa"/>
            <w:tcBorders>
              <w:top w:val="single" w:sz="4" w:space="0" w:color="E5E5E5"/>
              <w:bottom w:val="single" w:sz="4" w:space="0" w:color="E5E5E5"/>
            </w:tcBorders>
            <w:shd w:fill="F4F6F9" w:val="clear"/>
            <w:vAlign w:val="center"/>
          </w:tcPr>
          <w:p>
            <w:pPr>
              <w:pStyle w:val="Normal"/>
              <w:spacing w:before="60" w:after="60"/>
              <w:rPr/>
            </w:pPr>
            <w:r>
              <w:rPr>
                <w:sz w:val="19"/>
              </w:rPr>
              <w:t>0.001 s</w:t>
            </w:r>
          </w:p>
        </w:tc>
        <w:tc>
          <w:tcPr>
            <w:tcW w:w="1561" w:type="dxa"/>
            <w:tcBorders>
              <w:top w:val="single" w:sz="4" w:space="0" w:color="E5E5E5"/>
              <w:bottom w:val="single" w:sz="4" w:space="0" w:color="E5E5E5"/>
            </w:tcBorders>
            <w:shd w:fill="F4F6F9" w:val="clear"/>
            <w:vAlign w:val="center"/>
          </w:tcPr>
          <w:p>
            <w:pPr>
              <w:pStyle w:val="Normal"/>
              <w:spacing w:before="60" w:after="60"/>
              <w:rPr/>
            </w:pPr>
            <w:r>
              <w:rPr>
                <w:sz w:val="19"/>
              </w:rPr>
              <w:t>$0.000000</w:t>
            </w:r>
          </w:p>
        </w:tc>
      </w:tr>
      <w:tr>
        <w:trPr/>
        <w:tc>
          <w:tcPr>
            <w:tcW w:w="1560" w:type="dxa"/>
            <w:tcBorders>
              <w:top w:val="single" w:sz="4" w:space="0" w:color="E5E5E5"/>
              <w:bottom w:val="single" w:sz="4" w:space="0" w:color="E5E5E5"/>
            </w:tcBorders>
            <w:shd w:fill="FFFFFF" w:val="clear"/>
            <w:vAlign w:val="center"/>
          </w:tcPr>
          <w:p>
            <w:pPr>
              <w:pStyle w:val="Normal"/>
              <w:spacing w:before="60" w:after="60"/>
              <w:rPr/>
            </w:pPr>
            <w:r>
              <w:rPr>
                <w:sz w:val="19"/>
              </w:rPr>
              <w:t>L1</w:t>
            </w:r>
          </w:p>
        </w:tc>
        <w:tc>
          <w:tcPr>
            <w:tcW w:w="1559" w:type="dxa"/>
            <w:tcBorders>
              <w:top w:val="single" w:sz="4" w:space="0" w:color="E5E5E5"/>
              <w:bottom w:val="single" w:sz="4" w:space="0" w:color="E5E5E5"/>
            </w:tcBorders>
            <w:shd w:fill="FFFFFF" w:val="clear"/>
            <w:vAlign w:val="center"/>
          </w:tcPr>
          <w:p>
            <w:pPr>
              <w:pStyle w:val="Normal"/>
              <w:spacing w:before="60" w:after="60"/>
              <w:rPr/>
            </w:pPr>
            <w:r>
              <w:rPr>
                <w:sz w:val="19"/>
              </w:rPr>
              <w:t>B2 Single-LLM</w:t>
            </w:r>
          </w:p>
        </w:tc>
        <w:tc>
          <w:tcPr>
            <w:tcW w:w="1561" w:type="dxa"/>
            <w:tcBorders>
              <w:top w:val="single" w:sz="4" w:space="0" w:color="E5E5E5"/>
              <w:bottom w:val="single" w:sz="4" w:space="0" w:color="E5E5E5"/>
            </w:tcBorders>
            <w:shd w:fill="FFFFFF" w:val="clear"/>
            <w:vAlign w:val="center"/>
          </w:tcPr>
          <w:p>
            <w:pPr>
              <w:pStyle w:val="Normal"/>
              <w:spacing w:before="60" w:after="60"/>
              <w:rPr/>
            </w:pPr>
            <w:r>
              <w:rPr>
                <w:sz w:val="19"/>
              </w:rPr>
              <w:t>100.0%</w:t>
            </w:r>
          </w:p>
        </w:tc>
        <w:tc>
          <w:tcPr>
            <w:tcW w:w="1560" w:type="dxa"/>
            <w:tcBorders>
              <w:top w:val="single" w:sz="4" w:space="0" w:color="E5E5E5"/>
              <w:bottom w:val="single" w:sz="4" w:space="0" w:color="E5E5E5"/>
            </w:tcBorders>
            <w:shd w:fill="FFFFFF" w:val="clear"/>
            <w:vAlign w:val="center"/>
          </w:tcPr>
          <w:p>
            <w:pPr>
              <w:pStyle w:val="Normal"/>
              <w:spacing w:before="60" w:after="60"/>
              <w:rPr/>
            </w:pPr>
            <w:r>
              <w:rPr>
                <w:sz w:val="19"/>
              </w:rPr>
              <w:t>50.0%</w:t>
            </w:r>
          </w:p>
        </w:tc>
        <w:tc>
          <w:tcPr>
            <w:tcW w:w="1559" w:type="dxa"/>
            <w:tcBorders>
              <w:top w:val="single" w:sz="4" w:space="0" w:color="E5E5E5"/>
              <w:bottom w:val="single" w:sz="4" w:space="0" w:color="E5E5E5"/>
            </w:tcBorders>
            <w:shd w:fill="FFFFFF" w:val="clear"/>
            <w:vAlign w:val="center"/>
          </w:tcPr>
          <w:p>
            <w:pPr>
              <w:pStyle w:val="Normal"/>
              <w:spacing w:before="60" w:after="60"/>
              <w:rPr/>
            </w:pPr>
            <w:r>
              <w:rPr>
                <w:sz w:val="19"/>
              </w:rPr>
              <w:t>2.56 s</w:t>
            </w:r>
          </w:p>
        </w:tc>
        <w:tc>
          <w:tcPr>
            <w:tcW w:w="1561" w:type="dxa"/>
            <w:tcBorders>
              <w:top w:val="single" w:sz="4" w:space="0" w:color="E5E5E5"/>
              <w:bottom w:val="single" w:sz="4" w:space="0" w:color="E5E5E5"/>
            </w:tcBorders>
            <w:shd w:fill="FFFFFF" w:val="clear"/>
            <w:vAlign w:val="center"/>
          </w:tcPr>
          <w:p>
            <w:pPr>
              <w:pStyle w:val="Normal"/>
              <w:spacing w:before="60" w:after="60"/>
              <w:rPr/>
            </w:pPr>
            <w:r>
              <w:rPr>
                <w:sz w:val="19"/>
              </w:rPr>
              <w:t>$0.000155</w:t>
            </w:r>
          </w:p>
        </w:tc>
      </w:tr>
      <w:tr>
        <w:trPr/>
        <w:tc>
          <w:tcPr>
            <w:tcW w:w="1560" w:type="dxa"/>
            <w:tcBorders>
              <w:top w:val="single" w:sz="4" w:space="0" w:color="E5E5E5"/>
              <w:bottom w:val="single" w:sz="4" w:space="0" w:color="E5E5E5"/>
            </w:tcBorders>
            <w:shd w:fill="F4F6F9" w:val="clear"/>
            <w:vAlign w:val="center"/>
          </w:tcPr>
          <w:p>
            <w:pPr>
              <w:pStyle w:val="Normal"/>
              <w:spacing w:before="60" w:after="60"/>
              <w:rPr/>
            </w:pPr>
            <w:r>
              <w:rPr>
                <w:sz w:val="19"/>
              </w:rPr>
              <w:t>L1</w:t>
            </w:r>
          </w:p>
        </w:tc>
        <w:tc>
          <w:tcPr>
            <w:tcW w:w="1559" w:type="dxa"/>
            <w:tcBorders>
              <w:top w:val="single" w:sz="4" w:space="0" w:color="E5E5E5"/>
              <w:bottom w:val="single" w:sz="4" w:space="0" w:color="E5E5E5"/>
            </w:tcBorders>
            <w:shd w:fill="F4F6F9" w:val="clear"/>
            <w:vAlign w:val="center"/>
          </w:tcPr>
          <w:p>
            <w:pPr>
              <w:pStyle w:val="Normal"/>
              <w:spacing w:before="60" w:after="60"/>
              <w:rPr/>
            </w:pPr>
            <w:r>
              <w:rPr>
                <w:sz w:val="19"/>
              </w:rPr>
              <w:t>B3 Multi-Agent (Tool-Aug)</w:t>
            </w:r>
          </w:p>
        </w:tc>
        <w:tc>
          <w:tcPr>
            <w:tcW w:w="1561" w:type="dxa"/>
            <w:tcBorders>
              <w:top w:val="single" w:sz="4" w:space="0" w:color="E5E5E5"/>
              <w:bottom w:val="single" w:sz="4" w:space="0" w:color="E5E5E5"/>
            </w:tcBorders>
            <w:shd w:fill="F4F6F9" w:val="clear"/>
            <w:vAlign w:val="center"/>
          </w:tcPr>
          <w:p>
            <w:pPr>
              <w:pStyle w:val="Normal"/>
              <w:spacing w:before="60" w:after="60"/>
              <w:rPr/>
            </w:pPr>
            <w:r>
              <w:rPr>
                <w:sz w:val="19"/>
              </w:rPr>
              <w:t>100.0%</w:t>
            </w:r>
          </w:p>
        </w:tc>
        <w:tc>
          <w:tcPr>
            <w:tcW w:w="1560" w:type="dxa"/>
            <w:tcBorders>
              <w:top w:val="single" w:sz="4" w:space="0" w:color="E5E5E5"/>
              <w:bottom w:val="single" w:sz="4" w:space="0" w:color="E5E5E5"/>
            </w:tcBorders>
            <w:shd w:fill="F4F6F9" w:val="clear"/>
            <w:vAlign w:val="center"/>
          </w:tcPr>
          <w:p>
            <w:pPr>
              <w:pStyle w:val="Normal"/>
              <w:spacing w:before="60" w:after="60"/>
              <w:rPr/>
            </w:pPr>
            <w:r>
              <w:rPr>
                <w:sz w:val="19"/>
              </w:rPr>
              <w:t>0.0%</w:t>
            </w:r>
          </w:p>
        </w:tc>
        <w:tc>
          <w:tcPr>
            <w:tcW w:w="1559" w:type="dxa"/>
            <w:tcBorders>
              <w:top w:val="single" w:sz="4" w:space="0" w:color="E5E5E5"/>
              <w:bottom w:val="single" w:sz="4" w:space="0" w:color="E5E5E5"/>
            </w:tcBorders>
            <w:shd w:fill="F4F6F9" w:val="clear"/>
            <w:vAlign w:val="center"/>
          </w:tcPr>
          <w:p>
            <w:pPr>
              <w:pStyle w:val="Normal"/>
              <w:spacing w:before="60" w:after="60"/>
              <w:rPr/>
            </w:pPr>
            <w:r>
              <w:rPr>
                <w:sz w:val="19"/>
              </w:rPr>
              <w:t>6.07 s</w:t>
            </w:r>
          </w:p>
        </w:tc>
        <w:tc>
          <w:tcPr>
            <w:tcW w:w="1561" w:type="dxa"/>
            <w:tcBorders>
              <w:top w:val="single" w:sz="4" w:space="0" w:color="E5E5E5"/>
              <w:bottom w:val="single" w:sz="4" w:space="0" w:color="E5E5E5"/>
            </w:tcBorders>
            <w:shd w:fill="F4F6F9" w:val="clear"/>
            <w:vAlign w:val="center"/>
          </w:tcPr>
          <w:p>
            <w:pPr>
              <w:pStyle w:val="Normal"/>
              <w:spacing w:before="60" w:after="60"/>
              <w:rPr/>
            </w:pPr>
            <w:r>
              <w:rPr>
                <w:sz w:val="19"/>
              </w:rPr>
              <w:t>$0.000321</w:t>
            </w:r>
          </w:p>
        </w:tc>
      </w:tr>
      <w:tr>
        <w:trPr/>
        <w:tc>
          <w:tcPr>
            <w:tcW w:w="1560" w:type="dxa"/>
            <w:tcBorders>
              <w:top w:val="single" w:sz="4" w:space="0" w:color="E5E5E5"/>
              <w:bottom w:val="single" w:sz="4" w:space="0" w:color="E5E5E5"/>
            </w:tcBorders>
            <w:shd w:fill="FFFFFF" w:val="clear"/>
            <w:vAlign w:val="center"/>
          </w:tcPr>
          <w:p>
            <w:pPr>
              <w:pStyle w:val="Normal"/>
              <w:spacing w:before="60" w:after="60"/>
              <w:rPr/>
            </w:pPr>
            <w:r>
              <w:rPr>
                <w:sz w:val="19"/>
              </w:rPr>
              <w:t>L2</w:t>
            </w:r>
          </w:p>
        </w:tc>
        <w:tc>
          <w:tcPr>
            <w:tcW w:w="1559" w:type="dxa"/>
            <w:tcBorders>
              <w:top w:val="single" w:sz="4" w:space="0" w:color="E5E5E5"/>
              <w:bottom w:val="single" w:sz="4" w:space="0" w:color="E5E5E5"/>
            </w:tcBorders>
            <w:shd w:fill="FFFFFF" w:val="clear"/>
            <w:vAlign w:val="center"/>
          </w:tcPr>
          <w:p>
            <w:pPr>
              <w:pStyle w:val="Normal"/>
              <w:spacing w:before="60" w:after="60"/>
              <w:rPr/>
            </w:pPr>
            <w:r>
              <w:rPr>
                <w:sz w:val="19"/>
              </w:rPr>
              <w:t>B1 Rule-Based SOP (Blind)</w:t>
            </w:r>
          </w:p>
        </w:tc>
        <w:tc>
          <w:tcPr>
            <w:tcW w:w="1561" w:type="dxa"/>
            <w:tcBorders>
              <w:top w:val="single" w:sz="4" w:space="0" w:color="E5E5E5"/>
              <w:bottom w:val="single" w:sz="4" w:space="0" w:color="E5E5E5"/>
            </w:tcBorders>
            <w:shd w:fill="FFFFFF" w:val="clear"/>
            <w:vAlign w:val="center"/>
          </w:tcPr>
          <w:p>
            <w:pPr>
              <w:pStyle w:val="Normal"/>
              <w:spacing w:before="60" w:after="60"/>
              <w:rPr/>
            </w:pPr>
            <w:r>
              <w:rPr>
                <w:sz w:val="19"/>
              </w:rPr>
              <w:t>100.0%</w:t>
            </w:r>
          </w:p>
        </w:tc>
        <w:tc>
          <w:tcPr>
            <w:tcW w:w="1560" w:type="dxa"/>
            <w:tcBorders>
              <w:top w:val="single" w:sz="4" w:space="0" w:color="E5E5E5"/>
              <w:bottom w:val="single" w:sz="4" w:space="0" w:color="E5E5E5"/>
            </w:tcBorders>
            <w:shd w:fill="FFFFFF" w:val="clear"/>
            <w:vAlign w:val="center"/>
          </w:tcPr>
          <w:p>
            <w:pPr>
              <w:pStyle w:val="Normal"/>
              <w:spacing w:before="60" w:after="60"/>
              <w:rPr/>
            </w:pPr>
            <w:r>
              <w:rPr>
                <w:sz w:val="19"/>
              </w:rPr>
              <w:t>12.5%</w:t>
            </w:r>
          </w:p>
        </w:tc>
        <w:tc>
          <w:tcPr>
            <w:tcW w:w="1559" w:type="dxa"/>
            <w:tcBorders>
              <w:top w:val="single" w:sz="4" w:space="0" w:color="E5E5E5"/>
              <w:bottom w:val="single" w:sz="4" w:space="0" w:color="E5E5E5"/>
            </w:tcBorders>
            <w:shd w:fill="FFFFFF" w:val="clear"/>
            <w:vAlign w:val="center"/>
          </w:tcPr>
          <w:p>
            <w:pPr>
              <w:pStyle w:val="Normal"/>
              <w:spacing w:before="60" w:after="60"/>
              <w:rPr/>
            </w:pPr>
            <w:r>
              <w:rPr>
                <w:sz w:val="19"/>
              </w:rPr>
              <w:t>0.001 s</w:t>
            </w:r>
          </w:p>
        </w:tc>
        <w:tc>
          <w:tcPr>
            <w:tcW w:w="1561" w:type="dxa"/>
            <w:tcBorders>
              <w:top w:val="single" w:sz="4" w:space="0" w:color="E5E5E5"/>
              <w:bottom w:val="single" w:sz="4" w:space="0" w:color="E5E5E5"/>
            </w:tcBorders>
            <w:shd w:fill="FFFFFF" w:val="clear"/>
            <w:vAlign w:val="center"/>
          </w:tcPr>
          <w:p>
            <w:pPr>
              <w:pStyle w:val="Normal"/>
              <w:spacing w:before="60" w:after="60"/>
              <w:rPr/>
            </w:pPr>
            <w:r>
              <w:rPr>
                <w:sz w:val="19"/>
              </w:rPr>
              <w:t>$0.000000</w:t>
            </w:r>
          </w:p>
        </w:tc>
      </w:tr>
      <w:tr>
        <w:trPr/>
        <w:tc>
          <w:tcPr>
            <w:tcW w:w="1560" w:type="dxa"/>
            <w:tcBorders>
              <w:top w:val="single" w:sz="4" w:space="0" w:color="E5E5E5"/>
              <w:bottom w:val="single" w:sz="4" w:space="0" w:color="E5E5E5"/>
            </w:tcBorders>
            <w:shd w:fill="F4F6F9" w:val="clear"/>
            <w:vAlign w:val="center"/>
          </w:tcPr>
          <w:p>
            <w:pPr>
              <w:pStyle w:val="Normal"/>
              <w:spacing w:before="60" w:after="60"/>
              <w:rPr/>
            </w:pPr>
            <w:r>
              <w:rPr>
                <w:sz w:val="19"/>
              </w:rPr>
              <w:t>L2</w:t>
            </w:r>
          </w:p>
        </w:tc>
        <w:tc>
          <w:tcPr>
            <w:tcW w:w="1559" w:type="dxa"/>
            <w:tcBorders>
              <w:top w:val="single" w:sz="4" w:space="0" w:color="E5E5E5"/>
              <w:bottom w:val="single" w:sz="4" w:space="0" w:color="E5E5E5"/>
            </w:tcBorders>
            <w:shd w:fill="F4F6F9" w:val="clear"/>
            <w:vAlign w:val="center"/>
          </w:tcPr>
          <w:p>
            <w:pPr>
              <w:pStyle w:val="Normal"/>
              <w:spacing w:before="60" w:after="60"/>
              <w:rPr/>
            </w:pPr>
            <w:r>
              <w:rPr>
                <w:sz w:val="19"/>
              </w:rPr>
              <w:t>B2 Single-LLM</w:t>
            </w:r>
          </w:p>
        </w:tc>
        <w:tc>
          <w:tcPr>
            <w:tcW w:w="1561" w:type="dxa"/>
            <w:tcBorders>
              <w:top w:val="single" w:sz="4" w:space="0" w:color="E5E5E5"/>
              <w:bottom w:val="single" w:sz="4" w:space="0" w:color="E5E5E5"/>
            </w:tcBorders>
            <w:shd w:fill="F4F6F9" w:val="clear"/>
            <w:vAlign w:val="center"/>
          </w:tcPr>
          <w:p>
            <w:pPr>
              <w:pStyle w:val="Normal"/>
              <w:spacing w:before="60" w:after="60"/>
              <w:rPr/>
            </w:pPr>
            <w:r>
              <w:rPr>
                <w:sz w:val="19"/>
              </w:rPr>
              <w:t>100.0%</w:t>
            </w:r>
          </w:p>
        </w:tc>
        <w:tc>
          <w:tcPr>
            <w:tcW w:w="1560" w:type="dxa"/>
            <w:tcBorders>
              <w:top w:val="single" w:sz="4" w:space="0" w:color="E5E5E5"/>
              <w:bottom w:val="single" w:sz="4" w:space="0" w:color="E5E5E5"/>
            </w:tcBorders>
            <w:shd w:fill="F4F6F9" w:val="clear"/>
            <w:vAlign w:val="center"/>
          </w:tcPr>
          <w:p>
            <w:pPr>
              <w:pStyle w:val="Normal"/>
              <w:spacing w:before="60" w:after="60"/>
              <w:rPr/>
            </w:pPr>
            <w:r>
              <w:rPr>
                <w:sz w:val="19"/>
              </w:rPr>
              <w:t>62.5%</w:t>
            </w:r>
          </w:p>
        </w:tc>
        <w:tc>
          <w:tcPr>
            <w:tcW w:w="1559" w:type="dxa"/>
            <w:tcBorders>
              <w:top w:val="single" w:sz="4" w:space="0" w:color="E5E5E5"/>
              <w:bottom w:val="single" w:sz="4" w:space="0" w:color="E5E5E5"/>
            </w:tcBorders>
            <w:shd w:fill="F4F6F9" w:val="clear"/>
            <w:vAlign w:val="center"/>
          </w:tcPr>
          <w:p>
            <w:pPr>
              <w:pStyle w:val="Normal"/>
              <w:spacing w:before="60" w:after="60"/>
              <w:rPr/>
            </w:pPr>
            <w:r>
              <w:rPr>
                <w:sz w:val="19"/>
              </w:rPr>
              <w:t>1.55 s</w:t>
            </w:r>
          </w:p>
        </w:tc>
        <w:tc>
          <w:tcPr>
            <w:tcW w:w="1561" w:type="dxa"/>
            <w:tcBorders>
              <w:top w:val="single" w:sz="4" w:space="0" w:color="E5E5E5"/>
              <w:bottom w:val="single" w:sz="4" w:space="0" w:color="E5E5E5"/>
            </w:tcBorders>
            <w:shd w:fill="F4F6F9" w:val="clear"/>
            <w:vAlign w:val="center"/>
          </w:tcPr>
          <w:p>
            <w:pPr>
              <w:pStyle w:val="Normal"/>
              <w:spacing w:before="60" w:after="60"/>
              <w:rPr/>
            </w:pPr>
            <w:r>
              <w:rPr>
                <w:sz w:val="19"/>
              </w:rPr>
              <w:t>$0.000173</w:t>
            </w:r>
          </w:p>
        </w:tc>
      </w:tr>
      <w:tr>
        <w:trPr/>
        <w:tc>
          <w:tcPr>
            <w:tcW w:w="1560" w:type="dxa"/>
            <w:tcBorders>
              <w:top w:val="single" w:sz="4" w:space="0" w:color="E5E5E5"/>
              <w:bottom w:val="single" w:sz="4" w:space="0" w:color="E5E5E5"/>
            </w:tcBorders>
            <w:shd w:fill="FFFFFF" w:val="clear"/>
            <w:vAlign w:val="center"/>
          </w:tcPr>
          <w:p>
            <w:pPr>
              <w:pStyle w:val="Normal"/>
              <w:spacing w:before="60" w:after="60"/>
              <w:rPr/>
            </w:pPr>
            <w:r>
              <w:rPr>
                <w:sz w:val="19"/>
              </w:rPr>
              <w:t>L2</w:t>
            </w:r>
          </w:p>
        </w:tc>
        <w:tc>
          <w:tcPr>
            <w:tcW w:w="1559" w:type="dxa"/>
            <w:tcBorders>
              <w:top w:val="single" w:sz="4" w:space="0" w:color="E5E5E5"/>
              <w:bottom w:val="single" w:sz="4" w:space="0" w:color="E5E5E5"/>
            </w:tcBorders>
            <w:shd w:fill="FFFFFF" w:val="clear"/>
            <w:vAlign w:val="center"/>
          </w:tcPr>
          <w:p>
            <w:pPr>
              <w:pStyle w:val="Normal"/>
              <w:spacing w:before="60" w:after="60"/>
              <w:rPr/>
            </w:pPr>
            <w:r>
              <w:rPr>
                <w:sz w:val="19"/>
              </w:rPr>
              <w:t>B3 Multi-Agent (Tool-Aug)</w:t>
            </w:r>
          </w:p>
        </w:tc>
        <w:tc>
          <w:tcPr>
            <w:tcW w:w="1561" w:type="dxa"/>
            <w:tcBorders>
              <w:top w:val="single" w:sz="4" w:space="0" w:color="E5E5E5"/>
              <w:bottom w:val="single" w:sz="4" w:space="0" w:color="E5E5E5"/>
            </w:tcBorders>
            <w:shd w:fill="FFFFFF" w:val="clear"/>
            <w:vAlign w:val="center"/>
          </w:tcPr>
          <w:p>
            <w:pPr>
              <w:pStyle w:val="Normal"/>
              <w:spacing w:before="60" w:after="60"/>
              <w:rPr/>
            </w:pPr>
            <w:r>
              <w:rPr>
                <w:sz w:val="19"/>
              </w:rPr>
              <w:t>81.2%</w:t>
            </w:r>
          </w:p>
        </w:tc>
        <w:tc>
          <w:tcPr>
            <w:tcW w:w="1560" w:type="dxa"/>
            <w:tcBorders>
              <w:top w:val="single" w:sz="4" w:space="0" w:color="E5E5E5"/>
              <w:bottom w:val="single" w:sz="4" w:space="0" w:color="E5E5E5"/>
            </w:tcBorders>
            <w:shd w:fill="FFFFFF" w:val="clear"/>
            <w:vAlign w:val="center"/>
          </w:tcPr>
          <w:p>
            <w:pPr>
              <w:pStyle w:val="Normal"/>
              <w:spacing w:before="60" w:after="60"/>
              <w:rPr/>
            </w:pPr>
            <w:r>
              <w:rPr>
                <w:sz w:val="19"/>
              </w:rPr>
              <w:t>33.3%</w:t>
            </w:r>
          </w:p>
        </w:tc>
        <w:tc>
          <w:tcPr>
            <w:tcW w:w="1559" w:type="dxa"/>
            <w:tcBorders>
              <w:top w:val="single" w:sz="4" w:space="0" w:color="E5E5E5"/>
              <w:bottom w:val="single" w:sz="4" w:space="0" w:color="E5E5E5"/>
            </w:tcBorders>
            <w:shd w:fill="FFFFFF" w:val="clear"/>
            <w:vAlign w:val="center"/>
          </w:tcPr>
          <w:p>
            <w:pPr>
              <w:pStyle w:val="Normal"/>
              <w:spacing w:before="60" w:after="60"/>
              <w:rPr/>
            </w:pPr>
            <w:r>
              <w:rPr>
                <w:sz w:val="19"/>
              </w:rPr>
              <w:t>3.93 s</w:t>
            </w:r>
          </w:p>
        </w:tc>
        <w:tc>
          <w:tcPr>
            <w:tcW w:w="1561" w:type="dxa"/>
            <w:tcBorders>
              <w:top w:val="single" w:sz="4" w:space="0" w:color="E5E5E5"/>
              <w:bottom w:val="single" w:sz="4" w:space="0" w:color="E5E5E5"/>
            </w:tcBorders>
            <w:shd w:fill="FFFFFF" w:val="clear"/>
            <w:vAlign w:val="center"/>
          </w:tcPr>
          <w:p>
            <w:pPr>
              <w:pStyle w:val="Normal"/>
              <w:spacing w:before="60" w:after="60"/>
              <w:rPr/>
            </w:pPr>
            <w:r>
              <w:rPr>
                <w:sz w:val="19"/>
              </w:rPr>
              <w:t>$0.000410</w:t>
            </w:r>
          </w:p>
        </w:tc>
      </w:tr>
      <w:tr>
        <w:trPr/>
        <w:tc>
          <w:tcPr>
            <w:tcW w:w="1560" w:type="dxa"/>
            <w:tcBorders>
              <w:top w:val="single" w:sz="4" w:space="0" w:color="E5E5E5"/>
              <w:bottom w:val="single" w:sz="4" w:space="0" w:color="E5E5E5"/>
            </w:tcBorders>
            <w:shd w:fill="F4F6F9" w:val="clear"/>
            <w:vAlign w:val="center"/>
          </w:tcPr>
          <w:p>
            <w:pPr>
              <w:pStyle w:val="Normal"/>
              <w:spacing w:before="60" w:after="60"/>
              <w:rPr/>
            </w:pPr>
            <w:r>
              <w:rPr>
                <w:sz w:val="19"/>
              </w:rPr>
              <w:t>L3</w:t>
            </w:r>
          </w:p>
        </w:tc>
        <w:tc>
          <w:tcPr>
            <w:tcW w:w="1559" w:type="dxa"/>
            <w:tcBorders>
              <w:top w:val="single" w:sz="4" w:space="0" w:color="E5E5E5"/>
              <w:bottom w:val="single" w:sz="4" w:space="0" w:color="E5E5E5"/>
            </w:tcBorders>
            <w:shd w:fill="F4F6F9" w:val="clear"/>
            <w:vAlign w:val="center"/>
          </w:tcPr>
          <w:p>
            <w:pPr>
              <w:pStyle w:val="Normal"/>
              <w:spacing w:before="60" w:after="60"/>
              <w:rPr/>
            </w:pPr>
            <w:r>
              <w:rPr>
                <w:sz w:val="19"/>
              </w:rPr>
              <w:t>B1 Rule-Based SOP (Blind)</w:t>
            </w:r>
          </w:p>
        </w:tc>
        <w:tc>
          <w:tcPr>
            <w:tcW w:w="1561" w:type="dxa"/>
            <w:tcBorders>
              <w:top w:val="single" w:sz="4" w:space="0" w:color="E5E5E5"/>
              <w:bottom w:val="single" w:sz="4" w:space="0" w:color="E5E5E5"/>
            </w:tcBorders>
            <w:shd w:fill="F4F6F9" w:val="clear"/>
            <w:vAlign w:val="center"/>
          </w:tcPr>
          <w:p>
            <w:pPr>
              <w:pStyle w:val="Normal"/>
              <w:spacing w:before="60" w:after="60"/>
              <w:rPr/>
            </w:pPr>
            <w:r>
              <w:rPr>
                <w:sz w:val="19"/>
              </w:rPr>
              <w:t>83.3%</w:t>
            </w:r>
          </w:p>
        </w:tc>
        <w:tc>
          <w:tcPr>
            <w:tcW w:w="1560" w:type="dxa"/>
            <w:tcBorders>
              <w:top w:val="single" w:sz="4" w:space="0" w:color="E5E5E5"/>
              <w:bottom w:val="single" w:sz="4" w:space="0" w:color="E5E5E5"/>
            </w:tcBorders>
            <w:shd w:fill="F4F6F9" w:val="clear"/>
            <w:vAlign w:val="center"/>
          </w:tcPr>
          <w:p>
            <w:pPr>
              <w:pStyle w:val="Normal"/>
              <w:spacing w:before="60" w:after="60"/>
              <w:rPr/>
            </w:pPr>
            <w:r>
              <w:rPr>
                <w:sz w:val="19"/>
              </w:rPr>
              <w:t>29.2%</w:t>
            </w:r>
          </w:p>
        </w:tc>
        <w:tc>
          <w:tcPr>
            <w:tcW w:w="1559" w:type="dxa"/>
            <w:tcBorders>
              <w:top w:val="single" w:sz="4" w:space="0" w:color="E5E5E5"/>
              <w:bottom w:val="single" w:sz="4" w:space="0" w:color="E5E5E5"/>
            </w:tcBorders>
            <w:shd w:fill="F4F6F9" w:val="clear"/>
            <w:vAlign w:val="center"/>
          </w:tcPr>
          <w:p>
            <w:pPr>
              <w:pStyle w:val="Normal"/>
              <w:spacing w:before="60" w:after="60"/>
              <w:rPr/>
            </w:pPr>
            <w:r>
              <w:rPr>
                <w:sz w:val="19"/>
              </w:rPr>
              <w:t>0.001 s</w:t>
            </w:r>
          </w:p>
        </w:tc>
        <w:tc>
          <w:tcPr>
            <w:tcW w:w="1561" w:type="dxa"/>
            <w:tcBorders>
              <w:top w:val="single" w:sz="4" w:space="0" w:color="E5E5E5"/>
              <w:bottom w:val="single" w:sz="4" w:space="0" w:color="E5E5E5"/>
            </w:tcBorders>
            <w:shd w:fill="F4F6F9" w:val="clear"/>
            <w:vAlign w:val="center"/>
          </w:tcPr>
          <w:p>
            <w:pPr>
              <w:pStyle w:val="Normal"/>
              <w:spacing w:before="60" w:after="60"/>
              <w:rPr/>
            </w:pPr>
            <w:r>
              <w:rPr>
                <w:sz w:val="19"/>
              </w:rPr>
              <w:t>$0.000000</w:t>
            </w:r>
          </w:p>
        </w:tc>
      </w:tr>
      <w:tr>
        <w:trPr/>
        <w:tc>
          <w:tcPr>
            <w:tcW w:w="1560" w:type="dxa"/>
            <w:tcBorders>
              <w:top w:val="single" w:sz="4" w:space="0" w:color="E5E5E5"/>
              <w:bottom w:val="single" w:sz="4" w:space="0" w:color="E5E5E5"/>
            </w:tcBorders>
            <w:shd w:fill="FFFFFF" w:val="clear"/>
            <w:vAlign w:val="center"/>
          </w:tcPr>
          <w:p>
            <w:pPr>
              <w:pStyle w:val="Normal"/>
              <w:spacing w:before="60" w:after="60"/>
              <w:rPr/>
            </w:pPr>
            <w:r>
              <w:rPr>
                <w:sz w:val="19"/>
              </w:rPr>
              <w:t>L3</w:t>
            </w:r>
          </w:p>
        </w:tc>
        <w:tc>
          <w:tcPr>
            <w:tcW w:w="1559" w:type="dxa"/>
            <w:tcBorders>
              <w:top w:val="single" w:sz="4" w:space="0" w:color="E5E5E5"/>
              <w:bottom w:val="single" w:sz="4" w:space="0" w:color="E5E5E5"/>
            </w:tcBorders>
            <w:shd w:fill="FFFFFF" w:val="clear"/>
            <w:vAlign w:val="center"/>
          </w:tcPr>
          <w:p>
            <w:pPr>
              <w:pStyle w:val="Normal"/>
              <w:spacing w:before="60" w:after="60"/>
              <w:rPr/>
            </w:pPr>
            <w:r>
              <w:rPr>
                <w:sz w:val="19"/>
              </w:rPr>
              <w:t>B2 Single-LLM</w:t>
            </w:r>
          </w:p>
        </w:tc>
        <w:tc>
          <w:tcPr>
            <w:tcW w:w="1561" w:type="dxa"/>
            <w:tcBorders>
              <w:top w:val="single" w:sz="4" w:space="0" w:color="E5E5E5"/>
              <w:bottom w:val="single" w:sz="4" w:space="0" w:color="E5E5E5"/>
            </w:tcBorders>
            <w:shd w:fill="FFFFFF" w:val="clear"/>
            <w:vAlign w:val="center"/>
          </w:tcPr>
          <w:p>
            <w:pPr>
              <w:pStyle w:val="Normal"/>
              <w:spacing w:before="60" w:after="60"/>
              <w:rPr/>
            </w:pPr>
            <w:r>
              <w:rPr>
                <w:sz w:val="19"/>
              </w:rPr>
              <w:t>94.4%</w:t>
            </w:r>
          </w:p>
        </w:tc>
        <w:tc>
          <w:tcPr>
            <w:tcW w:w="1560" w:type="dxa"/>
            <w:tcBorders>
              <w:top w:val="single" w:sz="4" w:space="0" w:color="E5E5E5"/>
              <w:bottom w:val="single" w:sz="4" w:space="0" w:color="E5E5E5"/>
            </w:tcBorders>
            <w:shd w:fill="FFFFFF" w:val="clear"/>
            <w:vAlign w:val="center"/>
          </w:tcPr>
          <w:p>
            <w:pPr>
              <w:pStyle w:val="Normal"/>
              <w:spacing w:before="60" w:after="60"/>
              <w:rPr/>
            </w:pPr>
            <w:r>
              <w:rPr>
                <w:sz w:val="19"/>
              </w:rPr>
              <w:t>35.0%</w:t>
            </w:r>
          </w:p>
        </w:tc>
        <w:tc>
          <w:tcPr>
            <w:tcW w:w="1559" w:type="dxa"/>
            <w:tcBorders>
              <w:top w:val="single" w:sz="4" w:space="0" w:color="E5E5E5"/>
              <w:bottom w:val="single" w:sz="4" w:space="0" w:color="E5E5E5"/>
            </w:tcBorders>
            <w:shd w:fill="FFFFFF" w:val="clear"/>
            <w:vAlign w:val="center"/>
          </w:tcPr>
          <w:p>
            <w:pPr>
              <w:pStyle w:val="Normal"/>
              <w:spacing w:before="60" w:after="60"/>
              <w:rPr/>
            </w:pPr>
            <w:r>
              <w:rPr>
                <w:sz w:val="19"/>
              </w:rPr>
              <w:t>4.48 s</w:t>
            </w:r>
          </w:p>
        </w:tc>
        <w:tc>
          <w:tcPr>
            <w:tcW w:w="1561" w:type="dxa"/>
            <w:tcBorders>
              <w:top w:val="single" w:sz="4" w:space="0" w:color="E5E5E5"/>
              <w:bottom w:val="single" w:sz="4" w:space="0" w:color="E5E5E5"/>
            </w:tcBorders>
            <w:shd w:fill="FFFFFF" w:val="clear"/>
            <w:vAlign w:val="center"/>
          </w:tcPr>
          <w:p>
            <w:pPr>
              <w:pStyle w:val="Normal"/>
              <w:spacing w:before="60" w:after="60"/>
              <w:rPr/>
            </w:pPr>
            <w:r>
              <w:rPr>
                <w:sz w:val="19"/>
              </w:rPr>
              <w:t>$0.000205</w:t>
            </w:r>
          </w:p>
        </w:tc>
      </w:tr>
      <w:tr>
        <w:trPr/>
        <w:tc>
          <w:tcPr>
            <w:tcW w:w="1560" w:type="dxa"/>
            <w:tcBorders>
              <w:top w:val="single" w:sz="4" w:space="0" w:color="E5E5E5"/>
              <w:bottom w:val="single" w:sz="4" w:space="0" w:color="E5E5E5"/>
            </w:tcBorders>
            <w:shd w:fill="F4F6F9" w:val="clear"/>
            <w:vAlign w:val="center"/>
          </w:tcPr>
          <w:p>
            <w:pPr>
              <w:pStyle w:val="Normal"/>
              <w:spacing w:before="60" w:after="60"/>
              <w:rPr/>
            </w:pPr>
            <w:r>
              <w:rPr>
                <w:sz w:val="19"/>
              </w:rPr>
              <w:t>L3</w:t>
            </w:r>
          </w:p>
        </w:tc>
        <w:tc>
          <w:tcPr>
            <w:tcW w:w="1559" w:type="dxa"/>
            <w:tcBorders>
              <w:top w:val="single" w:sz="4" w:space="0" w:color="E5E5E5"/>
              <w:bottom w:val="single" w:sz="4" w:space="0" w:color="E5E5E5"/>
            </w:tcBorders>
            <w:shd w:fill="F4F6F9" w:val="clear"/>
            <w:vAlign w:val="center"/>
          </w:tcPr>
          <w:p>
            <w:pPr>
              <w:pStyle w:val="Normal"/>
              <w:spacing w:before="60" w:after="60"/>
              <w:rPr/>
            </w:pPr>
            <w:r>
              <w:rPr>
                <w:sz w:val="19"/>
              </w:rPr>
              <w:t>B3 Multi-Agent (Tool-Aug)</w:t>
            </w:r>
          </w:p>
        </w:tc>
        <w:tc>
          <w:tcPr>
            <w:tcW w:w="1561" w:type="dxa"/>
            <w:tcBorders>
              <w:top w:val="single" w:sz="4" w:space="0" w:color="E5E5E5"/>
              <w:bottom w:val="single" w:sz="4" w:space="0" w:color="E5E5E5"/>
            </w:tcBorders>
            <w:shd w:fill="F4F6F9" w:val="clear"/>
            <w:vAlign w:val="center"/>
          </w:tcPr>
          <w:p>
            <w:pPr>
              <w:pStyle w:val="Normal"/>
              <w:spacing w:before="60" w:after="60"/>
              <w:rPr/>
            </w:pPr>
            <w:r>
              <w:rPr>
                <w:sz w:val="19"/>
              </w:rPr>
              <w:t>77.8%</w:t>
            </w:r>
          </w:p>
        </w:tc>
        <w:tc>
          <w:tcPr>
            <w:tcW w:w="1560" w:type="dxa"/>
            <w:tcBorders>
              <w:top w:val="single" w:sz="4" w:space="0" w:color="E5E5E5"/>
              <w:bottom w:val="single" w:sz="4" w:space="0" w:color="E5E5E5"/>
            </w:tcBorders>
            <w:shd w:fill="F4F6F9" w:val="clear"/>
            <w:vAlign w:val="center"/>
          </w:tcPr>
          <w:p>
            <w:pPr>
              <w:pStyle w:val="Normal"/>
              <w:spacing w:before="60" w:after="60"/>
              <w:rPr/>
            </w:pPr>
            <w:r>
              <w:rPr>
                <w:sz w:val="19"/>
              </w:rPr>
              <w:t>33.3%</w:t>
            </w:r>
          </w:p>
        </w:tc>
        <w:tc>
          <w:tcPr>
            <w:tcW w:w="1559" w:type="dxa"/>
            <w:tcBorders>
              <w:top w:val="single" w:sz="4" w:space="0" w:color="E5E5E5"/>
              <w:bottom w:val="single" w:sz="4" w:space="0" w:color="E5E5E5"/>
            </w:tcBorders>
            <w:shd w:fill="F4F6F9" w:val="clear"/>
            <w:vAlign w:val="center"/>
          </w:tcPr>
          <w:p>
            <w:pPr>
              <w:pStyle w:val="Normal"/>
              <w:spacing w:before="60" w:after="60"/>
              <w:rPr/>
            </w:pPr>
            <w:r>
              <w:rPr>
                <w:sz w:val="19"/>
              </w:rPr>
              <w:t>5.62 s</w:t>
            </w:r>
          </w:p>
        </w:tc>
        <w:tc>
          <w:tcPr>
            <w:tcW w:w="1561" w:type="dxa"/>
            <w:tcBorders>
              <w:top w:val="single" w:sz="4" w:space="0" w:color="E5E5E5"/>
              <w:bottom w:val="single" w:sz="4" w:space="0" w:color="E5E5E5"/>
            </w:tcBorders>
            <w:shd w:fill="F4F6F9" w:val="clear"/>
            <w:vAlign w:val="center"/>
          </w:tcPr>
          <w:p>
            <w:pPr>
              <w:pStyle w:val="Normal"/>
              <w:spacing w:before="60" w:after="60"/>
              <w:rPr/>
            </w:pPr>
            <w:r>
              <w:rPr>
                <w:sz w:val="19"/>
              </w:rPr>
              <w:t>$0.000447</w:t>
            </w:r>
          </w:p>
        </w:tc>
      </w:tr>
      <w:tr>
        <w:trPr/>
        <w:tc>
          <w:tcPr>
            <w:tcW w:w="1560" w:type="dxa"/>
            <w:tcBorders>
              <w:top w:val="single" w:sz="4" w:space="0" w:color="E5E5E5"/>
              <w:bottom w:val="single" w:sz="4" w:space="0" w:color="E5E5E5"/>
            </w:tcBorders>
            <w:shd w:fill="FFFFFF" w:val="clear"/>
            <w:vAlign w:val="center"/>
          </w:tcPr>
          <w:p>
            <w:pPr>
              <w:pStyle w:val="Normal"/>
              <w:spacing w:before="60" w:after="60"/>
              <w:rPr/>
            </w:pPr>
            <w:r>
              <w:rPr>
                <w:sz w:val="19"/>
              </w:rPr>
              <w:t>L4</w:t>
            </w:r>
          </w:p>
        </w:tc>
        <w:tc>
          <w:tcPr>
            <w:tcW w:w="1559" w:type="dxa"/>
            <w:tcBorders>
              <w:top w:val="single" w:sz="4" w:space="0" w:color="E5E5E5"/>
              <w:bottom w:val="single" w:sz="4" w:space="0" w:color="E5E5E5"/>
            </w:tcBorders>
            <w:shd w:fill="FFFFFF" w:val="clear"/>
            <w:vAlign w:val="center"/>
          </w:tcPr>
          <w:p>
            <w:pPr>
              <w:pStyle w:val="Normal"/>
              <w:spacing w:before="60" w:after="60"/>
              <w:rPr/>
            </w:pPr>
            <w:r>
              <w:rPr>
                <w:sz w:val="19"/>
              </w:rPr>
              <w:t>B1 Rule-Based SOP (Blind)</w:t>
            </w:r>
          </w:p>
        </w:tc>
        <w:tc>
          <w:tcPr>
            <w:tcW w:w="1561" w:type="dxa"/>
            <w:tcBorders>
              <w:top w:val="single" w:sz="4" w:space="0" w:color="E5E5E5"/>
              <w:bottom w:val="single" w:sz="4" w:space="0" w:color="E5E5E5"/>
            </w:tcBorders>
            <w:shd w:fill="FFFFFF" w:val="clear"/>
            <w:vAlign w:val="center"/>
          </w:tcPr>
          <w:p>
            <w:pPr>
              <w:pStyle w:val="Normal"/>
              <w:spacing w:before="60" w:after="60"/>
              <w:rPr/>
            </w:pPr>
            <w:r>
              <w:rPr>
                <w:sz w:val="19"/>
              </w:rPr>
              <w:t>41.7%</w:t>
            </w:r>
          </w:p>
        </w:tc>
        <w:tc>
          <w:tcPr>
            <w:tcW w:w="1560" w:type="dxa"/>
            <w:tcBorders>
              <w:top w:val="single" w:sz="4" w:space="0" w:color="E5E5E5"/>
              <w:bottom w:val="single" w:sz="4" w:space="0" w:color="E5E5E5"/>
            </w:tcBorders>
            <w:shd w:fill="FFFFFF" w:val="clear"/>
            <w:vAlign w:val="center"/>
          </w:tcPr>
          <w:p>
            <w:pPr>
              <w:pStyle w:val="Normal"/>
              <w:spacing w:before="60" w:after="60"/>
              <w:rPr/>
            </w:pPr>
            <w:r>
              <w:rPr>
                <w:sz w:val="19"/>
              </w:rPr>
              <w:t>33.3%</w:t>
            </w:r>
          </w:p>
        </w:tc>
        <w:tc>
          <w:tcPr>
            <w:tcW w:w="1559" w:type="dxa"/>
            <w:tcBorders>
              <w:top w:val="single" w:sz="4" w:space="0" w:color="E5E5E5"/>
              <w:bottom w:val="single" w:sz="4" w:space="0" w:color="E5E5E5"/>
            </w:tcBorders>
            <w:shd w:fill="FFFFFF" w:val="clear"/>
            <w:vAlign w:val="center"/>
          </w:tcPr>
          <w:p>
            <w:pPr>
              <w:pStyle w:val="Normal"/>
              <w:spacing w:before="60" w:after="60"/>
              <w:rPr/>
            </w:pPr>
            <w:r>
              <w:rPr>
                <w:sz w:val="19"/>
              </w:rPr>
              <w:t>0.001 s</w:t>
            </w:r>
          </w:p>
        </w:tc>
        <w:tc>
          <w:tcPr>
            <w:tcW w:w="1561" w:type="dxa"/>
            <w:tcBorders>
              <w:top w:val="single" w:sz="4" w:space="0" w:color="E5E5E5"/>
              <w:bottom w:val="single" w:sz="4" w:space="0" w:color="E5E5E5"/>
            </w:tcBorders>
            <w:shd w:fill="FFFFFF" w:val="clear"/>
            <w:vAlign w:val="center"/>
          </w:tcPr>
          <w:p>
            <w:pPr>
              <w:pStyle w:val="Normal"/>
              <w:spacing w:before="60" w:after="60"/>
              <w:rPr/>
            </w:pPr>
            <w:r>
              <w:rPr>
                <w:sz w:val="19"/>
              </w:rPr>
              <w:t>$0.000000</w:t>
            </w:r>
          </w:p>
        </w:tc>
      </w:tr>
      <w:tr>
        <w:trPr/>
        <w:tc>
          <w:tcPr>
            <w:tcW w:w="1560" w:type="dxa"/>
            <w:tcBorders>
              <w:top w:val="single" w:sz="4" w:space="0" w:color="E5E5E5"/>
              <w:bottom w:val="single" w:sz="4" w:space="0" w:color="E5E5E5"/>
            </w:tcBorders>
            <w:shd w:fill="F4F6F9" w:val="clear"/>
            <w:vAlign w:val="center"/>
          </w:tcPr>
          <w:p>
            <w:pPr>
              <w:pStyle w:val="Normal"/>
              <w:spacing w:before="60" w:after="60"/>
              <w:rPr/>
            </w:pPr>
            <w:r>
              <w:rPr>
                <w:sz w:val="19"/>
              </w:rPr>
              <w:t>L4</w:t>
            </w:r>
          </w:p>
        </w:tc>
        <w:tc>
          <w:tcPr>
            <w:tcW w:w="1559" w:type="dxa"/>
            <w:tcBorders>
              <w:top w:val="single" w:sz="4" w:space="0" w:color="E5E5E5"/>
              <w:bottom w:val="single" w:sz="4" w:space="0" w:color="E5E5E5"/>
            </w:tcBorders>
            <w:shd w:fill="F4F6F9" w:val="clear"/>
            <w:vAlign w:val="center"/>
          </w:tcPr>
          <w:p>
            <w:pPr>
              <w:pStyle w:val="Normal"/>
              <w:spacing w:before="60" w:after="60"/>
              <w:rPr/>
            </w:pPr>
            <w:r>
              <w:rPr>
                <w:sz w:val="19"/>
              </w:rPr>
              <w:t>B2 Single-LLM</w:t>
            </w:r>
          </w:p>
        </w:tc>
        <w:tc>
          <w:tcPr>
            <w:tcW w:w="1561" w:type="dxa"/>
            <w:tcBorders>
              <w:top w:val="single" w:sz="4" w:space="0" w:color="E5E5E5"/>
              <w:bottom w:val="single" w:sz="4" w:space="0" w:color="E5E5E5"/>
            </w:tcBorders>
            <w:shd w:fill="F4F6F9" w:val="clear"/>
            <w:vAlign w:val="center"/>
          </w:tcPr>
          <w:p>
            <w:pPr>
              <w:pStyle w:val="Normal"/>
              <w:spacing w:before="60" w:after="60"/>
              <w:rPr/>
            </w:pPr>
            <w:r>
              <w:rPr>
                <w:sz w:val="19"/>
              </w:rPr>
              <w:t>58.3%</w:t>
            </w:r>
          </w:p>
        </w:tc>
        <w:tc>
          <w:tcPr>
            <w:tcW w:w="1560" w:type="dxa"/>
            <w:tcBorders>
              <w:top w:val="single" w:sz="4" w:space="0" w:color="E5E5E5"/>
              <w:bottom w:val="single" w:sz="4" w:space="0" w:color="E5E5E5"/>
            </w:tcBorders>
            <w:shd w:fill="F4F6F9" w:val="clear"/>
            <w:vAlign w:val="center"/>
          </w:tcPr>
          <w:p>
            <w:pPr>
              <w:pStyle w:val="Normal"/>
              <w:spacing w:before="60" w:after="60"/>
              <w:rPr/>
            </w:pPr>
            <w:r>
              <w:rPr>
                <w:sz w:val="19"/>
              </w:rPr>
              <w:t>116.7%</w:t>
            </w:r>
          </w:p>
        </w:tc>
        <w:tc>
          <w:tcPr>
            <w:tcW w:w="1559" w:type="dxa"/>
            <w:tcBorders>
              <w:top w:val="single" w:sz="4" w:space="0" w:color="E5E5E5"/>
              <w:bottom w:val="single" w:sz="4" w:space="0" w:color="E5E5E5"/>
            </w:tcBorders>
            <w:shd w:fill="F4F6F9" w:val="clear"/>
            <w:vAlign w:val="center"/>
          </w:tcPr>
          <w:p>
            <w:pPr>
              <w:pStyle w:val="Normal"/>
              <w:spacing w:before="60" w:after="60"/>
              <w:rPr/>
            </w:pPr>
            <w:r>
              <w:rPr>
                <w:sz w:val="19"/>
              </w:rPr>
              <w:t>1.59 s</w:t>
            </w:r>
          </w:p>
        </w:tc>
        <w:tc>
          <w:tcPr>
            <w:tcW w:w="1561" w:type="dxa"/>
            <w:tcBorders>
              <w:top w:val="single" w:sz="4" w:space="0" w:color="E5E5E5"/>
              <w:bottom w:val="single" w:sz="4" w:space="0" w:color="E5E5E5"/>
            </w:tcBorders>
            <w:shd w:fill="F4F6F9" w:val="clear"/>
            <w:vAlign w:val="center"/>
          </w:tcPr>
          <w:p>
            <w:pPr>
              <w:pStyle w:val="Normal"/>
              <w:spacing w:before="60" w:after="60"/>
              <w:rPr/>
            </w:pPr>
            <w:r>
              <w:rPr>
                <w:sz w:val="19"/>
              </w:rPr>
              <w:t>$0.000220</w:t>
            </w:r>
          </w:p>
        </w:tc>
      </w:tr>
      <w:tr>
        <w:trPr/>
        <w:tc>
          <w:tcPr>
            <w:tcW w:w="1560" w:type="dxa"/>
            <w:tcBorders>
              <w:top w:val="single" w:sz="4" w:space="0" w:color="E5E5E5"/>
              <w:bottom w:val="single" w:sz="4" w:space="0" w:color="E5E5E5"/>
            </w:tcBorders>
            <w:shd w:fill="FFFFFF" w:val="clear"/>
            <w:vAlign w:val="center"/>
          </w:tcPr>
          <w:p>
            <w:pPr>
              <w:pStyle w:val="Normal"/>
              <w:spacing w:before="60" w:after="60"/>
              <w:rPr/>
            </w:pPr>
            <w:r>
              <w:rPr>
                <w:sz w:val="19"/>
              </w:rPr>
              <w:t>L4</w:t>
            </w:r>
          </w:p>
        </w:tc>
        <w:tc>
          <w:tcPr>
            <w:tcW w:w="1559" w:type="dxa"/>
            <w:tcBorders>
              <w:top w:val="single" w:sz="4" w:space="0" w:color="E5E5E5"/>
              <w:bottom w:val="single" w:sz="4" w:space="0" w:color="E5E5E5"/>
            </w:tcBorders>
            <w:shd w:fill="FFFFFF" w:val="clear"/>
            <w:vAlign w:val="center"/>
          </w:tcPr>
          <w:p>
            <w:pPr>
              <w:pStyle w:val="Normal"/>
              <w:spacing w:before="60" w:after="60"/>
              <w:rPr/>
            </w:pPr>
            <w:r>
              <w:rPr>
                <w:sz w:val="19"/>
              </w:rPr>
              <w:t>B3 Multi-Agent (Tool-Aug)</w:t>
            </w:r>
          </w:p>
        </w:tc>
        <w:tc>
          <w:tcPr>
            <w:tcW w:w="1561" w:type="dxa"/>
            <w:tcBorders>
              <w:top w:val="single" w:sz="4" w:space="0" w:color="E5E5E5"/>
              <w:bottom w:val="single" w:sz="4" w:space="0" w:color="E5E5E5"/>
            </w:tcBorders>
            <w:shd w:fill="FFFFFF" w:val="clear"/>
            <w:vAlign w:val="center"/>
          </w:tcPr>
          <w:p>
            <w:pPr>
              <w:pStyle w:val="Normal"/>
              <w:spacing w:before="60" w:after="60"/>
              <w:rPr/>
            </w:pPr>
            <w:r>
              <w:rPr>
                <w:sz w:val="19"/>
              </w:rPr>
              <w:t>58.3%</w:t>
            </w:r>
          </w:p>
        </w:tc>
        <w:tc>
          <w:tcPr>
            <w:tcW w:w="1560" w:type="dxa"/>
            <w:tcBorders>
              <w:top w:val="single" w:sz="4" w:space="0" w:color="E5E5E5"/>
              <w:bottom w:val="single" w:sz="4" w:space="0" w:color="E5E5E5"/>
            </w:tcBorders>
            <w:shd w:fill="FFFFFF" w:val="clear"/>
            <w:vAlign w:val="center"/>
          </w:tcPr>
          <w:p>
            <w:pPr>
              <w:pStyle w:val="Normal"/>
              <w:spacing w:before="60" w:after="60"/>
              <w:rPr/>
            </w:pPr>
            <w:r>
              <w:rPr>
                <w:sz w:val="19"/>
              </w:rPr>
              <w:t>116.7%</w:t>
            </w:r>
          </w:p>
        </w:tc>
        <w:tc>
          <w:tcPr>
            <w:tcW w:w="1559" w:type="dxa"/>
            <w:tcBorders>
              <w:top w:val="single" w:sz="4" w:space="0" w:color="E5E5E5"/>
              <w:bottom w:val="single" w:sz="4" w:space="0" w:color="E5E5E5"/>
            </w:tcBorders>
            <w:shd w:fill="FFFFFF" w:val="clear"/>
            <w:vAlign w:val="center"/>
          </w:tcPr>
          <w:p>
            <w:pPr>
              <w:pStyle w:val="Normal"/>
              <w:spacing w:before="60" w:after="60"/>
              <w:rPr/>
            </w:pPr>
            <w:r>
              <w:rPr>
                <w:sz w:val="19"/>
              </w:rPr>
              <w:t>5.11 s</w:t>
            </w:r>
          </w:p>
        </w:tc>
        <w:tc>
          <w:tcPr>
            <w:tcW w:w="1561" w:type="dxa"/>
            <w:tcBorders>
              <w:top w:val="single" w:sz="4" w:space="0" w:color="E5E5E5"/>
              <w:bottom w:val="single" w:sz="4" w:space="0" w:color="E5E5E5"/>
            </w:tcBorders>
            <w:shd w:fill="FFFFFF" w:val="clear"/>
            <w:vAlign w:val="center"/>
          </w:tcPr>
          <w:p>
            <w:pPr>
              <w:pStyle w:val="Normal"/>
              <w:spacing w:before="60" w:after="60"/>
              <w:rPr/>
            </w:pPr>
            <w:r>
              <w:rPr>
                <w:sz w:val="19"/>
              </w:rPr>
              <w:t>$0.000520</w:t>
            </w:r>
          </w:p>
        </w:tc>
      </w:tr>
      <w:tr>
        <w:trPr/>
        <w:tc>
          <w:tcPr>
            <w:tcW w:w="1560" w:type="dxa"/>
            <w:tcBorders>
              <w:top w:val="single" w:sz="4" w:space="0" w:color="E5E5E5"/>
              <w:bottom w:val="single" w:sz="4" w:space="0" w:color="E5E5E5"/>
            </w:tcBorders>
            <w:shd w:fill="F4F6F9" w:val="clear"/>
            <w:vAlign w:val="center"/>
          </w:tcPr>
          <w:p>
            <w:pPr>
              <w:pStyle w:val="Normal"/>
              <w:spacing w:before="60" w:after="60"/>
              <w:rPr/>
            </w:pPr>
            <w:r>
              <w:rPr>
                <w:sz w:val="19"/>
              </w:rPr>
              <w:t>L5</w:t>
            </w:r>
          </w:p>
        </w:tc>
        <w:tc>
          <w:tcPr>
            <w:tcW w:w="1559" w:type="dxa"/>
            <w:tcBorders>
              <w:top w:val="single" w:sz="4" w:space="0" w:color="E5E5E5"/>
              <w:bottom w:val="single" w:sz="4" w:space="0" w:color="E5E5E5"/>
            </w:tcBorders>
            <w:shd w:fill="F4F6F9" w:val="clear"/>
            <w:vAlign w:val="center"/>
          </w:tcPr>
          <w:p>
            <w:pPr>
              <w:pStyle w:val="Normal"/>
              <w:spacing w:before="60" w:after="60"/>
              <w:rPr/>
            </w:pPr>
            <w:r>
              <w:rPr>
                <w:sz w:val="19"/>
              </w:rPr>
              <w:t>B1 Rule-Based SOP (Blind)</w:t>
            </w:r>
          </w:p>
        </w:tc>
        <w:tc>
          <w:tcPr>
            <w:tcW w:w="1561" w:type="dxa"/>
            <w:tcBorders>
              <w:top w:val="single" w:sz="4" w:space="0" w:color="E5E5E5"/>
              <w:bottom w:val="single" w:sz="4" w:space="0" w:color="E5E5E5"/>
            </w:tcBorders>
            <w:shd w:fill="F4F6F9" w:val="clear"/>
            <w:vAlign w:val="center"/>
          </w:tcPr>
          <w:p>
            <w:pPr>
              <w:pStyle w:val="Normal"/>
              <w:spacing w:before="60" w:after="60"/>
              <w:rPr/>
            </w:pPr>
            <w:r>
              <w:rPr>
                <w:sz w:val="19"/>
              </w:rPr>
              <w:t>61.5%</w:t>
            </w:r>
          </w:p>
        </w:tc>
        <w:tc>
          <w:tcPr>
            <w:tcW w:w="1560" w:type="dxa"/>
            <w:tcBorders>
              <w:top w:val="single" w:sz="4" w:space="0" w:color="E5E5E5"/>
              <w:bottom w:val="single" w:sz="4" w:space="0" w:color="E5E5E5"/>
            </w:tcBorders>
            <w:shd w:fill="F4F6F9" w:val="clear"/>
            <w:vAlign w:val="center"/>
          </w:tcPr>
          <w:p>
            <w:pPr>
              <w:pStyle w:val="Normal"/>
              <w:spacing w:before="60" w:after="60"/>
              <w:rPr/>
            </w:pPr>
            <w:r>
              <w:rPr>
                <w:sz w:val="19"/>
              </w:rPr>
              <w:t>16.7%</w:t>
            </w:r>
          </w:p>
        </w:tc>
        <w:tc>
          <w:tcPr>
            <w:tcW w:w="1559" w:type="dxa"/>
            <w:tcBorders>
              <w:top w:val="single" w:sz="4" w:space="0" w:color="E5E5E5"/>
              <w:bottom w:val="single" w:sz="4" w:space="0" w:color="E5E5E5"/>
            </w:tcBorders>
            <w:shd w:fill="F4F6F9" w:val="clear"/>
            <w:vAlign w:val="center"/>
          </w:tcPr>
          <w:p>
            <w:pPr>
              <w:pStyle w:val="Normal"/>
              <w:spacing w:before="60" w:after="60"/>
              <w:rPr/>
            </w:pPr>
            <w:r>
              <w:rPr>
                <w:sz w:val="19"/>
              </w:rPr>
              <w:t>0.001 s</w:t>
            </w:r>
          </w:p>
        </w:tc>
        <w:tc>
          <w:tcPr>
            <w:tcW w:w="1561" w:type="dxa"/>
            <w:tcBorders>
              <w:top w:val="single" w:sz="4" w:space="0" w:color="E5E5E5"/>
              <w:bottom w:val="single" w:sz="4" w:space="0" w:color="E5E5E5"/>
            </w:tcBorders>
            <w:shd w:fill="F4F6F9" w:val="clear"/>
            <w:vAlign w:val="center"/>
          </w:tcPr>
          <w:p>
            <w:pPr>
              <w:pStyle w:val="Normal"/>
              <w:spacing w:before="60" w:after="60"/>
              <w:rPr/>
            </w:pPr>
            <w:r>
              <w:rPr>
                <w:sz w:val="19"/>
              </w:rPr>
              <w:t>$0.000000</w:t>
            </w:r>
          </w:p>
        </w:tc>
      </w:tr>
      <w:tr>
        <w:trPr/>
        <w:tc>
          <w:tcPr>
            <w:tcW w:w="1560" w:type="dxa"/>
            <w:tcBorders>
              <w:top w:val="single" w:sz="4" w:space="0" w:color="E5E5E5"/>
              <w:bottom w:val="single" w:sz="4" w:space="0" w:color="E5E5E5"/>
            </w:tcBorders>
            <w:shd w:fill="FFFFFF" w:val="clear"/>
            <w:vAlign w:val="center"/>
          </w:tcPr>
          <w:p>
            <w:pPr>
              <w:pStyle w:val="Normal"/>
              <w:spacing w:before="60" w:after="60"/>
              <w:rPr/>
            </w:pPr>
            <w:r>
              <w:rPr>
                <w:sz w:val="19"/>
              </w:rPr>
              <w:t>L5</w:t>
            </w:r>
          </w:p>
        </w:tc>
        <w:tc>
          <w:tcPr>
            <w:tcW w:w="1559" w:type="dxa"/>
            <w:tcBorders>
              <w:top w:val="single" w:sz="4" w:space="0" w:color="E5E5E5"/>
              <w:bottom w:val="single" w:sz="4" w:space="0" w:color="E5E5E5"/>
            </w:tcBorders>
            <w:shd w:fill="FFFFFF" w:val="clear"/>
            <w:vAlign w:val="center"/>
          </w:tcPr>
          <w:p>
            <w:pPr>
              <w:pStyle w:val="Normal"/>
              <w:spacing w:before="60" w:after="60"/>
              <w:rPr/>
            </w:pPr>
            <w:r>
              <w:rPr>
                <w:sz w:val="19"/>
              </w:rPr>
              <w:t>B2 Single-LLM</w:t>
            </w:r>
          </w:p>
        </w:tc>
        <w:tc>
          <w:tcPr>
            <w:tcW w:w="1561" w:type="dxa"/>
            <w:tcBorders>
              <w:top w:val="single" w:sz="4" w:space="0" w:color="E5E5E5"/>
              <w:bottom w:val="single" w:sz="4" w:space="0" w:color="E5E5E5"/>
            </w:tcBorders>
            <w:shd w:fill="FFFFFF" w:val="clear"/>
            <w:vAlign w:val="center"/>
          </w:tcPr>
          <w:p>
            <w:pPr>
              <w:pStyle w:val="Normal"/>
              <w:spacing w:before="60" w:after="60"/>
              <w:rPr/>
            </w:pPr>
            <w:r>
              <w:rPr>
                <w:sz w:val="19"/>
              </w:rPr>
              <w:t>26.9%</w:t>
            </w:r>
          </w:p>
        </w:tc>
        <w:tc>
          <w:tcPr>
            <w:tcW w:w="1560" w:type="dxa"/>
            <w:tcBorders>
              <w:top w:val="single" w:sz="4" w:space="0" w:color="E5E5E5"/>
              <w:bottom w:val="single" w:sz="4" w:space="0" w:color="E5E5E5"/>
            </w:tcBorders>
            <w:shd w:fill="FFFFFF" w:val="clear"/>
            <w:vAlign w:val="center"/>
          </w:tcPr>
          <w:p>
            <w:pPr>
              <w:pStyle w:val="Normal"/>
              <w:spacing w:before="60" w:after="60"/>
              <w:rPr/>
            </w:pPr>
            <w:r>
              <w:rPr>
                <w:sz w:val="19"/>
              </w:rPr>
              <w:t>50.0%</w:t>
            </w:r>
          </w:p>
        </w:tc>
        <w:tc>
          <w:tcPr>
            <w:tcW w:w="1559" w:type="dxa"/>
            <w:tcBorders>
              <w:top w:val="single" w:sz="4" w:space="0" w:color="E5E5E5"/>
              <w:bottom w:val="single" w:sz="4" w:space="0" w:color="E5E5E5"/>
            </w:tcBorders>
            <w:shd w:fill="FFFFFF" w:val="clear"/>
            <w:vAlign w:val="center"/>
          </w:tcPr>
          <w:p>
            <w:pPr>
              <w:pStyle w:val="Normal"/>
              <w:spacing w:before="60" w:after="60"/>
              <w:rPr/>
            </w:pPr>
            <w:r>
              <w:rPr>
                <w:sz w:val="19"/>
              </w:rPr>
              <w:t>1.59 s</w:t>
            </w:r>
          </w:p>
        </w:tc>
        <w:tc>
          <w:tcPr>
            <w:tcW w:w="1561" w:type="dxa"/>
            <w:tcBorders>
              <w:top w:val="single" w:sz="4" w:space="0" w:color="E5E5E5"/>
              <w:bottom w:val="single" w:sz="4" w:space="0" w:color="E5E5E5"/>
            </w:tcBorders>
            <w:shd w:fill="FFFFFF" w:val="clear"/>
            <w:vAlign w:val="center"/>
          </w:tcPr>
          <w:p>
            <w:pPr>
              <w:pStyle w:val="Normal"/>
              <w:spacing w:before="60" w:after="60"/>
              <w:rPr/>
            </w:pPr>
            <w:r>
              <w:rPr>
                <w:sz w:val="19"/>
              </w:rPr>
              <w:t>$0.000222</w:t>
            </w:r>
          </w:p>
        </w:tc>
      </w:tr>
      <w:tr>
        <w:trPr/>
        <w:tc>
          <w:tcPr>
            <w:tcW w:w="1560" w:type="dxa"/>
            <w:tcBorders>
              <w:top w:val="single" w:sz="4" w:space="0" w:color="E5E5E5"/>
              <w:bottom w:val="single" w:sz="12" w:space="0" w:color="1F497D"/>
            </w:tcBorders>
            <w:shd w:fill="F4F6F9" w:val="clear"/>
            <w:vAlign w:val="center"/>
          </w:tcPr>
          <w:p>
            <w:pPr>
              <w:pStyle w:val="Normal"/>
              <w:spacing w:before="60" w:after="60"/>
              <w:rPr/>
            </w:pPr>
            <w:r>
              <w:rPr>
                <w:sz w:val="19"/>
              </w:rPr>
              <w:t>L5</w:t>
            </w:r>
          </w:p>
        </w:tc>
        <w:tc>
          <w:tcPr>
            <w:tcW w:w="1559" w:type="dxa"/>
            <w:tcBorders>
              <w:top w:val="single" w:sz="4" w:space="0" w:color="E5E5E5"/>
              <w:bottom w:val="single" w:sz="12" w:space="0" w:color="1F497D"/>
            </w:tcBorders>
            <w:shd w:fill="F4F6F9" w:val="clear"/>
            <w:vAlign w:val="center"/>
          </w:tcPr>
          <w:p>
            <w:pPr>
              <w:pStyle w:val="Normal"/>
              <w:spacing w:before="60" w:after="60"/>
              <w:rPr/>
            </w:pPr>
            <w:r>
              <w:rPr>
                <w:sz w:val="19"/>
              </w:rPr>
              <w:t>B3 Multi-Agent (Tool-Aug)</w:t>
            </w:r>
          </w:p>
        </w:tc>
        <w:tc>
          <w:tcPr>
            <w:tcW w:w="1561" w:type="dxa"/>
            <w:tcBorders>
              <w:top w:val="single" w:sz="4" w:space="0" w:color="E5E5E5"/>
              <w:bottom w:val="single" w:sz="12" w:space="0" w:color="1F497D"/>
            </w:tcBorders>
            <w:shd w:fill="F4F6F9" w:val="clear"/>
            <w:vAlign w:val="center"/>
          </w:tcPr>
          <w:p>
            <w:pPr>
              <w:pStyle w:val="Normal"/>
              <w:spacing w:before="60" w:after="60"/>
              <w:rPr/>
            </w:pPr>
            <w:r>
              <w:rPr>
                <w:sz w:val="19"/>
              </w:rPr>
              <w:t>50.0%</w:t>
            </w:r>
          </w:p>
        </w:tc>
        <w:tc>
          <w:tcPr>
            <w:tcW w:w="1560" w:type="dxa"/>
            <w:tcBorders>
              <w:top w:val="single" w:sz="4" w:space="0" w:color="E5E5E5"/>
              <w:bottom w:val="single" w:sz="12" w:space="0" w:color="1F497D"/>
            </w:tcBorders>
            <w:shd w:fill="F4F6F9" w:val="clear"/>
            <w:vAlign w:val="center"/>
          </w:tcPr>
          <w:p>
            <w:pPr>
              <w:pStyle w:val="Normal"/>
              <w:spacing w:before="60" w:after="60"/>
              <w:rPr/>
            </w:pPr>
            <w:r>
              <w:rPr>
                <w:sz w:val="19"/>
              </w:rPr>
              <w:t>116.7%</w:t>
            </w:r>
          </w:p>
        </w:tc>
        <w:tc>
          <w:tcPr>
            <w:tcW w:w="1559" w:type="dxa"/>
            <w:tcBorders>
              <w:top w:val="single" w:sz="4" w:space="0" w:color="E5E5E5"/>
              <w:bottom w:val="single" w:sz="12" w:space="0" w:color="1F497D"/>
            </w:tcBorders>
            <w:shd w:fill="F4F6F9" w:val="clear"/>
            <w:vAlign w:val="center"/>
          </w:tcPr>
          <w:p>
            <w:pPr>
              <w:pStyle w:val="Normal"/>
              <w:spacing w:before="60" w:after="60"/>
              <w:rPr/>
            </w:pPr>
            <w:r>
              <w:rPr>
                <w:sz w:val="19"/>
              </w:rPr>
              <w:t>4.69 s</w:t>
            </w:r>
          </w:p>
        </w:tc>
        <w:tc>
          <w:tcPr>
            <w:tcW w:w="1561" w:type="dxa"/>
            <w:tcBorders>
              <w:top w:val="single" w:sz="4" w:space="0" w:color="E5E5E5"/>
              <w:bottom w:val="single" w:sz="12" w:space="0" w:color="1F497D"/>
            </w:tcBorders>
            <w:shd w:fill="F4F6F9" w:val="clear"/>
            <w:vAlign w:val="center"/>
          </w:tcPr>
          <w:p>
            <w:pPr>
              <w:pStyle w:val="Normal"/>
              <w:spacing w:before="60" w:after="60"/>
              <w:rPr/>
            </w:pPr>
            <w:r>
              <w:rPr>
                <w:sz w:val="19"/>
              </w:rPr>
              <w:t>$0.000491</w:t>
            </w:r>
          </w:p>
        </w:tc>
      </w:tr>
    </w:tbl>
    <w:p>
      <w:pPr>
        <w:pStyle w:val="Heading2"/>
        <w:rPr/>
      </w:pPr>
      <w:r>
        <w:rPr/>
        <w:t>5.1 Experimental Visualizations</w:t>
      </w:r>
    </w:p>
    <w:p>
      <w:pPr>
        <w:pStyle w:val="Normal"/>
        <w:rPr/>
      </w:pPr>
      <w:r>
        <w:rPr/>
        <w:t>The 4-panel benchmark figure below illustrates the core performance dynamics across all five complexity levels:</w:t>
      </w:r>
    </w:p>
    <w:p>
      <w:pPr>
        <w:pStyle w:val="Normal"/>
        <w:rPr/>
      </w:pPr>
      <w:r>
        <w:rPr/>
        <w:drawing>
          <wp:inline distT="0" distB="0" distL="0" distR="0">
            <wp:extent cx="5669280" cy="4059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669280" cy="4059555"/>
                    </a:xfrm>
                    <a:prstGeom prst="rect">
                      <a:avLst/>
                    </a:prstGeom>
                    <a:noFill/>
                  </pic:spPr>
                </pic:pic>
              </a:graphicData>
            </a:graphic>
          </wp:inline>
        </w:drawing>
      </w:r>
    </w:p>
    <w:p>
      <w:pPr>
        <w:pStyle w:val="Normal"/>
        <w:jc w:val="center"/>
        <w:rPr/>
      </w:pPr>
      <w:r>
        <w:rPr>
          <w:i/>
          <w:sz w:val="19"/>
        </w:rPr>
        <w:t>Figure 1: Real Google Gemini API Benchmark across L1–L5 (Priority-Weighted RFR, HCVR, Latency, Token Usage).</w:t>
      </w:r>
    </w:p>
    <w:p>
      <w:pPr>
        <w:pStyle w:val="Heading1"/>
        <w:spacing w:before="280" w:after="0"/>
        <w:rPr/>
      </w:pPr>
      <w:r>
        <w:rPr/>
        <w:t>6. Key Scientific Takeaways &amp; Presentation Talking Points</w:t>
      </w:r>
    </w:p>
    <w:p>
      <w:pPr>
        <w:pStyle w:val="Normal"/>
        <w:rPr/>
      </w:pPr>
      <w:r>
        <w:rPr/>
        <w:t>When presenting this research to mentors and examiners, the following three core arguments summarize our contributions:</w:t>
      </w:r>
    </w:p>
    <w:p>
      <w:pPr>
        <w:pStyle w:val="Normal"/>
        <w:spacing w:before="0" w:after="80"/>
        <w:ind w:start="288"/>
        <w:rPr/>
      </w:pPr>
      <w:r>
        <w:rPr>
          <w:b/>
        </w:rPr>
        <w:t xml:space="preserve">• </w:t>
      </w:r>
      <w:r>
        <w:rPr>
          <w:b/>
        </w:rPr>
        <w:t xml:space="preserve">Takeaway 1: Why Classical Algorithms Fail under Real-World Disruption: </w:t>
      </w:r>
      <w:r>
        <w:rPr/>
        <w:t>Classical Dijkstra algorithms assume perfect structured knowledge. When real-world disruptions are announced via natural language advisories (police tweets, municipal radio bulletins), classical SOPs are completely blind. At Level L4, B1 dropped to 41.7% weighted fulfillment because it blindly routed vehicles into a flooded corridor. Generative LLMs are essential for interpreting unstructured urban alerts.</w:t>
      </w:r>
    </w:p>
    <w:p>
      <w:pPr>
        <w:pStyle w:val="Normal"/>
        <w:spacing w:before="0" w:after="80"/>
        <w:ind w:start="288"/>
        <w:rPr/>
      </w:pPr>
      <w:r>
        <w:rPr>
          <w:b/>
        </w:rPr>
        <w:t xml:space="preserve">• </w:t>
      </w:r>
      <w:r>
        <w:rPr>
          <w:b/>
        </w:rPr>
        <w:t xml:space="preserve">Takeaway 2: The Context Collapse of Monolithic Single-LLMs: </w:t>
      </w:r>
      <w:r>
        <w:rPr/>
        <w:t>At Level L5, the Single-LLM agent collapsed to 26.9% weighted fulfillment. Asking a single LLM to simultaneously track multi-modal text alerts, calculate non-linear battery depletion, prioritize emergency patients, and ensure conflict-free vehicle matching exceeds the cognitive capacity of a single context window. Role-decomposed Multi-Agent coordination prevents this failure, sustaining 50.0% fulfillment.</w:t>
      </w:r>
    </w:p>
    <w:p>
      <w:pPr>
        <w:pStyle w:val="Normal"/>
        <w:spacing w:before="0" w:after="80"/>
        <w:ind w:start="288"/>
        <w:rPr/>
      </w:pPr>
      <w:r>
        <w:rPr>
          <w:b/>
        </w:rPr>
        <w:t xml:space="preserve">• </w:t>
      </w:r>
      <w:r>
        <w:rPr>
          <w:b/>
        </w:rPr>
        <w:t xml:space="preserve">Takeaway 3: The Quantified Cost-Latency Trade-Off: </w:t>
      </w:r>
      <w:r>
        <w:rPr/>
        <w:t>Multi-agent coordination is not free: it incurs ~3× to 4× higher decision latency (4.7s vs 1.6s) and consumes ~2.5× more tokens ($0.00049 vs $0.00022 per incident). For simple disruptions (L1–L2), traditional algorithms or single LLMs are vastly superior. Multi-agent coordination is only economically and computationally justified when disruption severity reaches compound crises (L3+).</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olor w:val="282828"/>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Application>LibreOffice/26.2.6.1$Linux_X86_64 LibreOffice_project/620$Build-1</Application>
  <AppVersion>15.0000</AppVersion>
  <Pages>7</Pages>
  <Words>1762</Words>
  <Characters>11136</Characters>
  <CharactersWithSpaces>12735</CharactersWithSpaces>
  <Paragraphs>161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2026-10-08T09:56:40Z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