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COMMITTEE MEMORANDUM</w:t>
      </w:r>
    </w:p>
    <w:p>
      <w:r>
        <w:t>TO: Investment Committee</w:t>
      </w:r>
    </w:p>
    <w:p>
      <w:r>
        <w:t>FROM: Infrastructure Team</w:t>
      </w:r>
    </w:p>
    <w:p>
      <w:r>
        <w:t>RE: Wind Farm Acquisition – 100 MW Onshore Wind (SPP)</w:t>
      </w:r>
    </w:p>
    <w:p>
      <w:r>
        <w:t>DATE: January 2026</w:t>
      </w:r>
    </w:p>
    <w:p/>
    <w:p>
      <w:pPr>
        <w:pStyle w:val="Heading1"/>
      </w:pPr>
      <w:r>
        <w:t>EXECUTIVE SUMMARY</w:t>
      </w:r>
    </w:p>
    <w:p>
      <w:r>
        <w:t>We recommend acquiring 100% of the equity interest in a 100 MW onshore wind farm located in SPP (Oklahoma) for $180 million, representing a 7.5x entry multiple on Year 1 EBITDA of $24 million. The asset benefits from a 15-year PPA at $45/MWh (12 years remaining) and 5 years of remaining PTC eligibility at $27.50/MWh.</w:t>
      </w:r>
    </w:p>
    <w:p>
      <w:pPr>
        <w:pStyle w:val="Heading1"/>
      </w:pPr>
      <w:r>
        <w:t>INVESTMENT HIGHLIGHTS</w:t>
      </w:r>
    </w:p>
    <w:p>
      <w:r>
        <w:t>• 12-year PPA at $45/MWh provides contracted revenue certainty</w:t>
      </w:r>
    </w:p>
    <w:p>
      <w:r>
        <w:t>• 5 years of PTC ($27.50/MWh) creates ~$9mm/year tax shield</w:t>
      </w:r>
    </w:p>
    <w:p>
      <w:r>
        <w:t>• Strong 38% capacity factor indicates quality wind resource</w:t>
      </w:r>
    </w:p>
    <w:p>
      <w:r>
        <w:t>• Sculpted debt at 1.35x DSCR supports 65% leverage</w:t>
      </w:r>
    </w:p>
    <w:p>
      <w:pPr>
        <w:pStyle w:val="Heading1"/>
      </w:pPr>
      <w:r>
        <w:t>KEY RISKS</w:t>
      </w:r>
    </w:p>
    <w:p>
      <w:r>
        <w:t>• Post-PPA merchant exposure (mitigated by conservative $35/MWh pricing)</w:t>
      </w:r>
    </w:p>
    <w:p>
      <w:r>
        <w:t>• PTC monetization dependent on taxable income</w:t>
      </w:r>
    </w:p>
    <w:p>
      <w:r>
        <w:t>• Turbine technology risk (2018 vintage, 7 years into operating life)</w:t>
      </w:r>
    </w:p>
    <w:p>
      <w:pPr>
        <w:pStyle w:val="Heading1"/>
      </w:pPr>
      <w:r>
        <w:t>RETURNS ANALYSIS</w:t>
      </w:r>
    </w:p>
    <w:p>
      <w:r>
        <w:t>• Levered IRR: ~18%</w:t>
      </w:r>
    </w:p>
    <w:p>
      <w:r>
        <w:t>• MOIC: ~2.0x</w:t>
      </w:r>
    </w:p>
    <w:p>
      <w:r>
        <w:t>• Exit at 8.5x Y7 EBITDA (reflects PPA runoff)</w:t>
      </w:r>
    </w:p>
    <w:p>
      <w:pPr>
        <w:pStyle w:val="Heading1"/>
      </w:pPr>
      <w:r>
        <w:t>RECOMMENDATION</w:t>
      </w:r>
    </w:p>
    <w:p>
      <w:r>
        <w:t>PROCEED with acquisition at $180mm entry price. Strong risk-adjusted returns supported by contracted revenue and PTC tax shield.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