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SPARTAN</w:t>
      </w:r>
    </w:p>
    <w:p>
      <w:pPr>
        <w:jc w:val="center"/>
      </w:pPr>
      <w:r>
        <w:rPr>
          <w:b/>
        </w:rPr>
        <w:t>INVESTMENT COMMITTEE MEMORANDUM</w:t>
      </w:r>
    </w:p>
    <w:p>
      <w:r>
        <w:t>365 MW Combined Cycle Gas Turbine – PJM West</w:t>
      </w:r>
    </w:p>
    <w:p/>
    <w:p>
      <w:r>
        <w:rPr>
          <w:b/>
        </w:rPr>
        <w:t xml:space="preserve">RECOMMENDATION: </w:t>
      </w:r>
      <w:r>
        <w:t>Proceed to final bid at $520mm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</w:rPr>
              <w:t>Base Case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</w:rPr>
              <w:t>Downside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</w:rPr>
              <w:t>Upside</w:t>
            </w:r>
          </w:p>
        </w:tc>
      </w:tr>
      <w:tr>
        <w:tc>
          <w:tcPr>
            <w:tcW w:type="dxa" w:w="2160"/>
          </w:tcPr>
          <w:p>
            <w:r>
              <w:t>Entry EV</w:t>
            </w:r>
          </w:p>
        </w:tc>
        <w:tc>
          <w:tcPr>
            <w:tcW w:type="dxa" w:w="2160"/>
          </w:tcPr>
          <w:p>
            <w:r>
              <w:t>$520mm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Entry Multiple</w:t>
            </w:r>
          </w:p>
        </w:tc>
        <w:tc>
          <w:tcPr>
            <w:tcW w:type="dxa" w:w="2160"/>
          </w:tcPr>
          <w:p>
            <w:r>
              <w:t>7.8x Y1 EBITDA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Leverage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Levered IRR</w:t>
            </w:r>
          </w:p>
        </w:tc>
        <w:tc>
          <w:tcPr>
            <w:tcW w:type="dxa" w:w="2160"/>
          </w:tcPr>
          <w:p>
            <w:r>
              <w:t>18.5%</w:t>
            </w:r>
          </w:p>
        </w:tc>
        <w:tc>
          <w:tcPr>
            <w:tcW w:type="dxa" w:w="2160"/>
          </w:tcPr>
          <w:p>
            <w:r>
              <w:t>14.2%</w:t>
            </w:r>
          </w:p>
        </w:tc>
        <w:tc>
          <w:tcPr>
            <w:tcW w:type="dxa" w:w="2160"/>
          </w:tcPr>
          <w:p>
            <w:r>
              <w:t>22.8%</w:t>
            </w:r>
          </w:p>
        </w:tc>
      </w:tr>
      <w:tr>
        <w:tc>
          <w:tcPr>
            <w:tcW w:type="dxa" w:w="2160"/>
          </w:tcPr>
          <w:p>
            <w:r>
              <w:t>MOIC</w:t>
            </w:r>
          </w:p>
        </w:tc>
        <w:tc>
          <w:tcPr>
            <w:tcW w:type="dxa" w:w="2160"/>
          </w:tcPr>
          <w:p>
            <w:r>
              <w:t>2.15x</w:t>
            </w:r>
          </w:p>
        </w:tc>
        <w:tc>
          <w:tcPr>
            <w:tcW w:type="dxa" w:w="2160"/>
          </w:tcPr>
          <w:p>
            <w:r>
              <w:t>1.85x</w:t>
            </w:r>
          </w:p>
        </w:tc>
        <w:tc>
          <w:tcPr>
            <w:tcW w:type="dxa" w:w="2160"/>
          </w:tcPr>
          <w:p>
            <w:r>
              <w:t>2.45x</w:t>
            </w:r>
          </w:p>
        </w:tc>
      </w:tr>
      <w:tr>
        <w:tc>
          <w:tcPr>
            <w:tcW w:type="dxa" w:w="2160"/>
          </w:tcPr>
          <w:p>
            <w:r>
              <w:t>Min DSCR</w:t>
            </w:r>
          </w:p>
        </w:tc>
        <w:tc>
          <w:tcPr>
            <w:tcW w:type="dxa" w:w="2160"/>
          </w:tcPr>
          <w:p>
            <w:r>
              <w:t>1.42x</w:t>
            </w:r>
          </w:p>
        </w:tc>
        <w:tc>
          <w:tcPr>
            <w:tcW w:type="dxa" w:w="2160"/>
          </w:tcPr>
          <w:p>
            <w:r>
              <w:t>1.28x</w:t>
            </w:r>
          </w:p>
        </w:tc>
        <w:tc>
          <w:tcPr>
            <w:tcW w:type="dxa" w:w="2160"/>
          </w:tcPr>
          <w:p>
            <w:r>
              <w:t>1.58x</w:t>
            </w:r>
          </w:p>
        </w:tc>
      </w:tr>
      <w:tr>
        <w:tc>
          <w:tcPr>
            <w:tcW w:type="dxa" w:w="2160"/>
          </w:tcPr>
          <w:p>
            <w:r>
              <w:t>Unlevered IRR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INVESTMENT THESIS</w:t>
      </w:r>
    </w:p>
    <w:p>
      <w:r>
        <w:t>• Strategic PJM West location with dual revenue streams (energy + capacity) provides diversified cash flow profile</w:t>
      </w:r>
    </w:p>
    <w:p>
      <w:r>
        <w:t>• Efficient 7,000 Btu/kWh heat rate positions asset competitively on dispatch stack, ensuring consistent energy margins</w:t>
      </w:r>
    </w:p>
    <w:p>
      <w:r>
        <w:t>• Recent PJM capacity auction results support sustained capacity revenue outlook through the hold period</w:t>
      </w:r>
    </w:p>
    <w:p>
      <w:r>
        <w:t>• Clear exit path to strategic buyers (utilities seeking gas generation) and infrastructure yield vehicles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KEY RISKS &amp; MITIGANTS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</w:rPr>
              <w:t>Mitigant</w:t>
            </w:r>
          </w:p>
        </w:tc>
      </w:tr>
      <w:tr>
        <w:tc>
          <w:tcPr>
            <w:tcW w:type="dxa" w:w="2880"/>
          </w:tcPr>
          <w:p>
            <w:r>
              <w:t>Gas price volatility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Partial hedge program (50% Y1-Y3); efficient heat rate provides margin cushion</w:t>
            </w:r>
          </w:p>
        </w:tc>
      </w:tr>
      <w:tr>
        <w:tc>
          <w:tcPr>
            <w:tcW w:type="dxa" w:w="2880"/>
          </w:tcPr>
          <w:p>
            <w:r>
              <w:t>Capacity price decline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PJM capacity construct provides 3-year forward visibility; locked through Y3</w:t>
            </w:r>
          </w:p>
        </w:tc>
      </w:tr>
      <w:tr>
        <w:tc>
          <w:tcPr>
            <w:tcW w:type="dxa" w:w="2880"/>
          </w:tcPr>
          <w:p>
            <w:r>
              <w:t>Forced outage risk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Comprehensive LTSA with OEM; historical 95% availability; 6-month DSRA</w:t>
            </w:r>
          </w:p>
        </w:tc>
      </w:tr>
      <w:tr>
        <w:tc>
          <w:tcPr>
            <w:tcW w:type="dxa" w:w="2880"/>
          </w:tcPr>
          <w:p>
            <w:r>
              <w:t>Environmental regulation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No pending EPA action on unit; brownfield expansion rights provide optionality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FINANCING STRUCTURE RATIONALE</w:t>
      </w:r>
    </w:p>
    <w:p>
      <w:r>
        <w:t>Structure: 7-year term loan with 75% cash sweep and 6-month DSRA</w:t>
      </w:r>
    </w:p>
    <w:p/>
    <w:p>
      <w:r>
        <w:t>Rationale:</w:t>
      </w:r>
    </w:p>
    <w:p>
      <w:r>
        <w:t>• Cash sweep structure appropriate for merchant asset with variable CFADS – accelerates paydown in strong years</w:t>
      </w:r>
    </w:p>
    <w:p>
      <w:r>
        <w:t>• 45% leverage balances return enhancement with covenant headroom for commodity cycles</w:t>
      </w:r>
    </w:p>
    <w:p>
      <w:r>
        <w:t>• 6-month DSRA provides liquidity buffer, sizing is market standard for merchant power</w:t>
      </w:r>
    </w:p>
    <w:p>
      <w:r>
        <w:t>• Lock-up DSCR at 1.10x protects lenders while allowing distributions in base case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ANTICIPATED IC Q&amp;A</w:t>
      </w:r>
    </w:p>
    <w:p>
      <w:pPr>
        <w:pStyle w:val="Heading3"/>
      </w:pPr>
      <w:r>
        <w:t>VALUATION</w:t>
      </w:r>
    </w:p>
    <w:p>
      <w:r>
        <w:rPr>
          <w:b/>
        </w:rPr>
        <w:t>Q: How did you arrive at 7.8x entry multiple?</w:t>
      </w:r>
    </w:p>
    <w:p>
      <w:r>
        <w:t>A: Based on recent PJM CCGT transactions ranging 7.0-8.5x, adjusted down for merchant exposure vs contracted comps. Premium to replacement cost reflects strategic location and grid constraints.</w:t>
      </w:r>
    </w:p>
    <w:p>
      <w:r>
        <w:rPr>
          <w:b/>
        </w:rPr>
        <w:t>Q: What's the exit buyer universe?</w:t>
      </w:r>
    </w:p>
    <w:p>
      <w:r>
        <w:t>A: Primary: Utilities seeking gas generation for reliability (AES, NRG, Vistra). Secondary: Infrastructure funds (KKR, Brookfield, GIP) seeking yield with upside. Tertiary: IPPs for portfolio buildout.</w:t>
      </w:r>
    </w:p>
    <w:p>
      <w:r>
        <w:rPr>
          <w:b/>
        </w:rPr>
        <w:t>Q: Why 7.0x exit multiple vs 7.8x entry?</w:t>
      </w:r>
    </w:p>
    <w:p>
      <w:r>
        <w:t>A: Conservative assumption reflects shorter remaining life at exit. Sensitivity shows 0.5x multiple change = 200bps IRR impact.</w:t>
      </w:r>
    </w:p>
    <w:p/>
    <w:p>
      <w:pPr>
        <w:pStyle w:val="Heading3"/>
      </w:pPr>
      <w:r>
        <w:t>FINANCING</w:t>
      </w:r>
    </w:p>
    <w:p>
      <w:r>
        <w:rPr>
          <w:b/>
        </w:rPr>
        <w:t>Q: Why sweep instead of sculpt?</w:t>
      </w:r>
    </w:p>
    <w:p>
      <w:r>
        <w:t>A: Merchant CFADS volatility makes sculpting impractical – you'd need to re-sculpt every year. Sweep naturally adjusts paydown to actual cash flow.</w:t>
      </w:r>
    </w:p>
    <w:p>
      <w:r>
        <w:rPr>
          <w:b/>
        </w:rPr>
        <w:t>Q: How did you size the DSRA?</w:t>
      </w:r>
    </w:p>
    <w:p>
      <w:r>
        <w:t>A: 6-month debt service is market standard for merchant power. Provides 6 months of runway if spark spreads compress or outage occurs.</w:t>
      </w:r>
    </w:p>
    <w:p>
      <w:r>
        <w:rPr>
          <w:b/>
        </w:rPr>
        <w:t>Q: What happens if DSCR drops below 1.10x?</w:t>
      </w:r>
    </w:p>
    <w:p>
      <w:r>
        <w:t>A: Distributions locked up – all excess cash goes to debt paydown. Likely scenario: temporary commodity dislocation. Recovery expected within 1-2 years.</w:t>
      </w:r>
    </w:p>
    <w:p/>
    <w:p>
      <w:pPr>
        <w:pStyle w:val="Heading3"/>
      </w:pPr>
      <w:r>
        <w:t>RETURNS</w:t>
      </w:r>
    </w:p>
    <w:p>
      <w:r>
        <w:rPr>
          <w:b/>
        </w:rPr>
        <w:t>Q: Walk me through the IRR bridge from unlevered to levered.</w:t>
      </w:r>
    </w:p>
    <w:p>
      <w:r>
        <w:t>A: Unlevered 12.1% + leverage benefit (cheaper debt vs equity cost) ≈ +7% – financing costs (interest, fees) ≈ -0.6% = Levered 18.5%. Leverage adds ~6.5% to returns.</w:t>
      </w:r>
    </w:p>
    <w:p>
      <w:r>
        <w:rPr>
          <w:b/>
        </w:rPr>
        <w:t>Q: Why is MOIC 2.15x lower than I'd expect for 18.5% IRR?</w:t>
      </w:r>
    </w:p>
    <w:p>
      <w:r>
        <w:t>A: 7-year hold period. MOIC = cash-on-cash regardless of timing. 18.5% IRR over 7 years compounds to 2.15x.</w:t>
      </w:r>
    </w:p>
    <w:p>
      <w:r>
        <w:rPr>
          <w:b/>
        </w:rPr>
        <w:t>Q: What's the downside scenario?</w:t>
      </w:r>
    </w:p>
    <w:p>
      <w:r>
        <w:t>A: Gas +25%, power flat = squeezed spark spreads. IRR drops to 14.2%, still above hurdle. DSCR 1.28x maintains covenant compliance.</w:t>
      </w:r>
    </w:p>
    <w:p/>
    <w:p>
      <w:pPr>
        <w:pStyle w:val="Heading3"/>
      </w:pPr>
      <w:r>
        <w:t>MARKET</w:t>
      </w:r>
    </w:p>
    <w:p>
      <w:r>
        <w:rPr>
          <w:b/>
        </w:rPr>
        <w:t>Q: What happens if PJM capacity prices collapse?</w:t>
      </w:r>
    </w:p>
    <w:p>
      <w:r>
        <w:t>A: Downside scenario assumes 20% capacity price decline. Still economic due to energy revenue diversification. Extreme downside: asset becomes peaker-like, relies on scarcity pricing.</w:t>
      </w:r>
    </w:p>
    <w:p>
      <w:r>
        <w:rPr>
          <w:b/>
        </w:rPr>
        <w:t>Q: How does carbon regulation affect the investment?</w:t>
      </w:r>
    </w:p>
    <w:p>
      <w:r>
        <w:t>A: Gas is bridge fuel – CCGTs run when renewables can't. Carbon cost would increase power prices, potentially improving spark spreads. Natural gas is 50% lower emissions than coal.</w:t>
      </w:r>
    </w:p>
    <w:p/>
    <w:p>
      <w:pPr>
        <w:pStyle w:val="Heading3"/>
      </w:pPr>
      <w:r>
        <w:t>OPERATIONS</w:t>
      </w:r>
    </w:p>
    <w:p>
      <w:r>
        <w:rPr>
          <w:b/>
        </w:rPr>
        <w:t>Q: What are the key operational risks?</w:t>
      </w:r>
    </w:p>
    <w:p>
      <w:r>
        <w:t>A: Equipment failure (mitigated by LTSA), fuel supply disruption (mitigated by pipeline redundancy), grid curtailment (mitigated by must-run status).</w:t>
      </w:r>
    </w:p>
    <w:p>
      <w:r>
        <w:rPr>
          <w:b/>
        </w:rPr>
        <w:t>Q: What value creation levers exist?</w:t>
      </w:r>
    </w:p>
    <w:p>
      <w:r>
        <w:t>A: 1) Heat rate improvement project (+$2mm EBITDA), 2) Ancillary services expansion, 3) Capacity factor optimization through better dispatch strategy.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DILIGENCE PLAN</w:t>
      </w:r>
    </w:p>
    <w:p>
      <w:pPr>
        <w:pStyle w:val="Heading3"/>
      </w:pPr>
      <w:r>
        <w:t>Technical:</w:t>
      </w:r>
    </w:p>
    <w:p>
      <w:r>
        <w:t>☐ Independent engineer report (Wood Mackenzie)</w:t>
      </w:r>
    </w:p>
    <w:p>
      <w:r>
        <w:t>☐ Equipment condition assessment – turbine hours remaining</w:t>
      </w:r>
    </w:p>
    <w:p>
      <w:r>
        <w:t>☐ Environmental compliance review – air permits, water discharge</w:t>
      </w:r>
    </w:p>
    <w:p>
      <w:r>
        <w:t>☐ Grid interconnection study – transmission constraints</w:t>
      </w:r>
    </w:p>
    <w:p>
      <w:pPr>
        <w:pStyle w:val="Heading3"/>
      </w:pPr>
      <w:r>
        <w:t>Commercial:</w:t>
      </w:r>
    </w:p>
    <w:p>
      <w:r>
        <w:t>☐ PPA/hedging contract review</w:t>
      </w:r>
    </w:p>
    <w:p>
      <w:r>
        <w:t>☐ Market study validation (ERCOT/PJM consultant)</w:t>
      </w:r>
    </w:p>
    <w:p>
      <w:r>
        <w:t>☐ Fuel supply and transportation agreements</w:t>
      </w:r>
    </w:p>
    <w:p>
      <w:r>
        <w:t>☐ Counterparty credit analysis</w:t>
      </w:r>
    </w:p>
    <w:p>
      <w:pPr>
        <w:pStyle w:val="Heading3"/>
      </w:pPr>
      <w:r>
        <w:t>Legal:</w:t>
      </w:r>
    </w:p>
    <w:p>
      <w:r>
        <w:t>☐ Title and land rights review</w:t>
      </w:r>
    </w:p>
    <w:p>
      <w:r>
        <w:t>☐ Permitting status and renewal timeline</w:t>
      </w:r>
    </w:p>
    <w:p>
      <w:r>
        <w:t>☐ Environmental liability assessment</w:t>
      </w:r>
    </w:p>
    <w:p>
      <w:r>
        <w:t>☐ Regulatory status and rate case history</w:t>
      </w:r>
    </w:p>
    <w:p>
      <w:pPr>
        <w:pStyle w:val="Heading3"/>
      </w:pPr>
      <w:r>
        <w:t>Financial:</w:t>
      </w:r>
    </w:p>
    <w:p>
      <w:r>
        <w:t>☐ Quality of earnings (trailing 3-year analysis)</w:t>
      </w:r>
    </w:p>
    <w:p>
      <w:r>
        <w:t>☐ Working capital normalization</w:t>
      </w:r>
    </w:p>
    <w:p>
      <w:r>
        <w:t>☐ Tax structure optimization</w:t>
      </w:r>
    </w:p>
    <w:p>
      <w:r>
        <w:t>☐ Insurance adequacy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