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PHOENIX</w:t>
      </w:r>
    </w:p>
    <w:p>
      <w:pPr>
        <w:jc w:val="center"/>
      </w:pPr>
      <w:r>
        <w:rPr>
          <w:b/>
        </w:rPr>
        <w:t>INVESTMENT COMMITTEE MEMORANDUM</w:t>
      </w:r>
    </w:p>
    <w:p>
      <w:r>
        <w:t>200 MW Simple Cycle Peaker – NYISO Zone J</w:t>
      </w:r>
    </w:p>
    <w:p/>
    <w:p>
      <w:r>
        <w:rPr>
          <w:b/>
        </w:rPr>
        <w:t xml:space="preserve">RECOMMENDATION: </w:t>
      </w:r>
      <w:r>
        <w:t>Proceed to final bid at $110mm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Base Case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Downside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Upside</w:t>
            </w:r>
          </w:p>
        </w:tc>
      </w:tr>
      <w:tr>
        <w:tc>
          <w:tcPr>
            <w:tcW w:type="dxa" w:w="2160"/>
          </w:tcPr>
          <w:p>
            <w:r>
              <w:t>Entry EV</w:t>
            </w:r>
          </w:p>
        </w:tc>
        <w:tc>
          <w:tcPr>
            <w:tcW w:type="dxa" w:w="2160"/>
          </w:tcPr>
          <w:p>
            <w:r>
              <w:t>$110mm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Entry Multiple</w:t>
            </w:r>
          </w:p>
        </w:tc>
        <w:tc>
          <w:tcPr>
            <w:tcW w:type="dxa" w:w="2160"/>
          </w:tcPr>
          <w:p>
            <w:r>
              <w:t>8.5x Y1 EBITDA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Leverage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Levered IRR</w:t>
            </w:r>
          </w:p>
        </w:tc>
        <w:tc>
          <w:tcPr>
            <w:tcW w:type="dxa" w:w="2160"/>
          </w:tcPr>
          <w:p>
            <w:r>
              <w:t>16.8%</w:t>
            </w:r>
          </w:p>
        </w:tc>
        <w:tc>
          <w:tcPr>
            <w:tcW w:type="dxa" w:w="2160"/>
          </w:tcPr>
          <w:p>
            <w:r>
              <w:t>12.5%</w:t>
            </w:r>
          </w:p>
        </w:tc>
        <w:tc>
          <w:tcPr>
            <w:tcW w:type="dxa" w:w="2160"/>
          </w:tcPr>
          <w:p>
            <w:r>
              <w:t>21.2%</w:t>
            </w:r>
          </w:p>
        </w:tc>
      </w:tr>
      <w:tr>
        <w:tc>
          <w:tcPr>
            <w:tcW w:type="dxa" w:w="2160"/>
          </w:tcPr>
          <w:p>
            <w:r>
              <w:t>MOIC</w:t>
            </w:r>
          </w:p>
        </w:tc>
        <w:tc>
          <w:tcPr>
            <w:tcW w:type="dxa" w:w="2160"/>
          </w:tcPr>
          <w:p>
            <w:r>
              <w:t>1.95x</w:t>
            </w:r>
          </w:p>
        </w:tc>
        <w:tc>
          <w:tcPr>
            <w:tcW w:type="dxa" w:w="2160"/>
          </w:tcPr>
          <w:p>
            <w:r>
              <w:t>1.65x</w:t>
            </w:r>
          </w:p>
        </w:tc>
        <w:tc>
          <w:tcPr>
            <w:tcW w:type="dxa" w:w="2160"/>
          </w:tcPr>
          <w:p>
            <w:r>
              <w:t>2.25x</w:t>
            </w:r>
          </w:p>
        </w:tc>
      </w:tr>
      <w:tr>
        <w:tc>
          <w:tcPr>
            <w:tcW w:type="dxa" w:w="2160"/>
          </w:tcPr>
          <w:p>
            <w:r>
              <w:t>Min DSCR</w:t>
            </w:r>
          </w:p>
        </w:tc>
        <w:tc>
          <w:tcPr>
            <w:tcW w:type="dxa" w:w="2160"/>
          </w:tcPr>
          <w:p>
            <w:r>
              <w:t>1.55x</w:t>
            </w:r>
          </w:p>
        </w:tc>
        <w:tc>
          <w:tcPr>
            <w:tcW w:type="dxa" w:w="2160"/>
          </w:tcPr>
          <w:p>
            <w:r>
              <w:t>1.35x</w:t>
            </w:r>
          </w:p>
        </w:tc>
        <w:tc>
          <w:tcPr>
            <w:tcW w:type="dxa" w:w="2160"/>
          </w:tcPr>
          <w:p>
            <w:r>
              <w:t>1.75x</w:t>
            </w:r>
          </w:p>
        </w:tc>
      </w:tr>
      <w:tr>
        <w:tc>
          <w:tcPr>
            <w:tcW w:type="dxa" w:w="2160"/>
          </w:tcPr>
          <w:p>
            <w:r>
              <w:t>Unlevered IRR</w:t>
            </w:r>
          </w:p>
        </w:tc>
        <w:tc>
          <w:tcPr>
            <w:tcW w:type="dxa" w:w="2160"/>
          </w:tcPr>
          <w:p>
            <w:r>
              <w:t>13.2%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pStyle w:val="Heading2"/>
      </w:pPr>
      <w:r>
        <w:t>INVESTMENT THESIS</w:t>
      </w:r>
    </w:p>
    <w:p>
      <w:r>
        <w:t>• NYISO Zone J capacity scarcity drives premium capacity prices ($60/kW-yr vs $40 market average)</w:t>
      </w:r>
    </w:p>
    <w:p>
      <w:r>
        <w:t>• Fast-start capability (10-minute dispatch) positions asset for ancillary services revenue growth</w:t>
      </w:r>
    </w:p>
    <w:p>
      <w:r>
        <w:t>• Conservative 30% leverage with 50% sweep retains cash for major maintenance</w:t>
      </w:r>
    </w:p>
    <w:p>
      <w:r>
        <w:t>• Exit to utility seeking reliability assets in constrained zone</w:t>
      </w:r>
    </w:p>
    <w:p/>
    <w:p>
      <w:pPr>
        <w:pStyle w:val="Heading2"/>
      </w:pPr>
      <w:r>
        <w:t>KEY RISKS &amp; MITIGANTS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</w:rPr>
              <w:t>Probability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</w:rPr>
              <w:t>Mitigant</w:t>
            </w:r>
          </w:p>
        </w:tc>
      </w:tr>
      <w:tr>
        <w:tc>
          <w:tcPr>
            <w:tcW w:type="dxa" w:w="2880"/>
          </w:tcPr>
          <w:p>
            <w:r>
              <w:t>Capacity price decline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Zone J structural scarcity; 3-year forward locked</w:t>
            </w:r>
          </w:p>
        </w:tc>
      </w:tr>
      <w:tr>
        <w:tc>
          <w:tcPr>
            <w:tcW w:type="dxa" w:w="2880"/>
          </w:tcPr>
          <w:p>
            <w:r>
              <w:t>Major maintenance timing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HGP in Y5 budgeted; LTSA provides cost certainty</w:t>
            </w:r>
          </w:p>
        </w:tc>
      </w:tr>
      <w:tr>
        <w:tc>
          <w:tcPr>
            <w:tcW w:type="dxa" w:w="2880"/>
          </w:tcPr>
          <w:p>
            <w:r>
              <w:t>Limited dispatch hours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Capacity revenue = 65% of total; energy is upside</w:t>
            </w:r>
          </w:p>
        </w:tc>
      </w:tr>
      <w:tr>
        <w:tc>
          <w:tcPr>
            <w:tcW w:type="dxa" w:w="2880"/>
          </w:tcPr>
          <w:p>
            <w:r>
              <w:t>Battery competition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Batteries complement, not replace – need gas for multi-day events</w:t>
            </w:r>
          </w:p>
        </w:tc>
      </w:tr>
    </w:tbl>
    <w:p/>
    <w:p>
      <w:pPr>
        <w:pStyle w:val="Heading2"/>
      </w:pPr>
      <w:r>
        <w:t>ANTICIPATED IC Q&amp;A</w:t>
      </w:r>
    </w:p>
    <w:p>
      <w:r>
        <w:rPr>
          <w:b/>
        </w:rPr>
        <w:t>Q: Why dispatch hours instead of capacity factor?</w:t>
      </w:r>
    </w:p>
    <w:p>
      <w:r>
        <w:t>A: Peakers run only during peak demand (~400 hours). Using CF × 8,760 would overstate generation by 10x. This is the most common modeling error.</w:t>
      </w:r>
    </w:p>
    <w:p>
      <w:r>
        <w:rPr>
          <w:b/>
        </w:rPr>
        <w:t>Q: What if the peaker never dispatches?</w:t>
      </w:r>
    </w:p>
    <w:p>
      <w:r>
        <w:t>A: Still receive capacity payments (65% of revenue). Energy revenue is upside, not base case. Worst case = capacity-only returns still above hurdle.</w:t>
      </w:r>
    </w:p>
    <w:p>
      <w:r>
        <w:rPr>
          <w:b/>
        </w:rPr>
        <w:t>Q: Why 50% sweep vs 75% for CCGT?</w:t>
      </w:r>
    </w:p>
    <w:p>
      <w:r>
        <w:t>A: Need to retain cash for major maintenance (HGP every 5 years = $4mm). Higher sweep would require external funding for maintenance.</w:t>
      </w:r>
    </w:p>
    <w:p>
      <w:r>
        <w:rPr>
          <w:b/>
        </w:rPr>
        <w:t>Q: How does battery storage affect peakers?</w:t>
      </w:r>
    </w:p>
    <w:p>
      <w:r>
        <w:t>A: 4-hour batteries handle daily peaks. Peakers needed for multi-day events, extreme weather, renewable droughts. Complementary, not substitutive.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