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SUNVAULT</w:t>
      </w:r>
    </w:p>
    <w:p>
      <w:pPr>
        <w:jc w:val="center"/>
      </w:pPr>
      <w:r>
        <w:rPr>
          <w:b/>
        </w:rPr>
        <w:t>INVESTMENT COMMITTEE MEMORANDUM</w:t>
      </w:r>
    </w:p>
    <w:p>
      <w:r>
        <w:t>115 MWac Solar + 50 MW/200 MWh BESS – ERCOT West</w:t>
      </w:r>
    </w:p>
    <w:p/>
    <w:p>
      <w:r>
        <w:rPr>
          <w:b/>
        </w:rPr>
        <w:t xml:space="preserve">RECOMMENDATION: </w:t>
      </w:r>
      <w:r>
        <w:t>Proceed to final bid at $145mm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Downside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</w:rPr>
              <w:t>Upside</w:t>
            </w:r>
          </w:p>
        </w:tc>
      </w:tr>
      <w:tr>
        <w:tc>
          <w:tcPr>
            <w:tcW w:type="dxa" w:w="2160"/>
          </w:tcPr>
          <w:p>
            <w:r>
              <w:t>Entry EV</w:t>
            </w:r>
          </w:p>
        </w:tc>
        <w:tc>
          <w:tcPr>
            <w:tcW w:type="dxa" w:w="2160"/>
          </w:tcPr>
          <w:p>
            <w:r>
              <w:t>$145mm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Entry Multiple</w:t>
            </w:r>
          </w:p>
        </w:tc>
        <w:tc>
          <w:tcPr>
            <w:tcW w:type="dxa" w:w="2160"/>
          </w:tcPr>
          <w:p>
            <w:r>
              <w:t>9.2x Y1 EBITDA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Leverage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Net Equity (post-ITC)</w:t>
            </w:r>
          </w:p>
        </w:tc>
        <w:tc>
          <w:tcPr>
            <w:tcW w:type="dxa" w:w="2160"/>
          </w:tcPr>
          <w:p>
            <w:r>
              <w:t>$55mm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Levered IRR</w:t>
            </w:r>
          </w:p>
        </w:tc>
        <w:tc>
          <w:tcPr>
            <w:tcW w:type="dxa" w:w="2160"/>
          </w:tcPr>
          <w:p>
            <w:r>
              <w:t>17.2%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  <w:tc>
          <w:tcPr>
            <w:tcW w:type="dxa" w:w="2160"/>
          </w:tcPr>
          <w:p>
            <w:r>
              <w:t>20.5%</w:t>
            </w:r>
          </w:p>
        </w:tc>
      </w:tr>
      <w:tr>
        <w:tc>
          <w:tcPr>
            <w:tcW w:type="dxa" w:w="2160"/>
          </w:tcPr>
          <w:p>
            <w:r>
              <w:t>MOIC</w:t>
            </w:r>
          </w:p>
        </w:tc>
        <w:tc>
          <w:tcPr>
            <w:tcW w:type="dxa" w:w="2160"/>
          </w:tcPr>
          <w:p>
            <w:r>
              <w:t>2.35x</w:t>
            </w:r>
          </w:p>
        </w:tc>
        <w:tc>
          <w:tcPr>
            <w:tcW w:type="dxa" w:w="2160"/>
          </w:tcPr>
          <w:p>
            <w:r>
              <w:t>2.05x</w:t>
            </w:r>
          </w:p>
        </w:tc>
        <w:tc>
          <w:tcPr>
            <w:tcW w:type="dxa" w:w="2160"/>
          </w:tcPr>
          <w:p>
            <w:r>
              <w:t>2.65x</w:t>
            </w:r>
          </w:p>
        </w:tc>
      </w:tr>
      <w:tr>
        <w:tc>
          <w:tcPr>
            <w:tcW w:type="dxa" w:w="2160"/>
          </w:tcPr>
          <w:p>
            <w:r>
              <w:t>Min DSCR</w:t>
            </w:r>
          </w:p>
        </w:tc>
        <w:tc>
          <w:tcPr>
            <w:tcW w:type="dxa" w:w="2160"/>
          </w:tcPr>
          <w:p>
            <w:r>
              <w:t>1.35x</w:t>
            </w:r>
          </w:p>
        </w:tc>
        <w:tc>
          <w:tcPr>
            <w:tcW w:type="dxa" w:w="2160"/>
          </w:tcPr>
          <w:p>
            <w:r>
              <w:t>1.28x</w:t>
            </w:r>
          </w:p>
        </w:tc>
        <w:tc>
          <w:tcPr>
            <w:tcW w:type="dxa" w:w="2160"/>
          </w:tcPr>
          <w:p>
            <w:r>
              <w:t>1.42x</w:t>
            </w:r>
          </w:p>
        </w:tc>
      </w:tr>
    </w:tbl>
    <w:p/>
    <w:p>
      <w:pPr>
        <w:pStyle w:val="Heading2"/>
      </w:pPr>
      <w:r>
        <w:t>INVESTMENT THESIS</w:t>
      </w:r>
    </w:p>
    <w:p>
      <w:r>
        <w:t>• 10-year investment-grade PPA provides contracted revenue certainty, supporting sculpted debt structure</w:t>
      </w:r>
    </w:p>
    <w:p>
      <w:r>
        <w:t>• 30% ITC reduces equity requirement by $43.5mm, significantly enhancing returns</w:t>
      </w:r>
    </w:p>
    <w:p>
      <w:r>
        <w:t>• BESS provides additional revenue streams (arbitrage, ancillary) with limited incremental risk</w:t>
      </w:r>
    </w:p>
    <w:p>
      <w:r>
        <w:t>• Exit to yield-oriented infrastructure buyer at premium multiple (8.0x vs 6.5x for thermal)</w:t>
      </w:r>
    </w:p>
    <w:p/>
    <w:p>
      <w:pPr>
        <w:pStyle w:val="Heading2"/>
      </w:pPr>
      <w:r>
        <w:t>KEY RISKS &amp; MITIGANTS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</w:rPr>
              <w:t>Mitigant</w:t>
            </w:r>
          </w:p>
        </w:tc>
      </w:tr>
      <w:tr>
        <w:tc>
          <w:tcPr>
            <w:tcW w:type="dxa" w:w="2880"/>
          </w:tcPr>
          <w:p>
            <w:r>
              <w:t>Degradation exceeds forecast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Panel warranty covers 80% output at Y25; 0.5%/yr is conservative</w:t>
            </w:r>
          </w:p>
        </w:tc>
      </w:tr>
      <w:tr>
        <w:tc>
          <w:tcPr>
            <w:tcW w:type="dxa" w:w="2880"/>
          </w:tcPr>
          <w:p>
            <w:r>
              <w:t>BESS revenue volatility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BESS = 20% of revenue; PPA provides floor</w:t>
            </w:r>
          </w:p>
        </w:tc>
      </w:tr>
      <w:tr>
        <w:tc>
          <w:tcPr>
            <w:tcW w:type="dxa" w:w="2880"/>
          </w:tcPr>
          <w:p>
            <w:r>
              <w:t>Offtaker credit risk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Investment-grade utility; standard security package</w:t>
            </w:r>
          </w:p>
        </w:tc>
      </w:tr>
      <w:tr>
        <w:tc>
          <w:tcPr>
            <w:tcW w:type="dxa" w:w="2880"/>
          </w:tcPr>
          <w:p>
            <w:r>
              <w:t>ITC recapture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5-year recapture period; no change of control planned</w:t>
            </w:r>
          </w:p>
        </w:tc>
      </w:tr>
    </w:tbl>
    <w:p/>
    <w:p>
      <w:pPr>
        <w:pStyle w:val="Heading2"/>
      </w:pPr>
      <w:r>
        <w:t>ANTICIPATED IC Q&amp;A</w:t>
      </w:r>
    </w:p>
    <w:p>
      <w:r>
        <w:rPr>
          <w:b/>
        </w:rPr>
        <w:t>Q: Why sculpted debt instead of sweep?</w:t>
      </w:r>
    </w:p>
    <w:p>
      <w:r>
        <w:t>A: Contracted PPA provides predictable CFADS. Sculpting efficiently sizes debt service to maintain target DSCR, maximizing debt capacity.</w:t>
      </w:r>
    </w:p>
    <w:p>
      <w:r>
        <w:rPr>
          <w:b/>
        </w:rPr>
        <w:t>Q: How does ITC flow through S&amp;U?</w:t>
      </w:r>
    </w:p>
    <w:p>
      <w:r>
        <w:t>A: ITC is a "source" offsetting equity. Pre-ITC Equity ($98mm) - ITC ($43.5mm) = Net Equity ($55mm). You write a $55mm check, not $98mm.</w:t>
      </w:r>
    </w:p>
    <w:p>
      <w:r>
        <w:rPr>
          <w:b/>
        </w:rPr>
        <w:t>Q: What happens to BESS revenue if volatility drops?</w:t>
      </w:r>
    </w:p>
    <w:p>
      <w:r>
        <w:t>A: Arbitrage revenue declines but ancillary services (frequency regulation) remain stable. PPA revenue is 80% of total – BESS is upside.</w:t>
      </w:r>
    </w:p>
    <w:p>
      <w:r>
        <w:rPr>
          <w:b/>
        </w:rPr>
        <w:t>Q: Why Y7 augmentation capex?</w:t>
      </w:r>
    </w:p>
    <w:p>
      <w:r>
        <w:t>A: Battery capacity degrades 2-3% annually. Y7 augmentation ($5mm) restores capacity to maintain contracted services. Factor into CFADS.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