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CORRIDOR</w:t>
      </w:r>
    </w:p>
    <w:p>
      <w:pPr>
        <w:jc w:val="center"/>
      </w:pPr>
      <w:r>
        <w:rPr>
          <w:b/>
        </w:rPr>
        <w:t>INVESTMENT COMMITTEE MEMORANDUM</w:t>
      </w:r>
    </w:p>
    <w:p>
      <w:r>
        <w:t>3,200 MW HVDC Transmission Line – SPP to MISO</w:t>
      </w:r>
    </w:p>
    <w:p/>
    <w:p>
      <w:r>
        <w:rPr>
          <w:b/>
        </w:rPr>
        <w:t xml:space="preserve">RECOMMENDATION: </w:t>
      </w:r>
      <w:r>
        <w:t>Proceed to development at $585mm total investment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Base Case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Downside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Upside</w:t>
            </w:r>
          </w:p>
        </w:tc>
      </w:tr>
      <w:tr>
        <w:tc>
          <w:tcPr>
            <w:tcW w:type="dxa" w:w="2160"/>
          </w:tcPr>
          <w:p>
            <w:r>
              <w:t>RAB at COD</w:t>
            </w:r>
          </w:p>
        </w:tc>
        <w:tc>
          <w:tcPr>
            <w:tcW w:type="dxa" w:w="2160"/>
          </w:tcPr>
          <w:p>
            <w:r>
              <w:t>$608mm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Total Equity</w:t>
            </w:r>
          </w:p>
        </w:tc>
        <w:tc>
          <w:tcPr>
            <w:tcW w:type="dxa" w:w="2160"/>
          </w:tcPr>
          <w:p>
            <w:r>
              <w:t>$265mm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Term Debt % RAB</w:t>
            </w:r>
          </w:p>
        </w:tc>
        <w:tc>
          <w:tcPr>
            <w:tcW w:type="dxa" w:w="2160"/>
          </w:tcPr>
          <w:p>
            <w:r>
              <w:t>60%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Levered IRR</w:t>
            </w:r>
          </w:p>
        </w:tc>
        <w:tc>
          <w:tcPr>
            <w:tcW w:type="dxa" w:w="2160"/>
          </w:tcPr>
          <w:p>
            <w:r>
              <w:t>14.5%</w:t>
            </w:r>
          </w:p>
        </w:tc>
        <w:tc>
          <w:tcPr>
            <w:tcW w:type="dxa" w:w="2160"/>
          </w:tcPr>
          <w:p>
            <w:r>
              <w:t>12.2%</w:t>
            </w:r>
          </w:p>
        </w:tc>
        <w:tc>
          <w:tcPr>
            <w:tcW w:type="dxa" w:w="2160"/>
          </w:tcPr>
          <w:p>
            <w:r>
              <w:t>16.8%</w:t>
            </w:r>
          </w:p>
        </w:tc>
      </w:tr>
      <w:tr>
        <w:tc>
          <w:tcPr>
            <w:tcW w:type="dxa" w:w="2160"/>
          </w:tcPr>
          <w:p>
            <w:r>
              <w:t>MOIC</w:t>
            </w:r>
          </w:p>
        </w:tc>
        <w:tc>
          <w:tcPr>
            <w:tcW w:type="dxa" w:w="2160"/>
          </w:tcPr>
          <w:p>
            <w:r>
              <w:t>2.05x</w:t>
            </w:r>
          </w:p>
        </w:tc>
        <w:tc>
          <w:tcPr>
            <w:tcW w:type="dxa" w:w="2160"/>
          </w:tcPr>
          <w:p>
            <w:r>
              <w:t>1.85x</w:t>
            </w:r>
          </w:p>
        </w:tc>
        <w:tc>
          <w:tcPr>
            <w:tcW w:type="dxa" w:w="2160"/>
          </w:tcPr>
          <w:p>
            <w:r>
              <w:t>2.25x</w:t>
            </w:r>
          </w:p>
        </w:tc>
      </w:tr>
      <w:tr>
        <w:tc>
          <w:tcPr>
            <w:tcW w:type="dxa" w:w="2160"/>
          </w:tcPr>
          <w:p>
            <w:r>
              <w:t>Min DSCR (Y3-Y10)</w:t>
            </w:r>
          </w:p>
        </w:tc>
        <w:tc>
          <w:tcPr>
            <w:tcW w:type="dxa" w:w="2160"/>
          </w:tcPr>
          <w:p>
            <w:r>
              <w:t>1.40x</w:t>
            </w:r>
          </w:p>
        </w:tc>
        <w:tc>
          <w:tcPr>
            <w:tcW w:type="dxa" w:w="2160"/>
          </w:tcPr>
          <w:p>
            <w:r>
              <w:t>1.32x</w:t>
            </w:r>
          </w:p>
        </w:tc>
        <w:tc>
          <w:tcPr>
            <w:tcW w:type="dxa" w:w="2160"/>
          </w:tcPr>
          <w:p>
            <w:r>
              <w:t>1.48x</w:t>
            </w:r>
          </w:p>
        </w:tc>
      </w:tr>
    </w:tbl>
    <w:p/>
    <w:p>
      <w:pPr>
        <w:pStyle w:val="Heading2"/>
      </w:pPr>
      <w:r>
        <w:t>INVESTMENT THESIS</w:t>
      </w:r>
    </w:p>
    <w:p>
      <w:r>
        <w:t>• FERC-approved tariff provides stable, regulated return on 40-year asset life</w:t>
      </w:r>
    </w:p>
    <w:p>
      <w:r>
        <w:t>• Critical infrastructure connecting low-cost wind to high-demand load centers</w:t>
      </w:r>
    </w:p>
    <w:p>
      <w:r>
        <w:t>• Construction interest capitalization into RAB improves economics</w:t>
      </w:r>
    </w:p>
    <w:p>
      <w:r>
        <w:t>• Exit at 1.15x RAB to infrastructure yield vehicles seeking stable returns</w:t>
      </w:r>
    </w:p>
    <w:p/>
    <w:p>
      <w:pPr>
        <w:pStyle w:val="Heading2"/>
      </w:pPr>
      <w:r>
        <w:t>KEY RISKS &amp; MITIGANTS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</w:rPr>
              <w:t>Probability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</w:rPr>
              <w:t>Mitigant</w:t>
            </w:r>
          </w:p>
        </w:tc>
      </w:tr>
      <w:tr>
        <w:tc>
          <w:tcPr>
            <w:tcW w:type="dxa" w:w="2880"/>
          </w:tcPr>
          <w:p>
            <w:r>
              <w:t>Construction delay/overrun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Fixed-price EPC; liquidated damages; contingency budget</w:t>
            </w:r>
          </w:p>
        </w:tc>
      </w:tr>
      <w:tr>
        <w:tc>
          <w:tcPr>
            <w:tcW w:type="dxa" w:w="2880"/>
          </w:tcPr>
          <w:p>
            <w:r>
              <w:t>Regulatory ROE reduction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FERC historically stable; bipartisan transmission support</w:t>
            </w:r>
          </w:p>
        </w:tc>
      </w:tr>
      <w:tr>
        <w:tc>
          <w:tcPr>
            <w:tcW w:type="dxa" w:w="2880"/>
          </w:tcPr>
          <w:p>
            <w:r>
              <w:t>Permitting challenges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Pre-approved route; tribal and environmental clearances secured</w:t>
            </w:r>
          </w:p>
        </w:tc>
      </w:tr>
      <w:tr>
        <w:tc>
          <w:tcPr>
            <w:tcW w:type="dxa" w:w="2880"/>
          </w:tcPr>
          <w:p>
            <w:r>
              <w:t>Counterparty default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Utility offtakers are investment-grade; regulatory backstop</w:t>
            </w:r>
          </w:p>
        </w:tc>
      </w:tr>
    </w:tbl>
    <w:p/>
    <w:p>
      <w:pPr>
        <w:pStyle w:val="Heading2"/>
      </w:pPr>
      <w:r>
        <w:t>ANTICIPATED IC Q&amp;A</w:t>
      </w:r>
    </w:p>
    <w:p>
      <w:r>
        <w:rPr>
          <w:b/>
        </w:rPr>
        <w:t>Q: Why does transmission trade at premium to RAB?</w:t>
      </w:r>
    </w:p>
    <w:p>
      <w:r>
        <w:t>A: Scarcity value – new transmission is hard to permit. 40+ year life with stable regulated returns. Critical infrastructure status. 1.15x is conservative vs recent deals at 1.25x+.</w:t>
      </w:r>
    </w:p>
    <w:p>
      <w:r>
        <w:rPr>
          <w:b/>
        </w:rPr>
        <w:t>Q: Walk me through construction financing.</w:t>
      </w:r>
    </w:p>
    <w:p>
      <w:r>
        <w:t>A: Y0-Y1: Equity funds development ($35mm). Y2: Construction loan (85% × $550mm = $467.5mm) + equity funds construction. Y3 (COD): Refi into term debt (60% × RAB) + equity to repay construction loan.</w:t>
      </w:r>
    </w:p>
    <w:p>
      <w:r>
        <w:rPr>
          <w:b/>
        </w:rPr>
        <w:t>Q: What if construction is delayed?</w:t>
      </w:r>
    </w:p>
    <w:p>
      <w:r>
        <w:t>A: Higher capitalized interest, later revenue start. 6-month delay = ~80bps IRR reduction. Mitigated by fixed-price EPC with liquidated damages.</w:t>
      </w:r>
    </w:p>
    <w:p>
      <w:r>
        <w:rPr>
          <w:b/>
        </w:rPr>
        <w:t>Q: What's the regulatory risk?</w:t>
      </w:r>
    </w:p>
    <w:p>
      <w:r>
        <w:t>A: FERC could reduce allowed ROE. Historically stable at 10-11%. Even at 9%, returns still exceed cost of capital due to 60% leverage.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