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PERMIAN GATHERING</w:t>
      </w:r>
    </w:p>
    <w:p>
      <w:pPr>
        <w:jc w:val="center"/>
      </w:pPr>
      <w:r>
        <w:rPr>
          <w:b/>
        </w:rPr>
        <w:t>INVESTMENT COMMITTEE MEMORANDUM</w:t>
      </w:r>
    </w:p>
    <w:p>
      <w:r>
        <w:t>80 MMcf/d Gas Gathering System – Permian Basin</w:t>
      </w:r>
    </w:p>
    <w:p/>
    <w:p>
      <w:r>
        <w:rPr>
          <w:b/>
        </w:rPr>
        <w:t xml:space="preserve">RECOMMENDATION: </w:t>
      </w:r>
      <w:r>
        <w:t>Proceed to final bid at $85mm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</w:rPr>
              <w:t>Base Case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</w:rPr>
              <w:t>Downside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</w:rPr>
              <w:t>Upside</w:t>
            </w:r>
          </w:p>
        </w:tc>
      </w:tr>
      <w:tr>
        <w:tc>
          <w:tcPr>
            <w:tcW w:type="dxa" w:w="2160"/>
          </w:tcPr>
          <w:p>
            <w:r>
              <w:t>Entry EV</w:t>
            </w:r>
          </w:p>
        </w:tc>
        <w:tc>
          <w:tcPr>
            <w:tcW w:type="dxa" w:w="2160"/>
          </w:tcPr>
          <w:p>
            <w:r>
              <w:t>$85mm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Entry Multiple</w:t>
            </w:r>
          </w:p>
        </w:tc>
        <w:tc>
          <w:tcPr>
            <w:tcW w:type="dxa" w:w="2160"/>
          </w:tcPr>
          <w:p>
            <w:r>
              <w:t>5.8x Y1 EBITDA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Leverage</w:t>
            </w:r>
          </w:p>
        </w:tc>
        <w:tc>
          <w:tcPr>
            <w:tcW w:type="dxa" w:w="2160"/>
          </w:tcPr>
          <w:p>
            <w:r>
              <w:t>30%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Levered IRR</w:t>
            </w:r>
          </w:p>
        </w:tc>
        <w:tc>
          <w:tcPr>
            <w:tcW w:type="dxa" w:w="2160"/>
          </w:tcPr>
          <w:p>
            <w:r>
              <w:t>19.2%</w:t>
            </w:r>
          </w:p>
        </w:tc>
        <w:tc>
          <w:tcPr>
            <w:tcW w:type="dxa" w:w="2160"/>
          </w:tcPr>
          <w:p>
            <w:r>
              <w:t>15.5%</w:t>
            </w:r>
          </w:p>
        </w:tc>
        <w:tc>
          <w:tcPr>
            <w:tcW w:type="dxa" w:w="2160"/>
          </w:tcPr>
          <w:p>
            <w:r>
              <w:t>23.0%</w:t>
            </w:r>
          </w:p>
        </w:tc>
      </w:tr>
      <w:tr>
        <w:tc>
          <w:tcPr>
            <w:tcW w:type="dxa" w:w="2160"/>
          </w:tcPr>
          <w:p>
            <w:r>
              <w:t>MOIC</w:t>
            </w:r>
          </w:p>
        </w:tc>
        <w:tc>
          <w:tcPr>
            <w:tcW w:type="dxa" w:w="2160"/>
          </w:tcPr>
          <w:p>
            <w:r>
              <w:t>2.05x</w:t>
            </w:r>
          </w:p>
        </w:tc>
        <w:tc>
          <w:tcPr>
            <w:tcW w:type="dxa" w:w="2160"/>
          </w:tcPr>
          <w:p>
            <w:r>
              <w:t>1.75x</w:t>
            </w:r>
          </w:p>
        </w:tc>
        <w:tc>
          <w:tcPr>
            <w:tcW w:type="dxa" w:w="2160"/>
          </w:tcPr>
          <w:p>
            <w:r>
              <w:t>2.35x</w:t>
            </w:r>
          </w:p>
        </w:tc>
      </w:tr>
      <w:tr>
        <w:tc>
          <w:tcPr>
            <w:tcW w:type="dxa" w:w="2160"/>
          </w:tcPr>
          <w:p>
            <w:r>
              <w:t>Min DSCR (Y1-Y5)</w:t>
            </w:r>
          </w:p>
        </w:tc>
        <w:tc>
          <w:tcPr>
            <w:tcW w:type="dxa" w:w="2160"/>
          </w:tcPr>
          <w:p>
            <w:r>
              <w:t>1.65x</w:t>
            </w:r>
          </w:p>
        </w:tc>
        <w:tc>
          <w:tcPr>
            <w:tcW w:type="dxa" w:w="2160"/>
          </w:tcPr>
          <w:p>
            <w:r>
              <w:t>1.45x</w:t>
            </w:r>
          </w:p>
        </w:tc>
        <w:tc>
          <w:tcPr>
            <w:tcW w:type="dxa" w:w="2160"/>
          </w:tcPr>
          <w:p>
            <w:r>
              <w:t>1.85x</w:t>
            </w:r>
          </w:p>
        </w:tc>
      </w:tr>
    </w:tbl>
    <w:p/>
    <w:p>
      <w:pPr>
        <w:pStyle w:val="Heading2"/>
      </w:pPr>
      <w:r>
        <w:t>INVESTMENT THESIS</w:t>
      </w:r>
    </w:p>
    <w:p>
      <w:r>
        <w:t>• Fee-for-service model eliminates commodity price exposure – paid to move gas, not sell it</w:t>
      </w:r>
    </w:p>
    <w:p>
      <w:r>
        <w:t>• Active drilling program supports 3%/year volume growth through Y5</w:t>
      </w:r>
    </w:p>
    <w:p>
      <w:r>
        <w:t>• Aggressive 75% sweep with 5-year tenor ensures debt payoff before decline phase</w:t>
      </w:r>
    </w:p>
    <w:p>
      <w:r>
        <w:t>• Exit to producer seeking vertical integration or larger midstream for basin consolidation</w:t>
      </w:r>
    </w:p>
    <w:p/>
    <w:p>
      <w:pPr>
        <w:pStyle w:val="Heading2"/>
      </w:pPr>
      <w:r>
        <w:t>KEY RISKS &amp; MITIGANTS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</w:rPr>
              <w:t>Probability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</w:rPr>
              <w:t>Mitigant</w:t>
            </w:r>
          </w:p>
        </w:tc>
      </w:tr>
      <w:tr>
        <w:tc>
          <w:tcPr>
            <w:tcW w:type="dxa" w:w="2880"/>
          </w:tcPr>
          <w:p>
            <w:r>
              <w:t>Producer curtails drilling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Acreage dedication provides volume floor; producer needs gatherer to monetize</w:t>
            </w:r>
          </w:p>
        </w:tc>
      </w:tr>
      <w:tr>
        <w:tc>
          <w:tcPr>
            <w:tcW w:type="dxa" w:w="2880"/>
          </w:tcPr>
          <w:p>
            <w:r>
              <w:t>Volume decline steeper than forecast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5%/year decline is conservative for Permian; exit at Y7 before steep decline</w:t>
            </w:r>
          </w:p>
        </w:tc>
      </w:tr>
      <w:tr>
        <w:tc>
          <w:tcPr>
            <w:tcW w:type="dxa" w:w="2880"/>
          </w:tcPr>
          <w:p>
            <w:r>
              <w:t>Single counterparty concentration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Producer is well-capitalized; consider credit support</w:t>
            </w:r>
          </w:p>
        </w:tc>
      </w:tr>
      <w:tr>
        <w:tc>
          <w:tcPr>
            <w:tcW w:type="dxa" w:w="2880"/>
          </w:tcPr>
          <w:p>
            <w:r>
              <w:t>Basin differentials widen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Fee-based, not commodity-based; producer bears basis risk</w:t>
            </w:r>
          </w:p>
        </w:tc>
      </w:tr>
    </w:tbl>
    <w:p/>
    <w:p>
      <w:pPr>
        <w:pStyle w:val="Heading2"/>
      </w:pPr>
      <w:r>
        <w:t>ANTICIPATED IC Q&amp;A</w:t>
      </w:r>
    </w:p>
    <w:p>
      <w:r>
        <w:rPr>
          <w:b/>
        </w:rPr>
        <w:t>Q: Why the growth-then-decline profile?</w:t>
      </w:r>
    </w:p>
    <w:p>
      <w:r>
        <w:t>A: Y1-Y5: Active drilling connects new wells (3%/year growth). Y6+: Drilling slows, existing wells deplete naturally (5%/year decline). Must structure debt to pay off before decline.</w:t>
      </w:r>
    </w:p>
    <w:p>
      <w:r>
        <w:rPr>
          <w:b/>
        </w:rPr>
        <w:t>Q: Why 5-year tenor vs 7 years?</w:t>
      </w:r>
    </w:p>
    <w:p>
      <w:r>
        <w:t>A: Debt must be repaid during growth phase when CFADS is strong. Cannot service debt with declining cash flows. Short tenor + aggressive sweep = de-risked debt.</w:t>
      </w:r>
    </w:p>
    <w:p>
      <w:r>
        <w:rPr>
          <w:b/>
        </w:rPr>
        <w:t>Q: What's the commodity exposure?</w:t>
      </w:r>
    </w:p>
    <w:p>
      <w:r>
        <w:t>A: Direct: None – fee-for-service. Indirect: Low gas prices → less drilling → lower volumes. Mitigated by acreage dedication and producer economics (breakeven $2.50/mmBtu).</w:t>
      </w:r>
    </w:p>
    <w:p>
      <w:r>
        <w:rPr>
          <w:b/>
        </w:rPr>
        <w:t>Q: Why compressed 6.5x exit multiple?</w:t>
      </w:r>
    </w:p>
    <w:p>
      <w:r>
        <w:t>A: Declining asset commands lower multiple than stable/growing. At exit (Y7), asset has 3-4 years of decline remaining. Buyer pricing reflects PDP-like valuation.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