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Insert your report date here</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or VAMAS (ISO 14976), and a complete experiment can be turned into a PDF report, a PowerPoint deck, a hand-over ZIP, or a self-contained offline HTML browser for a customer or collaborator.</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bl>
    <w:p/>
    <w:p>
      <w:r>
        <w:t>Files are recognised by their content, not only by their file extension, so a renamed file still opens correctly. Every format that can be opened can also be exported to CSV or VAMAS,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workbook, save, export, save plot image.</w:t>
            </w:r>
          </w:p>
        </w:tc>
      </w:tr>
      <w:tr>
        <w:tc>
          <w:tcPr>
            <w:tcW w:type="dxa" w:w="1701"/>
          </w:tcPr>
          <w:p>
            <w:r>
              <w:t>Analyse</w:t>
            </w:r>
          </w:p>
        </w:tc>
        <w:tc>
          <w:tcPr>
            <w:tcW w:type="dxa" w:w="7710"/>
          </w:tcPr>
          <w:p>
            <w:r>
              <w:t>Calibrate, identify peaks, ISS/REELS, sputter settings, SnapMap, rename, notes.</w:t>
            </w:r>
          </w:p>
        </w:tc>
      </w:tr>
      <w:tr>
        <w:tc>
          <w:tcPr>
            <w:tcW w:type="dxa" w:w="1701"/>
          </w:tcPr>
          <w:p>
            <w:r>
              <w:t>Report</w:t>
            </w:r>
          </w:p>
        </w:tc>
        <w:tc>
          <w:tcPr>
            <w:tcW w:type="dxa" w:w="7710"/>
          </w:tcPr>
          <w:p>
            <w:r>
              <w:t>Details, figures, report PDF, slides,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you are asked which to import (.avg is pre-selected). Tick “Remember my choice” to stop being asked; File → “Ask about .avg / .vgd duplicates again” brings the question back.</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or Heatmap (intensity as colour, with a colour bar).</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and the Stage map</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9.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10.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w:t>
      </w:r>
    </w:p>
    <w:p>
      <w:pPr>
        <w:pStyle w:val="Heading2"/>
      </w:pPr>
      <w:r>
        <w:t>Identify peaks</w:t>
      </w:r>
    </w:p>
    <w:p>
      <w:r>
        <w:t>Tools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11.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12.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13. The Report generator dialog: sections, order and options.</w:t>
      </w:r>
    </w:p>
    <w:p/>
    <w:p>
      <w:pPr>
        <w:jc w:val="center"/>
      </w:pPr>
      <w:r>
        <w:drawing>
          <wp:inline xmlns:a="http://schemas.openxmlformats.org/drawingml/2006/main" xmlns:pic="http://schemas.openxmlformats.org/drawingml/2006/picture">
            <wp:extent cx="5976000" cy="149294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5976000" cy="1492946"/>
                    </a:xfrm>
                    <a:prstGeom prst="rect"/>
                  </pic:spPr>
                </pic:pic>
              </a:graphicData>
            </a:graphic>
          </wp:inline>
        </w:drawing>
      </w:r>
    </w:p>
    <w:p>
      <w:pPr>
        <w:jc w:val="center"/>
      </w:pPr>
      <w:r>
        <w:rPr>
          <w:i/>
          <w:sz w:val="20"/>
        </w:rPr>
        <w:t>Figure 14. A sample cover page design.</w:t>
      </w:r>
    </w:p>
    <w:p/>
    <w:p>
      <w:r>
        <w:br w:type="page"/>
      </w:r>
    </w:p>
    <w:p>
      <w:pPr>
        <w:pStyle w:val="Heading1"/>
      </w:pPr>
      <w:r>
        <w:t>14. The PDF report and PowerPoint deck</w:t>
      </w:r>
    </w:p>
    <w:p>
      <w:r>
        <w:t>Contents lists every section with its real page (or slide) number; the PDF also gets bookmarks. Slides get a divider slide before a long section, and every slide is numbered “n of N”.</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unless you switch it on. Each sample can be ticked separately in the Report generator.</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15.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16.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17.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18.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Tougaard backgrounds, are computed exactly. Other shapes (LA, LF and some Tougaard variants) are reconstructions, checked against real CasaXPS fits to within a few percent of peak height; where a shape cannot be reproduced, the components are drawn without an envelope and the status bar says so. The fit itself is read-only — fit your data in CasaXPS, then review it here.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19.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20.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21.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22.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