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C3E50"/>
          <w:sz w:val="80"/>
        </w:rPr>
        <w:t>eXPoSe SpectraDeck</w:t>
      </w:r>
    </w:p>
    <w:p>
      <w:pPr>
        <w:jc w:val="center"/>
      </w:pPr>
      <w:r>
        <w:rPr>
          <w:color w:val="808080"/>
          <w:sz w:val="40"/>
        </w:rPr>
        <w:t>User Manual</w:t>
      </w:r>
    </w:p>
    <w:p/>
    <w:p>
      <w:pPr>
        <w:jc w:val="center"/>
      </w:pPr>
      <w:r>
        <w:rPr>
          <w:color w:val="808080"/>
          <w:sz w:val="22"/>
        </w:rPr>
        <w:t>Covers version 1.0  ·  Insert your report date here</w:t>
      </w:r>
    </w:p>
    <w:p/>
    <w:p/>
    <w:tbl>
      <w:tblPr>
        <w:tblStyle w:val="TableGrid"/>
        <w:tblW w:type="auto" w:w="0"/>
        <w:tblLayout w:type="fixed"/>
        <w:tblLook w:firstColumn="1" w:firstRow="1" w:lastColumn="0" w:lastRow="0" w:noHBand="0" w:noVBand="1" w:val="04A0"/>
      </w:tblPr>
      <w:tblGrid>
        <w:gridCol w:w="9412"/>
      </w:tblGrid>
      <w:tr>
        <w:trPr>
          <w:trHeight w:hRule="atLeast" w:val="3969"/>
        </w:trPr>
        <w:tc>
          <w:tcPr>
            <w:tcW w:type="dxa" w:w="9411"/>
            <w:shd w:val="clear" w:color="auto" w:fill="F2F2F2"/>
          </w:tcPr>
          <w:p>
            <w:pPr>
              <w:jc w:val="center"/>
            </w:pPr>
            <w:r>
              <w:rPr>
                <w:i/>
                <w:color w:val="808080"/>
              </w:rPr>
              <w:t>[ Insert your logo or a hero screenshot of the application here ]</w:t>
            </w:r>
          </w:p>
        </w:tc>
      </w:tr>
    </w:tbl>
    <w:p>
      <w:r>
        <w:br w:type="page"/>
      </w:r>
    </w:p>
    <w:p>
      <w:r>
        <w:rPr>
          <w:b/>
          <w:color w:val="2C3E50"/>
          <w:sz w:val="48"/>
        </w:rPr>
        <w:t>Table of Contents</w:t>
      </w:r>
    </w:p>
    <w:p/>
    <w:p>
      <w:r>
        <w:fldChar w:fldCharType="begin"/>
        <w:instrText xml:space="preserve">TOC \o "1-2" \h \z \u</w:instrText>
        <w:fldChar w:fldCharType="separate"/>
        <w:t>Right-click here and choose “Update Field” (or press F9) to build the table of contents.</w:t>
        <w:fldChar w:fldCharType="end"/>
      </w:r>
    </w:p>
    <w:p>
      <w:r>
        <w:br w:type="page"/>
      </w:r>
    </w:p>
    <w:p>
      <w:pPr>
        <w:pStyle w:val="Heading1"/>
      </w:pPr>
      <w:r>
        <w:t>1. Introduction</w:t>
      </w:r>
    </w:p>
    <w:p>
      <w:r>
        <w:t>eXPoSe SpectraDeck is a desktop application for browsing, plotting and exporting X-ray Photoelectron Spectroscopy (XPS) data from a wide range of instruments and file formats. Open one or several files at once, tick the spectra you want to see, and they are plotted immediately — spectra of the same core level are stacked with a vertical offset on a shared panel, so they are easy to compare. Metadata, camera images and a stage map sit alongside the plot; spectra can be exported to CSV or VAMAS (ISO 14976), and a complete experiment can be turned into a PDF report, a PowerPoint deck, a hand-over ZIP, or a self-contained offline HTML browser for a customer or collaborator.</w:t>
      </w:r>
    </w:p>
    <w:p>
      <w:pPr>
        <w:pStyle w:val="Heading2"/>
      </w:pPr>
      <w:r>
        <w:t>Supported file formats</w:t>
      </w:r>
    </w:p>
    <w:tbl>
      <w:tblPr>
        <w:tblStyle w:val="TableGrid"/>
        <w:tblW w:type="auto" w:w="0"/>
        <w:tblLayout w:type="fixed"/>
        <w:tblLook w:firstColumn="1" w:firstRow="1" w:lastColumn="0" w:lastRow="0" w:noHBand="0" w:noVBand="1" w:val="04A0"/>
      </w:tblPr>
      <w:tblGrid>
        <w:gridCol w:w="3137"/>
        <w:gridCol w:w="3137"/>
        <w:gridCol w:w="3137"/>
      </w:tblGrid>
      <w:tr>
        <w:tc>
          <w:tcPr>
            <w:tcW w:type="dxa" w:w="2268"/>
            <w:shd w:val="clear" w:color="auto" w:fill="2C3E50"/>
          </w:tcPr>
          <w:p>
            <w:r/>
            <w:r>
              <w:rPr>
                <w:b/>
                <w:color w:val="FFFFFF"/>
              </w:rPr>
              <w:t>Format</w:t>
            </w:r>
          </w:p>
        </w:tc>
        <w:tc>
          <w:tcPr>
            <w:tcW w:type="dxa" w:w="1814"/>
            <w:shd w:val="clear" w:color="auto" w:fill="2C3E50"/>
          </w:tcPr>
          <w:p>
            <w:r/>
            <w:r>
              <w:rPr>
                <w:b/>
                <w:color w:val="FFFFFF"/>
              </w:rPr>
              <w:t>Extension</w:t>
            </w:r>
          </w:p>
        </w:tc>
        <w:tc>
          <w:tcPr>
            <w:tcW w:type="dxa" w:w="5329"/>
            <w:shd w:val="clear" w:color="auto" w:fill="2C3E50"/>
          </w:tcPr>
          <w:p>
            <w:r/>
            <w:r>
              <w:rPr>
                <w:b/>
                <w:color w:val="FFFFFF"/>
              </w:rPr>
              <w:t>Notes</w:t>
            </w:r>
          </w:p>
        </w:tc>
      </w:tr>
      <w:tr>
        <w:tc>
          <w:tcPr>
            <w:tcW w:type="dxa" w:w="2268"/>
          </w:tcPr>
          <w:p>
            <w:r>
              <w:t>VAMAS (ISO 14976)</w:t>
            </w:r>
          </w:p>
        </w:tc>
        <w:tc>
          <w:tcPr>
            <w:tcW w:type="dxa" w:w="1814"/>
          </w:tcPr>
          <w:p>
            <w:r>
              <w:t>.vms, .vamas</w:t>
            </w:r>
          </w:p>
        </w:tc>
        <w:tc>
          <w:tcPr>
            <w:tcW w:type="dxa" w:w="5329"/>
          </w:tcPr>
          <w:p>
            <w:r>
              <w:t>From any vendor (Kratos/CasaXPS, PHI, SPECS, Thermo, ...). Handles NORM/MAP/SDPSV modes, regular and irregular scans, and vendor comment blocks.</w:t>
            </w:r>
          </w:p>
        </w:tc>
      </w:tr>
      <w:tr>
        <w:tc>
          <w:tcPr>
            <w:tcW w:type="dxa" w:w="2268"/>
          </w:tcPr>
          <w:p>
            <w:r>
              <w:t>Thermo Avantage text dump</w:t>
            </w:r>
          </w:p>
        </w:tc>
        <w:tc>
          <w:tcPr>
            <w:tcW w:type="dxa" w:w="1814"/>
          </w:tcPr>
          <w:p>
            <w:r>
              <w:t>.avg (.avx text dump)</w:t>
            </w:r>
          </w:p>
        </w:tc>
        <w:tc>
          <w:tcPr>
            <w:tcW w:type="dxa" w:w="5329"/>
          </w:tcPr>
          <w:p>
            <w:r>
              <w:t>Multi-position scans give one region per position; a SnapMap loads as its summed spectrum; camera images become pictures, not spectra.</w:t>
            </w:r>
          </w:p>
        </w:tc>
      </w:tr>
      <w:tr>
        <w:tc>
          <w:tcPr>
            <w:tcW w:type="dxa" w:w="2268"/>
          </w:tcPr>
          <w:p>
            <w:r>
              <w:t>Thermo Avantage binary</w:t>
            </w:r>
          </w:p>
        </w:tc>
        <w:tc>
          <w:tcPr>
            <w:tcW w:type="dxa" w:w="1814"/>
          </w:tcPr>
          <w:p>
            <w:r>
              <w:t>.vgd (.avx binary)</w:t>
            </w:r>
          </w:p>
        </w:tc>
        <w:tc>
          <w:tcPr>
            <w:tcW w:type="dxa" w:w="5329"/>
          </w:tcPr>
          <w:p>
            <w:r>
              <w:t>Reverse-engineered container; matches the .avg of the same data exactly.</w:t>
            </w:r>
          </w:p>
        </w:tc>
      </w:tr>
      <w:tr>
        <w:tc>
          <w:tcPr>
            <w:tcW w:type="dxa" w:w="2268"/>
          </w:tcPr>
          <w:p>
            <w:r>
              <w:t>Thermo Avantage experiment</w:t>
            </w:r>
          </w:p>
        </w:tc>
        <w:tc>
          <w:tcPr>
            <w:tcW w:type="dxa" w:w="1814"/>
          </w:tcPr>
          <w:p>
            <w:r>
              <w:t>a folder, or .VGX</w:t>
            </w:r>
          </w:p>
        </w:tc>
        <w:tc>
          <w:tcPr>
            <w:tcW w:type="dxa" w:w="5329"/>
          </w:tcPr>
          <w:p>
            <w:r>
              <w:t>Opens the whole experiment as one session: samples, analysis points, scans in run order, camera images and SnapMaps (Chapter 22).</w:t>
            </w:r>
          </w:p>
        </w:tc>
      </w:tr>
      <w:tr>
        <w:tc>
          <w:tcPr>
            <w:tcW w:type="dxa" w:w="2268"/>
          </w:tcPr>
          <w:p>
            <w:r>
              <w:t>PHI / ULVAC-PHI MultiPak</w:t>
            </w:r>
          </w:p>
        </w:tc>
        <w:tc>
          <w:tcPr>
            <w:tcW w:type="dxa" w:w="1814"/>
          </w:tcPr>
          <w:p>
            <w:r>
              <w:t>.spe</w:t>
            </w:r>
          </w:p>
        </w:tc>
        <w:tc>
          <w:tcPr>
            <w:tcW w:type="dxa" w:w="5329"/>
          </w:tcPr>
          <w:p>
            <w:r>
              <w:t>Intensities are counts per second, as stored.</w:t>
            </w:r>
          </w:p>
        </w:tc>
      </w:tr>
      <w:tr>
        <w:tc>
          <w:tcPr>
            <w:tcW w:type="dxa" w:w="2268"/>
          </w:tcPr>
          <w:p>
            <w:r>
              <w:t>Scienta Omicron SES</w:t>
            </w:r>
          </w:p>
        </w:tc>
        <w:tc>
          <w:tcPr>
            <w:tcW w:type="dxa" w:w="1814"/>
          </w:tcPr>
          <w:p>
            <w:r>
              <w:t>.txt</w:t>
            </w:r>
          </w:p>
        </w:tc>
        <w:tc>
          <w:tcPr>
            <w:tcW w:type="dxa" w:w="5329"/>
          </w:tcPr>
          <w:p>
            <w:r>
              <w:t>Detector/angle columns are summed to one spectrum.</w:t>
            </w:r>
          </w:p>
        </w:tc>
      </w:tr>
      <w:tr>
        <w:tc>
          <w:tcPr>
            <w:tcW w:type="dxa" w:w="2268"/>
          </w:tcPr>
          <w:p>
            <w:r>
              <w:t>Kratos Vision</w:t>
            </w:r>
          </w:p>
        </w:tc>
        <w:tc>
          <w:tcPr>
            <w:tcW w:type="dxa" w:w="1814"/>
          </w:tcPr>
          <w:p>
            <w:r>
              <w:t>.kal</w:t>
            </w:r>
          </w:p>
        </w:tc>
        <w:tc>
          <w:tcPr>
            <w:tcW w:type="dxa" w:w="5329"/>
          </w:tcPr>
          <w:p>
            <w:r>
              <w:t>Includes the transmission function. Files that do not record the X-ray source stay on a kinetic-energy axis (a warning says so).</w:t>
            </w:r>
          </w:p>
        </w:tc>
      </w:tr>
      <w:tr>
        <w:tc>
          <w:tcPr>
            <w:tcW w:type="dxa" w:w="2268"/>
          </w:tcPr>
          <w:p>
            <w:r>
              <w:t>Kratos ESCApe</w:t>
            </w:r>
          </w:p>
        </w:tc>
        <w:tc>
          <w:tcPr>
            <w:tcW w:type="dxa" w:w="1814"/>
          </w:tcPr>
          <w:p>
            <w:r>
              <w:t>.experiment</w:t>
            </w:r>
          </w:p>
        </w:tc>
        <w:tc>
          <w:tcPr>
            <w:tcW w:type="dxa" w:w="5329"/>
          </w:tcPr>
          <w:p>
            <w:r>
              <w:t>Undocumented binary container; best-effort reverse engineering.</w:t>
            </w:r>
          </w:p>
        </w:tc>
      </w:tr>
    </w:tbl>
    <w:p/>
    <w:p>
      <w:r>
        <w:t>Files are recognised by their content, not only by their file extension, so a renamed file still opens correctly. Every format that can be opened can also be exported to CSV or VAMAS, which makes the application a converter between instrument formats (for example, Thermo .avg to VAMAS).</w:t>
      </w:r>
    </w:p>
    <w:p>
      <w:r>
        <w:t>Binding energy is calculated as photon energy minus kinetic energy (BE = hν − KE) whenever the photon energy is known, and is not charge-corrected until you apply a calibration (Chapter 11).</w:t>
      </w:r>
    </w:p>
    <w:p>
      <w:r>
        <w:br w:type="page"/>
      </w:r>
    </w:p>
    <w:p>
      <w:pPr>
        <w:pStyle w:val="Heading1"/>
      </w:pPr>
      <w:r>
        <w:t>2. Installation and quick start</w:t>
      </w:r>
    </w:p>
    <w:p>
      <w:pPr>
        <w:pStyle w:val="Heading2"/>
      </w:pPr>
      <w:r>
        <w:t>Windows</w:t>
      </w:r>
    </w:p>
    <w:p>
      <w:pPr>
        <w:pStyle w:val="ListBullet"/>
      </w:pPr>
      <w:r>
        <w:t>Install Python 3.8 or later from python.org and tick “Add python.exe to PATH” during setup.</w:t>
      </w:r>
    </w:p>
    <w:p>
      <w:pPr>
        <w:pStyle w:val="ListBullet"/>
      </w:pPr>
      <w:r>
        <w:t>Double-click run.bat.</w:t>
      </w:r>
    </w:p>
    <w:p>
      <w:pPr>
        <w:pStyle w:val="Heading2"/>
      </w:pPr>
      <w:r>
        <w:t>macOS / Linux</w:t>
      </w:r>
    </w:p>
    <w:p>
      <w:r>
        <w:t>In a terminal, in the application folder:</w:t>
      </w:r>
    </w:p>
    <w:p>
      <w:pPr>
        <w:pStyle w:val="ListBullet"/>
      </w:pPr>
      <w:r>
        <w:t>chmod +x run.sh   (first time only)</w:t>
      </w:r>
    </w:p>
    <w:p>
      <w:pPr>
        <w:pStyle w:val="ListBullet"/>
      </w:pPr>
      <w:r>
        <w:t>./run.sh</w:t>
      </w:r>
    </w:p>
    <w:p>
      <w:r>
        <w:t>On the first launch the application builds an isolated environment in ./.venv and installs the required packages (an internet connection is needed once). Later launches start immediately, and nothing is installed into your system Python. The launcher re-installs automatically if its requirements change.</w:t>
      </w:r>
    </w:p>
    <w:p>
      <w:pPr>
        <w:pStyle w:val="Heading2"/>
      </w:pPr>
      <w:r>
        <w:t>Manual launch</w:t>
      </w:r>
    </w:p>
    <w:p>
      <w:r>
        <w:t>For more control, run the launcher directly: python launch.py (python3 launch.py on macOS/Linux).</w:t>
      </w:r>
    </w:p>
    <w:tbl>
      <w:tblPr>
        <w:tblStyle w:val="TableGrid"/>
        <w:tblW w:type="auto" w:w="0"/>
        <w:tblLayout w:type="fixed"/>
        <w:tblLook w:firstColumn="1" w:firstRow="1" w:lastColumn="0" w:lastRow="0" w:noHBand="0" w:noVBand="1" w:val="04A0"/>
      </w:tblPr>
      <w:tblGrid>
        <w:gridCol w:w="4706"/>
        <w:gridCol w:w="4706"/>
      </w:tblGrid>
      <w:tr>
        <w:tc>
          <w:tcPr>
            <w:tcW w:type="dxa" w:w="1984"/>
            <w:shd w:val="clear" w:color="auto" w:fill="2C3E50"/>
          </w:tcPr>
          <w:p>
            <w:r/>
            <w:r>
              <w:rPr>
                <w:b/>
                <w:color w:val="FFFFFF"/>
              </w:rPr>
              <w:t>Flag</w:t>
            </w:r>
          </w:p>
        </w:tc>
        <w:tc>
          <w:tcPr>
            <w:tcW w:type="dxa" w:w="7427"/>
            <w:shd w:val="clear" w:color="auto" w:fill="2C3E50"/>
          </w:tcPr>
          <w:p>
            <w:r/>
            <w:r>
              <w:rPr>
                <w:b/>
                <w:color w:val="FFFFFF"/>
              </w:rPr>
              <w:t>Effect</w:t>
            </w:r>
          </w:p>
        </w:tc>
      </w:tr>
      <w:tr>
        <w:tc>
          <w:tcPr>
            <w:tcW w:type="dxa" w:w="1984"/>
          </w:tcPr>
          <w:p>
            <w:r>
              <w:t>(no flag)</w:t>
            </w:r>
          </w:p>
        </w:tc>
        <w:tc>
          <w:tcPr>
            <w:tcW w:type="dxa" w:w="7427"/>
          </w:tcPr>
          <w:p>
            <w:r>
              <w:t>Create the environment if needed, then start the application.</w:t>
            </w:r>
          </w:p>
        </w:tc>
      </w:tr>
      <w:tr>
        <w:tc>
          <w:tcPr>
            <w:tcW w:type="dxa" w:w="1984"/>
          </w:tcPr>
          <w:p>
            <w:r>
              <w:t>--setup-only</w:t>
            </w:r>
          </w:p>
        </w:tc>
        <w:tc>
          <w:tcPr>
            <w:tcW w:type="dxa" w:w="7427"/>
          </w:tcPr>
          <w:p>
            <w:r>
              <w:t>Build the environment but do not start the application.</w:t>
            </w:r>
          </w:p>
        </w:tc>
      </w:tr>
      <w:tr>
        <w:tc>
          <w:tcPr>
            <w:tcW w:type="dxa" w:w="1984"/>
          </w:tcPr>
          <w:p>
            <w:r>
              <w:t>--reinstall</w:t>
            </w:r>
          </w:p>
        </w:tc>
        <w:tc>
          <w:tcPr>
            <w:tcW w:type="dxa" w:w="7427"/>
          </w:tcPr>
          <w:p>
            <w:r>
              <w:t>Rebuild the environment from scratch.</w:t>
            </w:r>
          </w:p>
        </w:tc>
      </w:tr>
      <w:tr>
        <w:tc>
          <w:tcPr>
            <w:tcW w:type="dxa" w:w="1984"/>
          </w:tcPr>
          <w:p>
            <w:r>
              <w:t>--check</w:t>
            </w:r>
          </w:p>
        </w:tc>
        <w:tc>
          <w:tcPr>
            <w:tcW w:type="dxa" w:w="7427"/>
          </w:tcPr>
          <w:p>
            <w:r>
              <w:t>Report environment/tkinter/application-file status and exit.</w:t>
            </w:r>
          </w:p>
        </w:tc>
      </w:tr>
    </w:tbl>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splash screen shown while the application starts. ]</w:t>
            </w:r>
          </w:p>
          <w:p/>
        </w:tc>
      </w:tr>
    </w:tbl>
    <w:p>
      <w:pPr>
        <w:jc w:val="center"/>
      </w:pPr>
      <w:r>
        <w:rPr>
          <w:i/>
          <w:sz w:val="20"/>
        </w:rPr>
        <w:t>Figure 1. The splash screen shown while the application starts.</w:t>
      </w:r>
    </w:p>
    <w:p/>
    <w:p>
      <w:r>
        <w:br w:type="page"/>
      </w:r>
    </w:p>
    <w:p>
      <w:pPr>
        <w:pStyle w:val="Heading1"/>
      </w:pPr>
      <w:r>
        <w:t>3. The workspace window</w:t>
      </w:r>
    </w:p>
    <w:p>
      <w:r>
        <w:t>eXPoSe SpectraDeck is a single window: a file tree on the left, a large plot in the middle, and an information column on the right (a Details panel above an Images / Stage map notebook). Drag any splitter to resize; sizes are remembered between sessions.</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workspace window: file tree, plot area and information column. ]</w:t>
            </w:r>
          </w:p>
          <w:p/>
        </w:tc>
      </w:tr>
    </w:tbl>
    <w:p>
      <w:pPr>
        <w:jc w:val="center"/>
      </w:pPr>
      <w:r>
        <w:rPr>
          <w:i/>
          <w:sz w:val="20"/>
        </w:rPr>
        <w:t>Figure 2. The workspace window: file tree, plot area and information column.</w:t>
      </w:r>
    </w:p>
    <w:p/>
    <w:p>
      <w:pPr>
        <w:pStyle w:val="Heading2"/>
      </w:pPr>
      <w:r>
        <w:t>The ribbon</w:t>
      </w:r>
    </w:p>
    <w:tbl>
      <w:tblPr>
        <w:tblStyle w:val="TableGrid"/>
        <w:tblW w:type="auto" w:w="0"/>
        <w:tblLayout w:type="fixed"/>
        <w:tblLook w:firstColumn="1" w:firstRow="1" w:lastColumn="0" w:lastRow="0" w:noHBand="0" w:noVBand="1" w:val="04A0"/>
      </w:tblPr>
      <w:tblGrid>
        <w:gridCol w:w="4706"/>
        <w:gridCol w:w="4706"/>
      </w:tblGrid>
      <w:tr>
        <w:tc>
          <w:tcPr>
            <w:tcW w:type="dxa" w:w="1701"/>
            <w:shd w:val="clear" w:color="auto" w:fill="2C3E50"/>
          </w:tcPr>
          <w:p>
            <w:r/>
            <w:r>
              <w:rPr>
                <w:b/>
                <w:color w:val="FFFFFF"/>
              </w:rPr>
              <w:t>Tab</w:t>
            </w:r>
          </w:p>
        </w:tc>
        <w:tc>
          <w:tcPr>
            <w:tcW w:type="dxa" w:w="7710"/>
            <w:shd w:val="clear" w:color="auto" w:fill="2C3E50"/>
          </w:tcPr>
          <w:p>
            <w:r/>
            <w:r>
              <w:rPr>
                <w:b/>
                <w:color w:val="FFFFFF"/>
              </w:rPr>
              <w:t>Contains</w:t>
            </w:r>
          </w:p>
        </w:tc>
      </w:tr>
      <w:tr>
        <w:tc>
          <w:tcPr>
            <w:tcW w:type="dxa" w:w="1701"/>
          </w:tcPr>
          <w:p>
            <w:r>
              <w:t>Home</w:t>
            </w:r>
          </w:p>
        </w:tc>
        <w:tc>
          <w:tcPr>
            <w:tcW w:type="dxa" w:w="7710"/>
          </w:tcPr>
          <w:p>
            <w:r>
              <w:t>Open, workbook, save, export, save plot image.</w:t>
            </w:r>
          </w:p>
        </w:tc>
      </w:tr>
      <w:tr>
        <w:tc>
          <w:tcPr>
            <w:tcW w:type="dxa" w:w="1701"/>
          </w:tcPr>
          <w:p>
            <w:r>
              <w:t>Analyse</w:t>
            </w:r>
          </w:p>
        </w:tc>
        <w:tc>
          <w:tcPr>
            <w:tcW w:type="dxa" w:w="7710"/>
          </w:tcPr>
          <w:p>
            <w:r>
              <w:t>Calibrate, identify peaks, ISS/REELS, sputter settings, SnapMap, rename, notes.</w:t>
            </w:r>
          </w:p>
        </w:tc>
      </w:tr>
      <w:tr>
        <w:tc>
          <w:tcPr>
            <w:tcW w:type="dxa" w:w="1701"/>
          </w:tcPr>
          <w:p>
            <w:r>
              <w:t>Report</w:t>
            </w:r>
          </w:p>
        </w:tc>
        <w:tc>
          <w:tcPr>
            <w:tcW w:type="dxa" w:w="7710"/>
          </w:tcPr>
          <w:p>
            <w:r>
              <w:t>Details, figures, report PDF, slides, hand-over ZIP, HTML browser, PDF previews.</w:t>
            </w:r>
          </w:p>
        </w:tc>
      </w:tr>
      <w:tr>
        <w:tc>
          <w:tcPr>
            <w:tcW w:type="dxa" w:w="1701"/>
          </w:tcPr>
          <w:p>
            <w:r>
              <w:t>View</w:t>
            </w:r>
          </w:p>
        </w:tc>
        <w:tc>
          <w:tcPr>
            <w:tcW w:type="dxa" w:w="7710"/>
          </w:tcPr>
          <w:p>
            <w:r>
              <w:t>Theme, plot style, side panels, focus mode, expand/collapse, untick all.</w:t>
            </w:r>
          </w:p>
        </w:tc>
      </w:tr>
    </w:tbl>
    <w:p/>
    <w:p>
      <w:r>
        <w:t>Every ribbon button is a shortcut for a menu command — the menu bar still holds everything — and buttons that need spectra are dimmed until a file is open. Double-click a tab, or use the arrow at the right, to fold the ribbon down to just the tab row and give the plot the height back; the chosen tab and fold state are remembered.</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tabbed ribbon: Home, Analyse, Report and View. ]</w:t>
            </w:r>
          </w:p>
          <w:p/>
        </w:tc>
      </w:tr>
    </w:tbl>
    <w:p>
      <w:pPr>
        <w:jc w:val="center"/>
      </w:pPr>
      <w:r>
        <w:rPr>
          <w:i/>
          <w:sz w:val="20"/>
        </w:rPr>
        <w:t>Figure 3. The tabbed ribbon: Home, Analyse, Report and View.</w:t>
      </w:r>
    </w:p>
    <w:p/>
    <w:p>
      <w:pPr>
        <w:pStyle w:val="Heading2"/>
      </w:pPr>
      <w:r>
        <w:t>Splash and About</w:t>
      </w:r>
    </w:p>
    <w:p>
      <w:r>
        <w:t>A splash screen shows while the program starts; click it, or press Esc, to close it early. Help → About shows the version, a link to the project page, the libraries in use, and a Copy version info button for bug reports.</w:t>
      </w:r>
    </w:p>
    <w:p>
      <w:r>
        <w:br w:type="page"/>
      </w:r>
    </w:p>
    <w:p>
      <w:pPr>
        <w:pStyle w:val="Heading1"/>
      </w:pPr>
      <w:r>
        <w:t>4. Opening and organising files</w:t>
      </w:r>
    </w:p>
    <w:p>
      <w:r>
        <w:t>Use Open → Spectra files… to load several files of any supported format, or Open → Folder… to load every recognised file in a folder. Each file becomes a top-level node in the tree. A folder from a Thermo Avantage experiment, or its .VGX file, opens as one experiment instead (see Chapter 22).</w:t>
      </w:r>
    </w:p>
    <w:p>
      <w:r>
        <w:t>If a selection or folder holds the same dataset as both .avg and .vgd, you are asked which to import (.avg is pre-selected). Tick “Remember my choice” to stop being asked; File → “Ask about .avg / .vgd duplicates again” brings the question back.</w:t>
      </w:r>
    </w:p>
    <w:p>
      <w:r>
        <w:t>Every node that holds spectra has a tick box — click it, or press Space. Ticking a sample, region folder or whole file ticks everything beneath it; a partly-ticked parent shows a bar. Filter narrows the tree without losing your ticks. Right-click a row to tick or untick a whole subtree, export from there down, or remove a file.</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file tree with several spectra ticked and their colour swatches. ]</w:t>
            </w:r>
          </w:p>
          <w:p/>
        </w:tc>
      </w:tr>
    </w:tbl>
    <w:p>
      <w:pPr>
        <w:jc w:val="center"/>
      </w:pPr>
      <w:r>
        <w:rPr>
          <w:i/>
          <w:sz w:val="20"/>
        </w:rPr>
        <w:t>Figure 4. The file tree with several spectra ticked and their colour swatches.</w:t>
      </w:r>
    </w:p>
    <w:p/>
    <w:p>
      <w:r>
        <w:br w:type="page"/>
      </w:r>
    </w:p>
    <w:p>
      <w:pPr>
        <w:pStyle w:val="Heading1"/>
      </w:pPr>
      <w:r>
        <w:t>5. Plotting spectra</w:t>
      </w:r>
    </w:p>
    <w:p>
      <w:r>
        <w:t>Ticked spectra are plotted at once, and the tree is the legend. Spectra sharing an element name (every C 1s, across samples and files) are drawn on one panel, stacked with a vertical offset; other elements get their own panels. A ticked box in the tree is a swatch in the trace's colour: one colour per file when several files are loaded, otherwise one per sample, and a fading ramp of one hue for long stacks such as depth profiles. Stacked panels have no y-axis ticks — a scale bar gives the intensity scale, and each trace is labelled at its right-hand end. The selected spectrum is drawn heavier than the rest.</w:t>
      </w:r>
    </w:p>
    <w:p>
      <w:pPr>
        <w:pStyle w:val="Heading2"/>
      </w:pPr>
      <w:r>
        <w:t>View controls</w:t>
      </w:r>
    </w:p>
    <w:tbl>
      <w:tblPr>
        <w:tblStyle w:val="TableGrid"/>
        <w:tblW w:type="auto" w:w="0"/>
        <w:tblLayout w:type="fixed"/>
        <w:tblLook w:firstColumn="1" w:firstRow="1" w:lastColumn="0" w:lastRow="0" w:noHBand="0" w:noVBand="1" w:val="04A0"/>
      </w:tblPr>
      <w:tblGrid>
        <w:gridCol w:w="4706"/>
        <w:gridCol w:w="4706"/>
      </w:tblGrid>
      <w:tr>
        <w:tc>
          <w:tcPr>
            <w:tcW w:type="dxa" w:w="1701"/>
            <w:shd w:val="clear" w:color="auto" w:fill="2C3E50"/>
          </w:tcPr>
          <w:p>
            <w:r/>
            <w:r>
              <w:rPr>
                <w:b/>
                <w:color w:val="FFFFFF"/>
              </w:rPr>
              <w:t>Control</w:t>
            </w:r>
          </w:p>
        </w:tc>
        <w:tc>
          <w:tcPr>
            <w:tcW w:type="dxa" w:w="7710"/>
            <w:shd w:val="clear" w:color="auto" w:fill="2C3E50"/>
          </w:tcPr>
          <w:p>
            <w:r/>
            <w:r>
              <w:rPr>
                <w:b/>
                <w:color w:val="FFFFFF"/>
              </w:rPr>
              <w:t>What it does</w:t>
            </w:r>
          </w:p>
        </w:tc>
      </w:tr>
      <w:tr>
        <w:tc>
          <w:tcPr>
            <w:tcW w:type="dxa" w:w="1701"/>
          </w:tcPr>
          <w:p>
            <w:r>
              <w:t>Group by</w:t>
            </w:r>
          </w:p>
        </w:tc>
        <w:tc>
          <w:tcPr>
            <w:tcW w:type="dxa" w:w="7710"/>
          </w:tcPr>
          <w:p>
            <w:r>
              <w:t>Element name; Energy range (spectra whose ranges overlap by at least half share a panel); or Element, per sample / per file.</w:t>
            </w:r>
          </w:p>
        </w:tc>
      </w:tr>
      <w:tr>
        <w:tc>
          <w:tcPr>
            <w:tcW w:type="dxa" w:w="1701"/>
          </w:tcPr>
          <w:p>
            <w:r>
              <w:t>Normalise</w:t>
            </w:r>
          </w:p>
        </w:tc>
        <w:tc>
          <w:tcPr>
            <w:tcW w:type="dxa" w:w="7710"/>
          </w:tcPr>
          <w:p>
            <w:r>
              <w:t>None; Max = 1; Area = 1; or At cursor — click a panel to set an energy, and every spectrum in it is scaled to match there.</w:t>
            </w:r>
          </w:p>
        </w:tc>
      </w:tr>
      <w:tr>
        <w:tc>
          <w:tcPr>
            <w:tcW w:type="dxa" w:w="1701"/>
          </w:tcPr>
          <w:p>
            <w:r>
              <w:t>Offset</w:t>
            </w:r>
          </w:p>
        </w:tc>
        <w:tc>
          <w:tcPr>
            <w:tcW w:type="dxa" w:w="7710"/>
          </w:tcPr>
          <w:p>
            <w:r>
              <w:t>The gap between stacked traces (0 overlays them). Reverse stack flips the order.</w:t>
            </w:r>
          </w:p>
        </w:tc>
      </w:tr>
      <w:tr>
        <w:tc>
          <w:tcPr>
            <w:tcW w:type="dxa" w:w="1701"/>
          </w:tcPr>
          <w:p>
            <w:r>
              <w:t>View</w:t>
            </w:r>
          </w:p>
        </w:tc>
        <w:tc>
          <w:tcPr>
            <w:tcW w:type="dxa" w:w="7710"/>
          </w:tcPr>
          <w:p>
            <w:r>
              <w:t>Stack (the default); Waterfall 3D (a rotatable 3-D plot); or Heatmap (intensity as colour, with a colour bar).</w:t>
            </w:r>
          </w:p>
        </w:tc>
      </w:tr>
      <w:tr>
        <w:tc>
          <w:tcPr>
            <w:tcW w:type="dxa" w:w="1701"/>
          </w:tcPr>
          <w:p>
            <w:r>
              <w:t>Z axis</w:t>
            </w:r>
          </w:p>
        </w:tc>
        <w:tc>
          <w:tcPr>
            <w:tcW w:type="dxa" w:w="7710"/>
          </w:tcPr>
          <w:p>
            <w:r>
              <w:t>What the trace axis shows in a waterfall or heatmap: Auto (etch time, else etch level, else acquisition time, else trace order), or pick one.</w:t>
            </w:r>
          </w:p>
        </w:tc>
      </w:tr>
      <w:tr>
        <w:tc>
          <w:tcPr>
            <w:tcW w:type="dxa" w:w="1701"/>
          </w:tcPr>
          <w:p>
            <w:r>
              <w:t>Colour</w:t>
            </w:r>
          </w:p>
        </w:tc>
        <w:tc>
          <w:tcPr>
            <w:tcW w:type="dxa" w:w="7710"/>
          </w:tcPr>
          <w:p>
            <w:r>
              <w:t>Theme default, or a named scale (Viridis, Plasma, Magma, …) applied to the heatmap and spread across a stack's traces; Reverse flips it.</w:t>
            </w:r>
          </w:p>
        </w:tc>
      </w:tr>
      <w:tr>
        <w:tc>
          <w:tcPr>
            <w:tcW w:type="dxa" w:w="1701"/>
          </w:tcPr>
          <w:p>
            <w:r>
              <w:t>Axes</w:t>
            </w:r>
          </w:p>
        </w:tc>
        <w:tc>
          <w:tcPr>
            <w:tcW w:type="dxa" w:w="7710"/>
          </w:tcPr>
          <w:p>
            <w:r>
              <w:t>Colour of the axis lines, ticks and labels: Theme default, Black, White, or a colour you choose.</w:t>
            </w:r>
          </w:p>
        </w:tc>
      </w:tr>
      <w:tr>
        <w:tc>
          <w:tcPr>
            <w:tcW w:type="dxa" w:w="1701"/>
          </w:tcPr>
          <w:p>
            <w:r>
              <w:t>Energy</w:t>
            </w:r>
          </w:p>
        </w:tc>
        <w:tc>
          <w:tcPr>
            <w:tcW w:type="dxa" w:w="7710"/>
          </w:tcPr>
          <w:p>
            <w:r>
              <w:t>Binding or Kinetic (KE = hν − BE, when the photon energy is known); KE top axis mirrors binding energy along the top as kinetic energy.</w:t>
            </w:r>
          </w:p>
        </w:tc>
      </w:tr>
    </w:tbl>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A stack view: several spectra of one core level, offset vertically. ]</w:t>
            </w:r>
          </w:p>
          <w:p/>
        </w:tc>
      </w:tr>
    </w:tbl>
    <w:p>
      <w:pPr>
        <w:jc w:val="center"/>
      </w:pPr>
      <w:r>
        <w:rPr>
          <w:i/>
          <w:sz w:val="20"/>
        </w:rPr>
        <w:t>Figure 5. A stack view: several spectra of one core level, offset vertically.</w:t>
      </w:r>
    </w:p>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A Waterfall 3D view of a depth profile. ]</w:t>
            </w:r>
          </w:p>
          <w:p/>
        </w:tc>
      </w:tr>
    </w:tbl>
    <w:p>
      <w:pPr>
        <w:jc w:val="center"/>
      </w:pPr>
      <w:r>
        <w:rPr>
          <w:i/>
          <w:sz w:val="20"/>
        </w:rPr>
        <w:t>Figure 6. A Waterfall 3D view of a depth profile.</w:t>
      </w:r>
    </w:p>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A Heatmap view of a depth profile, with its colour bar. ]</w:t>
            </w:r>
          </w:p>
          <w:p/>
        </w:tc>
      </w:tr>
    </w:tbl>
    <w:p>
      <w:pPr>
        <w:jc w:val="center"/>
      </w:pPr>
      <w:r>
        <w:rPr>
          <w:i/>
          <w:sz w:val="20"/>
        </w:rPr>
        <w:t>Figure 7. A Heatmap view of a depth profile, with its colour bar.</w:t>
      </w:r>
    </w:p>
    <w:p/>
    <w:p>
      <w:r>
        <w:br w:type="page"/>
      </w:r>
    </w:p>
    <w:p>
      <w:pPr>
        <w:pStyle w:val="Heading1"/>
      </w:pPr>
      <w:r>
        <w:t>6. Paging, scrolling and playback</w:t>
      </w:r>
    </w:p>
    <w:p>
      <w:r>
        <w:t>Panels per page chooses how many panels are shown at once (Auto, 1, 2, 4, 6, 9, 12 or 16); scroll between pages with the mouse wheel, the scrollbar beside the plot, Page Up / Page Down, Home / End, or the Prev / Next buttons.</w:t>
      </w:r>
    </w:p>
    <w:p>
      <w:r>
        <w:t>Traces per panel is either All or a fixed number. For a long stack (say a 200-level depth profile) each panel then shows a window of that many traces; slide the window with Shift + mouse wheel or the Traces slider under the plot.</w:t>
      </w:r>
    </w:p>
    <w:p>
      <w:r>
        <w:t>The ▶ Play button, or the ◀ / → keys, step through the traces in view — set Traces to 1 to step through a depth profile one level at a time.</w:t>
      </w:r>
    </w:p>
    <w:p>
      <w:r>
        <w:br w:type="page"/>
      </w:r>
    </w:p>
    <w:p>
      <w:pPr>
        <w:pStyle w:val="Heading1"/>
      </w:pPr>
      <w:r>
        <w:t>7. Selecting a spectrum: Details, Images and the Stage map</w:t>
      </w:r>
    </w:p>
    <w:p>
      <w:r>
        <w:t>Ticking a row plots it; selecting a row (rather than ticking it) fills the Details panel with the sample, acquisition and region information (all of it copyable), and the Images / Stage map tabs, which only appear when the loaded files carry images or stage positions.</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Details panel for a selected spectrum. ]</w:t>
            </w:r>
          </w:p>
          <w:p/>
        </w:tc>
      </w:tr>
    </w:tbl>
    <w:p>
      <w:pPr>
        <w:jc w:val="center"/>
      </w:pPr>
      <w:r>
        <w:rPr>
          <w:i/>
          <w:sz w:val="20"/>
        </w:rPr>
        <w:t>Figure 8. The Details panel for a selected spectrum.</w:t>
      </w:r>
    </w:p>
    <w:p/>
    <w:p>
      <w:r>
        <w:t>Selecting several rows at once (or a whole sample or file) tidies Details: a setting that is the same for all of them, such as photon energy or lens mode, is stated once; settings that differ are grouped by value. The metadata PDF (Chapter 14) does the same for each sample.</w:t>
      </w:r>
    </w:p>
    <w:p>
      <w:pPr>
        <w:pStyle w:val="Heading2"/>
      </w:pPr>
      <w:r>
        <w:t>Holder photo calibration</w:t>
      </w:r>
    </w:p>
    <w:p>
      <w:r>
        <w:t>Overlaying analysis positions on a photo needs a one-time Calibrate… step. The calibration panel works live: tick Flip X / Flip Y, nudge the markers with the arrow keys, rotate or spread them, or type exact values (image centre in millimetres, millimetres per pixel, rotation) and watch the markers move onto the samples. The calibration is saved in the workbook, and the last one used seeds new workbooks. Markers carry a halo so their names stay readable over any photo; click a marker, on the photo or on the Stage map, to select that sample in the tree.</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calibration panel, with markers placed on the sample photo. ]</w:t>
            </w:r>
          </w:p>
          <w:p/>
        </w:tc>
      </w:tr>
    </w:tbl>
    <w:p>
      <w:pPr>
        <w:jc w:val="center"/>
      </w:pPr>
      <w:r>
        <w:rPr>
          <w:i/>
          <w:sz w:val="20"/>
        </w:rPr>
        <w:t>Figure 9. The calibration panel, with markers placed on the sample photo.</w:t>
      </w:r>
    </w:p>
    <w:p/>
    <w:p>
      <w:r>
        <w:br w:type="page"/>
      </w:r>
    </w:p>
    <w:p>
      <w:pPr>
        <w:pStyle w:val="Heading1"/>
      </w:pPr>
      <w:r>
        <w:t>8. Colour themes and layout</w:t>
      </w:r>
    </w:p>
    <w:p>
      <w:r>
        <w:t>Six colour themes are built in: Light (the default), Dark (the plot sits recessed below the chrome, like an instrument screen), Midnight, Solarized Light, High contrast, and System (the native operating-system look). Change the theme from the Theme box or View → Colour theme; your choice is remembered. Every theme has its own colour-blind-safe data palette and meets WCAG AA text contrast. PDFs always print on white.</w:t>
      </w:r>
    </w:p>
    <w:p>
      <w:r>
        <w:t>The Files and Details buttons in the toolbar show or hide the side panels, and Focus (F11) hides both so the plot fills the window. Hover any control for a short explanation.</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same experiment shown in the Light and Dark themes. ]</w:t>
            </w:r>
          </w:p>
          <w:p/>
        </w:tc>
      </w:tr>
    </w:tbl>
    <w:p>
      <w:pPr>
        <w:jc w:val="center"/>
      </w:pPr>
      <w:r>
        <w:rPr>
          <w:i/>
          <w:sz w:val="20"/>
        </w:rPr>
        <w:t>Figure 10. The same experiment shown in the Light and Dark themes.</w:t>
      </w:r>
    </w:p>
    <w:p/>
    <w:p>
      <w:r>
        <w:br w:type="page"/>
      </w:r>
    </w:p>
    <w:p>
      <w:pPr>
        <w:pStyle w:val="Heading1"/>
      </w:pPr>
      <w:r>
        <w:t>9. PDF preview and saving plot images</w:t>
      </w:r>
    </w:p>
    <w:p>
      <w:r>
        <w:t>Preview spectra and Preview metadata show the PDF inside the application, with page navigation, zoom, Save as…, and Open in viewer. The spectra preview lets you change panels per page, portrait or landscape orientation, and whether to use only the traces currently in view; Save as… writes exactly what you see. Without PyMuPDF installed, the PDF opens in your default viewer instead.</w:t>
      </w:r>
    </w:p>
    <w:p>
      <w:r>
        <w:t>Save plot image… writes the current view as PNG, SVG or PDF, at any size and resolution.</w:t>
      </w:r>
    </w:p>
    <w:p>
      <w:r>
        <w:br w:type="page"/>
      </w:r>
    </w:p>
    <w:p>
      <w:pPr>
        <w:pStyle w:val="Heading1"/>
      </w:pPr>
      <w:r>
        <w:t>10. Exporting spectra</w:t>
      </w:r>
    </w:p>
    <w:p>
      <w:r>
        <w:t>Export → Ticked spectra to CSV / VAMAS writes exactly what is currently ticked. Export → Regions and levels… opens a dialog (pre-set to your ticks) for picking individual regions or depth-profile levels. VAMAS output is CasaXPS-compatible: a kinetic-energy abscissa with Intensity and the spectrometer's Transmission function as a corresponding variable (toggle it off in the dialog if you do not want it).</w:t>
      </w:r>
    </w:p>
    <w:p>
      <w:r>
        <w:t>Export → Metadata to CSV / PDF saves the per-sample acquisition metadata; with several files open, select a row belonging to the file you want first.</w:t>
      </w:r>
    </w:p>
    <w:p>
      <w:r>
        <w:br w:type="page"/>
      </w:r>
    </w:p>
    <w:p>
      <w:pPr>
        <w:pStyle w:val="Heading1"/>
      </w:pPr>
      <w:r>
        <w:t>11. Editing, calibration and element labels</w:t>
      </w:r>
    </w:p>
    <w:p>
      <w:r>
        <w:t>Nothing in this chapter changes the instrument files: your edits are stored beside the data, in the workbook, and applied when you plot, export or build a report.</w:t>
      </w:r>
    </w:p>
    <w:p>
      <w:pPr>
        <w:pStyle w:val="Heading2"/>
      </w:pPr>
      <w:r>
        <w:t>Rename and notes</w:t>
      </w:r>
    </w:p>
    <w:p>
      <w:r>
        <w:t>Press F2, or right-click a sample or region, to give it a display name; the original name is always kept and shown in Details. Notes… adds free text to a sample or region.</w:t>
      </w:r>
    </w:p>
    <w:p>
      <w:pPr>
        <w:pStyle w:val="Heading2"/>
      </w:pPr>
      <w:r>
        <w:t>Edit metadata</w:t>
      </w:r>
    </w:p>
    <w:p>
      <w:r>
        <w:t>Double-click a value in Details (or right-click it for Edit value, Add field, or Reset) to change it. Edited values carry a pencil mark and flow into the PDF, PowerPoint and CSV exports.</w:t>
      </w:r>
    </w:p>
    <w:p>
      <w:pPr>
        <w:pStyle w:val="Heading2"/>
      </w:pPr>
      <w:r>
        <w:t>Calibrate binding energy</w:t>
      </w:r>
    </w:p>
    <w:p>
      <w:r>
        <w:t>Tools → Calibrate binding energy…: pick a reference spectrum, find the peak (or click it on the plot), choose the reference (C 1s 284.8 eV, Au 4f7/2 83.95 eV, Ag, Cu, a Fermi edge, or your own value), and apply the shift to a region, a sample, or a whole file. Plots, CSV and VAMAS exports use the shifted energies (VAMAS carries the shift through the source energy, so kinetic energies are unchanged), and the report gets a calibration statement automatically.</w:t>
      </w:r>
    </w:p>
    <w:p>
      <w:pPr>
        <w:pStyle w:val="Heading2"/>
      </w:pPr>
      <w:r>
        <w:t>Identify peaks</w:t>
      </w:r>
    </w:p>
    <w:p>
      <w:r>
        <w:t>Tools → Identify peaks…: click a survey peak to list candidate element lines, add the one you want as a marker, or use Auto-label to label every peak at once. Markers follow binding-energy calibrations and the kinetic-energy axis. Line positions are approximate typical values — chemical shifts of a few eV are normal.</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Identify peaks dialog, with candidate element lines listed. ]</w:t>
            </w:r>
          </w:p>
          <w:p/>
        </w:tc>
      </w:tr>
    </w:tbl>
    <w:p>
      <w:pPr>
        <w:jc w:val="center"/>
      </w:pPr>
      <w:r>
        <w:rPr>
          <w:i/>
          <w:sz w:val="20"/>
        </w:rPr>
        <w:t>Figure 11. The Identify peaks dialog, with candidate element lines listed.</w:t>
      </w:r>
    </w:p>
    <w:p/>
    <w:p>
      <w:pPr>
        <w:pStyle w:val="Heading2"/>
      </w:pPr>
      <w:r>
        <w:t>Cursor read-out and other comforts</w:t>
      </w:r>
    </w:p>
    <w:p>
      <w:r>
        <w:t>The status bar always shows the binding energy, kinetic energy and intensity under the pointer. Other comforts: File → Open recent, drag files or folders onto the window, a progress box with Cancel when loading many files, and the play/step controls from Chapter 6.</w:t>
      </w:r>
    </w:p>
    <w:p>
      <w:r>
        <w:br w:type="page"/>
      </w:r>
    </w:p>
    <w:p>
      <w:pPr>
        <w:pStyle w:val="Heading1"/>
      </w:pPr>
      <w:r>
        <w:t>12. Experiment workbooks (.xpscontainer)</w:t>
      </w:r>
    </w:p>
    <w:p>
      <w:r>
        <w:t>The Workbook menu saves everything about an experiment in one file that you can reopen at any time (or double-click, or pass on the command line). A workbook holds:</w:t>
      </w:r>
    </w:p>
    <w:p>
      <w:pPr>
        <w:pStyle w:val="ListBullet"/>
      </w:pPr>
      <w:r>
        <w:t>The original data files, byte-for-byte, with SHA-256 hashes as provenance; files are re-read on opening, so reader improvements apply to old workbooks.</w:t>
      </w:r>
    </w:p>
    <w:p>
      <w:pPr>
        <w:pStyle w:val="ListBullet"/>
      </w:pPr>
      <w:r>
        <w:t>The look: what is ticked, the view, grouping, normalisation, energy scale, colour scale, axis colour, panels/traces and any “At cursor” energies.</w:t>
      </w:r>
    </w:p>
    <w:p>
      <w:pPr>
        <w:pStyle w:val="ListBullet"/>
      </w:pPr>
      <w:r>
        <w:t>Details and notes — title, customer, reference, operator, date, a free-text summary and a letterhead logo.</w:t>
      </w:r>
    </w:p>
    <w:p>
      <w:pPr>
        <w:pStyle w:val="ListBullet"/>
      </w:pPr>
      <w:r>
        <w:t>Figures — any number of named looks with captions.</w:t>
      </w:r>
    </w:p>
    <w:p>
      <w:pPr>
        <w:pStyle w:val="ListBullet"/>
      </w:pPr>
      <w:r>
        <w:t>A snapshot of the acquisition metadata and a preview image.</w:t>
      </w:r>
    </w:p>
    <w:p>
      <w:r>
        <w:t>Save with Ctrl+S; the title bar shows an asterisk for unsaved changes, and closing the application asks whether to save. The file is a ZIP archive of JSON and the original files, so it can be inspected with any zip tool and never runs code.</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Workbook Details dialog. ]</w:t>
            </w:r>
          </w:p>
          <w:p/>
        </w:tc>
      </w:tr>
    </w:tbl>
    <w:p>
      <w:pPr>
        <w:jc w:val="center"/>
      </w:pPr>
      <w:r>
        <w:rPr>
          <w:i/>
          <w:sz w:val="20"/>
        </w:rPr>
        <w:t>Figure 12. The Workbook Details dialog.</w:t>
      </w:r>
    </w:p>
    <w:p/>
    <w:p>
      <w:r>
        <w:t>Metadata layout: settings that are the same for every region (photon energy, lens mode, …) are stated once at the top, settings constant within a sample sit on that sample's line, and the rest is a compact scan table. A depth profile collapses to one row (e.g. “levels 0–60, etch 0–1800 s, 30 s steps”) only where that reproduces every level exactly; otherwise a per-level table is used.</w:t>
      </w:r>
    </w:p>
    <w:p>
      <w:r>
        <w:br w:type="page"/>
      </w:r>
    </w:p>
    <w:p>
      <w:pPr>
        <w:pStyle w:val="Heading1"/>
      </w:pPr>
      <w:r>
        <w:t>13. The Report generator</w:t>
      </w:r>
    </w:p>
    <w:p>
      <w:r>
        <w:t>Workbook → Report generator… (or Report ▸ Generator on the ribbon) is where you say what a report contains and in what order. The same choice is used for the PDF report, the PowerPoint deck, the previews and the hand-over package; it is remembered and saved with the workbook.</w:t>
      </w:r>
    </w:p>
    <w:tbl>
      <w:tblPr>
        <w:tblStyle w:val="TableGrid"/>
        <w:tblW w:type="auto" w:w="0"/>
        <w:tblLayout w:type="fixed"/>
        <w:tblLook w:firstColumn="1" w:firstRow="1" w:lastColumn="0" w:lastRow="0" w:noHBand="0" w:noVBand="1" w:val="04A0"/>
      </w:tblPr>
      <w:tblGrid>
        <w:gridCol w:w="4706"/>
        <w:gridCol w:w="4706"/>
      </w:tblGrid>
      <w:tr>
        <w:tc>
          <w:tcPr>
            <w:tcW w:type="dxa" w:w="2381"/>
            <w:shd w:val="clear" w:color="auto" w:fill="2C3E50"/>
          </w:tcPr>
          <w:p>
            <w:r/>
            <w:r>
              <w:rPr>
                <w:b/>
                <w:color w:val="FFFFFF"/>
              </w:rPr>
              <w:t>Section</w:t>
            </w:r>
          </w:p>
        </w:tc>
        <w:tc>
          <w:tcPr>
            <w:tcW w:type="dxa" w:w="7030"/>
            <w:shd w:val="clear" w:color="auto" w:fill="2C3E50"/>
          </w:tcPr>
          <w:p>
            <w:r/>
            <w:r>
              <w:rPr>
                <w:b/>
                <w:color w:val="FFFFFF"/>
              </w:rPr>
              <w:t>Contents</w:t>
            </w:r>
          </w:p>
        </w:tc>
      </w:tr>
      <w:tr>
        <w:tc>
          <w:tcPr>
            <w:tcW w:type="dxa" w:w="2381"/>
          </w:tcPr>
          <w:p>
            <w:r>
              <w:t>Cover page</w:t>
            </w:r>
          </w:p>
        </w:tc>
        <w:tc>
          <w:tcPr>
            <w:tcW w:type="dxa" w:w="7030"/>
          </w:tcPr>
          <w:p>
            <w:r>
              <w:t>Logo, title, customer, reference, operator, date, and a cover picture.</w:t>
            </w:r>
          </w:p>
        </w:tc>
      </w:tr>
      <w:tr>
        <w:tc>
          <w:tcPr>
            <w:tcW w:type="dxa" w:w="2381"/>
          </w:tcPr>
          <w:p>
            <w:r>
              <w:t>Contents</w:t>
            </w:r>
          </w:p>
        </w:tc>
        <w:tc>
          <w:tcPr>
            <w:tcW w:type="dxa" w:w="7030"/>
          </w:tcPr>
          <w:p>
            <w:r>
              <w:t>The sections and their real page (slide) numbers; the PDF also gets bookmarks.</w:t>
            </w:r>
          </w:p>
        </w:tc>
      </w:tr>
      <w:tr>
        <w:tc>
          <w:tcPr>
            <w:tcW w:type="dxa" w:w="2381"/>
          </w:tcPr>
          <w:p>
            <w:r>
              <w:t>Summary</w:t>
            </w:r>
          </w:p>
        </w:tc>
        <w:tc>
          <w:tcPr>
            <w:tcW w:type="dxa" w:w="7030"/>
          </w:tcPr>
          <w:p>
            <w:r>
              <w:t>A short written overview of the experiment.</w:t>
            </w:r>
          </w:p>
        </w:tc>
      </w:tr>
      <w:tr>
        <w:tc>
          <w:tcPr>
            <w:tcW w:type="dxa" w:w="2381"/>
          </w:tcPr>
          <w:p>
            <w:r>
              <w:t>Quantification</w:t>
            </w:r>
          </w:p>
        </w:tc>
        <w:tc>
          <w:tcPr>
            <w:tcW w:type="dxa" w:w="7030"/>
          </w:tcPr>
          <w:p>
            <w:r>
              <w:t>Atomic percent from CasaXPS fits, by sample and by depth level.</w:t>
            </w:r>
          </w:p>
        </w:tc>
      </w:tr>
      <w:tr>
        <w:tc>
          <w:tcPr>
            <w:tcW w:type="dxa" w:w="2381"/>
          </w:tcPr>
          <w:p>
            <w:r>
              <w:t>Figures</w:t>
            </w:r>
          </w:p>
        </w:tc>
        <w:tc>
          <w:tcPr>
            <w:tcW w:type="dxa" w:w="7030"/>
          </w:tcPr>
          <w:p>
            <w:r>
              <w:t>One page (slide) per saved figure, drawn with its caption.</w:t>
            </w:r>
          </w:p>
        </w:tc>
      </w:tr>
      <w:tr>
        <w:tc>
          <w:tcPr>
            <w:tcW w:type="dxa" w:w="2381"/>
          </w:tcPr>
          <w:p>
            <w:r>
              <w:t>Camera pictures and SnapMaps</w:t>
            </w:r>
          </w:p>
        </w:tc>
        <w:tc>
          <w:tcPr>
            <w:tcW w:type="dxa" w:w="7030"/>
          </w:tcPr>
          <w:p>
            <w:r>
              <w:t>Sample-view photos, mosaics and element-map pages.</w:t>
            </w:r>
          </w:p>
        </w:tc>
      </w:tr>
      <w:tr>
        <w:tc>
          <w:tcPr>
            <w:tcW w:type="dxa" w:w="2381"/>
          </w:tcPr>
          <w:p>
            <w:r>
              <w:t>Methods</w:t>
            </w:r>
          </w:p>
        </w:tc>
        <w:tc>
          <w:tcPr>
            <w:tcW w:type="dxa" w:w="7030"/>
          </w:tcPr>
          <w:p>
            <w:r>
              <w:t>The automatically written methods paragraph.</w:t>
            </w:r>
          </w:p>
        </w:tc>
      </w:tr>
      <w:tr>
        <w:tc>
          <w:tcPr>
            <w:tcW w:type="dxa" w:w="2381"/>
          </w:tcPr>
          <w:p>
            <w:r>
              <w:t>Energy calibration</w:t>
            </w:r>
          </w:p>
        </w:tc>
        <w:tc>
          <w:tcPr>
            <w:tcW w:type="dxa" w:w="7030"/>
          </w:tcPr>
          <w:p>
            <w:r>
              <w:t>The binding-energy calibration statement.</w:t>
            </w:r>
          </w:p>
        </w:tc>
      </w:tr>
      <w:tr>
        <w:tc>
          <w:tcPr>
            <w:tcW w:type="dxa" w:w="2381"/>
          </w:tcPr>
          <w:p>
            <w:r>
              <w:t>Acquisition metadata</w:t>
            </w:r>
          </w:p>
        </w:tc>
        <w:tc>
          <w:tcPr>
            <w:tcW w:type="dxa" w:w="7030"/>
          </w:tcPr>
          <w:p>
            <w:r>
              <w:t>The tidied acquisition settings of every file.</w:t>
            </w:r>
          </w:p>
        </w:tc>
      </w:tr>
      <w:tr>
        <w:tc>
          <w:tcPr>
            <w:tcW w:type="dxa" w:w="2381"/>
          </w:tcPr>
          <w:p>
            <w:r>
              <w:t>Data files</w:t>
            </w:r>
          </w:p>
        </w:tc>
        <w:tc>
          <w:tcPr>
            <w:tcW w:type="dxa" w:w="7030"/>
          </w:tcPr>
          <w:p>
            <w:r>
              <w:t>A checksummed list of the original files (the audit trail).</w:t>
            </w:r>
          </w:p>
        </w:tc>
      </w:tr>
    </w:tbl>
    <w:p/>
    <w:p>
      <w:pPr>
        <w:pStyle w:val="Heading2"/>
      </w:pPr>
      <w:r>
        <w:t>The cover</w:t>
      </w:r>
    </w:p>
    <w:p>
      <w:r>
        <w:t>The Cover tab offers five designs drawn from one accent colour (spectrum ribbon, band, minimal, your own data, peak map), a picture of your own (or one dropped into assets/covers/), or no picture, in one of six accent colours or a colour you choose. Presets never change the cover.</w:t>
      </w:r>
    </w:p>
    <w:p>
      <w:pPr>
        <w:pStyle w:val="Heading2"/>
      </w:pPr>
      <w:r>
        <w:t>Presets</w:t>
      </w:r>
    </w:p>
    <w:p>
      <w:r>
        <w:t>Built-in presets (Everything, Customer report, Quick look, Audit trail) and your own saved presets fill in the ticks in one go. Sections with many items (figures, pictures, files, samples) open with a double-click, and All / None ticks every item of the selected section.</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Report generator dialog: sections, order and options. ]</w:t>
            </w:r>
          </w:p>
          <w:p/>
        </w:tc>
      </w:tr>
    </w:tbl>
    <w:p>
      <w:pPr>
        <w:jc w:val="center"/>
      </w:pPr>
      <w:r>
        <w:rPr>
          <w:i/>
          <w:sz w:val="20"/>
        </w:rPr>
        <w:t>Figure 13. The Report generator dialog: sections, order and options.</w:t>
      </w:r>
    </w:p>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A sample cover page design. ]</w:t>
            </w:r>
          </w:p>
          <w:p/>
        </w:tc>
      </w:tr>
    </w:tbl>
    <w:p>
      <w:pPr>
        <w:jc w:val="center"/>
      </w:pPr>
      <w:r>
        <w:rPr>
          <w:i/>
          <w:sz w:val="20"/>
        </w:rPr>
        <w:t>Figure 14. A sample cover page design.</w:t>
      </w:r>
    </w:p>
    <w:p/>
    <w:p>
      <w:r>
        <w:br w:type="page"/>
      </w:r>
    </w:p>
    <w:p>
      <w:pPr>
        <w:pStyle w:val="Heading1"/>
      </w:pPr>
      <w:r>
        <w:t>14. The PDF report and PowerPoint deck</w:t>
      </w:r>
    </w:p>
    <w:p>
      <w:r>
        <w:t>Contents lists every section with its real page (or slide) number; the PDF also gets bookmarks. Slides get a divider slide before a long section, and every slide is numbered “n of N”.</w:t>
      </w:r>
    </w:p>
    <w:p>
      <w:pPr>
        <w:pStyle w:val="Heading2"/>
      </w:pPr>
      <w:r>
        <w:t>Quantification</w:t>
      </w:r>
    </w:p>
    <w:p>
      <w:r>
        <w:t>Atomic percent comes from CasaXPS peak-fit areas and sensitivity factors: one table per sample (with chemical states), or, for a depth profile, a chart and a table by level. A region fitted in more than one spectrum at a level is counted once — the dedicated scan, not the survey — and this is stated on the page. An element counted from two different lines is flagged. No transmission correction is applied unless you switch it on. Each sample can be ticked separately in the Report generator.</w:t>
      </w:r>
    </w:p>
    <w:p>
      <w:pPr>
        <w:pStyle w:val="Heading2"/>
      </w:pPr>
      <w:r>
        <w:t>Camera pictures, SnapMaps and mosaics</w:t>
      </w:r>
    </w:p>
    <w:p>
      <w:r>
        <w:t>When the loaded files include camera images (an Avantage experiment), overlapping pictures can also be stitched into one large mosaic; a note on the page says how many overlaps were matched. Camera pictures appear six to a report page (three to a slide), each with the analysis points that fall in it and a scale bar; one page or slide is added per SnapMap site, showing the camera picture beside a grid of element maps.</w:t>
      </w:r>
    </w:p>
    <w:p>
      <w:pPr>
        <w:pStyle w:val="Heading2"/>
      </w:pPr>
      <w:r>
        <w:t>Methods text</w:t>
      </w:r>
    </w:p>
    <w:p>
      <w:r>
        <w:t>Workbook → Details… has a Methods box holding a paragraph written automatically from what your files record: instrument and source, pass energies, step sizes, dwell times, lens mode, neutraliser, sputtering, depth profiles, dates and the calibration statement. A setting a file does not record is left out, never guessed. Edit the text to use your own wording; Regenerate brings the automatic text back.</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A sample page from the PDF report. ]</w:t>
            </w:r>
          </w:p>
          <w:p/>
        </w:tc>
      </w:tr>
    </w:tbl>
    <w:p>
      <w:pPr>
        <w:jc w:val="center"/>
      </w:pPr>
      <w:r>
        <w:rPr>
          <w:i/>
          <w:sz w:val="20"/>
        </w:rPr>
        <w:t>Figure 15. A sample page from the PDF report.</w:t>
      </w:r>
    </w:p>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A sample quantification table. ]</w:t>
            </w:r>
          </w:p>
          <w:p/>
        </w:tc>
      </w:tr>
    </w:tbl>
    <w:p>
      <w:pPr>
        <w:jc w:val="center"/>
      </w:pPr>
      <w:r>
        <w:rPr>
          <w:i/>
          <w:sz w:val="20"/>
        </w:rPr>
        <w:t>Figure 16. A sample quantification table.</w:t>
      </w:r>
    </w:p>
    <w:p/>
    <w:p>
      <w:r>
        <w:br w:type="page"/>
      </w:r>
    </w:p>
    <w:p>
      <w:pPr>
        <w:pStyle w:val="Heading1"/>
      </w:pPr>
      <w:r>
        <w:t>15. Hand-over package (ZIP)</w:t>
      </w:r>
    </w:p>
    <w:p>
      <w:r>
        <w:t>Workbook → Hand-over package (ZIP)… puts a whole experiment into one ZIP file for a customer or collaborator. It contains the report PDF, the methods text, one VAMAS and one CSV file per sample (with your display names and energy shifts applied), the metadata as CSV, every saved figure as a PNG, optionally the interactive data browser and the workbook itself, a README.txt listing everything included, and SHA256SUMS.txt (checked with sha256sum -c SHA256SUMS.txt). Tick what you want to include in the dialog.</w:t>
      </w:r>
    </w:p>
    <w:p>
      <w:r>
        <w:br w:type="page"/>
      </w:r>
    </w:p>
    <w:p>
      <w:pPr>
        <w:pStyle w:val="Heading1"/>
      </w:pPr>
      <w:r>
        <w:t>16. Interactive HTML data browser</w:t>
      </w:r>
    </w:p>
    <w:p>
      <w:r>
        <w:t>Workbook → Interactive data browser (HTML)… writes one self-contained .html file that anyone can open in a modern browser, offline, with nothing to install. It lets the reader filter the sample list, tick spectra to plot them (stacked or overlaid, normalised, binding or kinetic energy, drag to zoom, hover for values), step through depth levels one at a time, read the acquisition metadata, notes and methods, look at your saved figures with their captions, see the holder photo with the analysis positions, and download spectra as CSV. It has light, dark and print styles, and makes no network requests.</w:t>
      </w:r>
    </w:p>
    <w:p>
      <w:r>
        <w:t>For an Avantage experiment it also holds a Camera images tab (each picture with its analysis points and a scale bar) and a SnapMaps tab (the same viewer as in the application: drag the energy window, drag a region for its spectrum, switch element, choose a colour scale, overlay on the camera image, and download the map or spectra as CSV).</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interactive HTML data browser, opened in a web browser. ]</w:t>
            </w:r>
          </w:p>
          <w:p/>
        </w:tc>
      </w:tr>
    </w:tbl>
    <w:p>
      <w:pPr>
        <w:jc w:val="center"/>
      </w:pPr>
      <w:r>
        <w:rPr>
          <w:i/>
          <w:sz w:val="20"/>
        </w:rPr>
        <w:t>Figure 17. The interactive HTML data browser, opened in a web browser.</w:t>
      </w:r>
    </w:p>
    <w:p/>
    <w:p>
      <w:r>
        <w:br w:type="page"/>
      </w:r>
    </w:p>
    <w:p>
      <w:pPr>
        <w:pStyle w:val="Heading1"/>
      </w:pPr>
      <w:r>
        <w:t>17. Plot style</w:t>
      </w:r>
    </w:p>
    <w:p>
      <w:r>
        <w:t>View → Plot style… (or the Style… button under the plot controls) opens one dialog for how plots look: font and sizes, line width and style, markers, fill under traces, frame, tick direction and length, grid, panel titles and axis labels, y units, energy and intensity ranges, trace labels, and the size and resolution of saved images.</w:t>
      </w:r>
    </w:p>
    <w:p>
      <w:r>
        <w:t>Changes apply at once and reach the screen, PDFs, slides and Save plot image…. Pick a preset (Journal – compact, Presentation – large, Data points, Filled peaks, …) or save your own. The current style is remembered between sessions, saved in the workbook, and stored with each saved figure, so a figure keeps its own look in the report even after you change the live plot.</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Plot style dialog. ]</w:t>
            </w:r>
          </w:p>
          <w:p/>
        </w:tc>
      </w:tr>
    </w:tbl>
    <w:p>
      <w:pPr>
        <w:jc w:val="center"/>
      </w:pPr>
      <w:r>
        <w:rPr>
          <w:i/>
          <w:sz w:val="20"/>
        </w:rPr>
        <w:t>Figure 18. The Plot style dialog.</w:t>
      </w:r>
    </w:p>
    <w:p/>
    <w:p>
      <w:r>
        <w:br w:type="page"/>
      </w:r>
    </w:p>
    <w:p>
      <w:pPr>
        <w:pStyle w:val="Heading1"/>
      </w:pPr>
      <w:r>
        <w:t>18. Sputter settings, depth and fluence</w:t>
      </w:r>
    </w:p>
    <w:p>
      <w:r>
        <w:t>Tools → Sputter settings… holds the ion-gun settings of each depth profile: ion and charge state, energy, current, raster size and etch rate. These are prefilled wherever the file states them; nothing is guessed, so a bare number whose unit is unknown is left for you to fill in.</w:t>
      </w:r>
    </w:p>
    <w:p>
      <w:r>
        <w:t>With these settings recorded, the Z axis of a waterfall or heatmap can show Depth (nm) (etch rate × etch time) or Fluence (ions/cm², from current, time, charge and raster area). Asking for a value that cannot be worked out tells you exactly what to enter and where. The settings are kept per sample in the workbook and appear in the metadata and the methods text.</w:t>
      </w:r>
    </w:p>
    <w:p>
      <w:r>
        <w:br w:type="page"/>
      </w:r>
    </w:p>
    <w:p>
      <w:pPr>
        <w:pStyle w:val="Heading1"/>
      </w:pPr>
      <w:r>
        <w:t>19. VAMAS that keeps its metadata</w:t>
      </w:r>
    </w:p>
    <w:p>
      <w:r>
        <w:t>VAMAS has no fields for most acquisition details, so a file exported from this application carries them in its comments instead: lens mode, aperture, neutraliser, ion gun, dates, stage position, depth level and etch time, sputter settings, your notes and any energy shift. Other software simply shows this as plain text. Reading such a file back into the application restores all of it, while values VAMAS stores exactly (photon energy, pass energy, dwell, step) are never taken from the text. Files without this information read exactly as before.</w:t>
      </w:r>
    </w:p>
    <w:p>
      <w:r>
        <w:br w:type="page"/>
      </w:r>
    </w:p>
    <w:p>
      <w:pPr>
        <w:pStyle w:val="Heading1"/>
      </w:pPr>
      <w:r>
        <w:t>20. CasaXPS fits</w:t>
      </w:r>
    </w:p>
    <w:p>
      <w:r>
        <w:t>A VAMAS file saved from CasaXPS after peak fitting carries the fit in its comments. Opening such a file shows the fit under any panel that holds one spectrum: tick Components, Envelope and/or Background in the Fit row under the plot controls. A depth profile keeps one fit per level.</w:t>
      </w:r>
    </w:p>
    <w:p>
      <w:r>
        <w:t>CasaXPS's own binding-energy charge correction is carried over automatically and appears in Details (“BE calibration (CasaXPS)”) and in the report's calibration statement.</w:t>
      </w:r>
    </w:p>
    <w:p>
      <w:r>
        <w:t>GL and SGL peak shapes, and Shirley, linear and the two-parameter Tougaard backgrounds, are computed exactly. Other shapes (LA, LF and some Tougaard variants) are reconstructions, checked against real CasaXPS fits to within a few percent of peak height; where a shape cannot be reproduced, the components are drawn without an envelope and the status bar says so. The fit itself is read-only — fit your data in CasaXPS, then review it here.</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A fitted spectrum with its components, envelope and background shown. ]</w:t>
            </w:r>
          </w:p>
          <w:p/>
        </w:tc>
      </w:tr>
    </w:tbl>
    <w:p>
      <w:pPr>
        <w:jc w:val="center"/>
      </w:pPr>
      <w:r>
        <w:rPr>
          <w:i/>
          <w:sz w:val="20"/>
        </w:rPr>
        <w:t>Figure 19. A fitted spectrum with its components, envelope and background shown.</w:t>
      </w:r>
    </w:p>
    <w:p/>
    <w:p>
      <w:r>
        <w:br w:type="page"/>
      </w:r>
    </w:p>
    <w:p>
      <w:pPr>
        <w:pStyle w:val="Heading1"/>
      </w:pPr>
      <w:r>
        <w:t>21. ISS and REELS</w:t>
      </w:r>
    </w:p>
    <w:p>
      <w:r>
        <w:t>Tools → ISS / REELS… works on the one spectrum you have ticked, on whatever energy axis it uses.</w:t>
      </w:r>
    </w:p>
    <w:p>
      <w:pPr>
        <w:pStyle w:val="Heading2"/>
      </w:pPr>
      <w:r>
        <w:t>ISS peaks</w:t>
      </w:r>
    </w:p>
    <w:p>
      <w:r>
        <w:t>Give the ion (H⁺, He⁺, Ne⁺, Ar⁺), the beam energy (read from the file where it is recorded) and the scattering angle for your instrument. Click a peak on the plot and the elements that could scatter the ion to that energy are listed, nearest first, from the single-collision scattering model. Add marker labels the peak, or type the elements you expect and Mark places each at its predicted energy. ISS markers sit at kinetic energy, so a binding-energy calibration never moves them.</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ISS dialog, with candidate elements listed for a clicked peak. ]</w:t>
            </w:r>
          </w:p>
          <w:p/>
        </w:tc>
      </w:tr>
    </w:tbl>
    <w:p>
      <w:pPr>
        <w:jc w:val="center"/>
      </w:pPr>
      <w:r>
        <w:rPr>
          <w:i/>
          <w:sz w:val="20"/>
        </w:rPr>
        <w:t>Figure 20. The ISS dialog, with candidate elements listed for a clicked peak.</w:t>
      </w:r>
    </w:p>
    <w:p/>
    <w:p>
      <w:pPr>
        <w:pStyle w:val="Heading2"/>
      </w:pPr>
      <w:r>
        <w:t>REELS band gap</w:t>
      </w:r>
    </w:p>
    <w:p>
      <w:r>
        <w:t>Find the elastic peak (automatically, by typing it, or by clicking it), then click two points on the rising edge of the loss spectrum. The straight line through them meets the baseline at the band gap, which is drawn on the plot and stored in the workbook and the spectrum's metadata. Points that do not give a positive gap are explained rather than stored as a result.</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REELS band-gap construction: elastic peak, tangent and baseline. ]</w:t>
            </w:r>
          </w:p>
          <w:p/>
        </w:tc>
      </w:tr>
    </w:tbl>
    <w:p>
      <w:pPr>
        <w:jc w:val="center"/>
      </w:pPr>
      <w:r>
        <w:rPr>
          <w:i/>
          <w:sz w:val="20"/>
        </w:rPr>
        <w:t>Figure 21. The REELS band-gap construction: elastic peak, tangent and baseline.</w:t>
      </w:r>
    </w:p>
    <w:p/>
    <w:p>
      <w:r>
        <w:br w:type="page"/>
      </w:r>
    </w:p>
    <w:p>
      <w:pPr>
        <w:pStyle w:val="Heading1"/>
      </w:pPr>
      <w:r>
        <w:t>22. Avantage experiments, camera images and SnapMaps</w:t>
      </w:r>
    </w:p>
    <w:p>
      <w:r>
        <w:t>Thermo Avantage writes one .VGD file per scan into a folder tree beside its .VGX file. Open → Folder… on that folder (or on the .VGX, or on a single sample folder inside it) loads everything as one experiment, with a progress box you can cancel. The tree runs experiment → sample → analysis point → scan, in the order the .VGX file says they were run.</w:t>
      </w:r>
    </w:p>
    <w:p>
      <w:r>
        <w:t>Camera images: the sample-view pictures Avantage takes at each point carry their own stage calibration, so no manual calibration is needed. Select a point and its picture appears in the Images tab, with the analysis points that fall inside it, the outline of any SnapMap taken there, and a scale bar. Click a point in the picture to select it in the tree.</w:t>
      </w:r>
    </w:p>
    <w:p>
      <w:r>
        <w:t>SnapMaps (a spectrum at every pixel) appear as one region each, marked (SnapMap). Double-click one to open the viewer: drag across the spectrum to choose the energy window (Remove background takes a sloping baseline off first), drag a box or click a pixel on the map to see that area's spectrum, lay the map over the camera picture, and save the picture, the map values, or the spectra.</w:t>
      </w:r>
    </w:p>
    <w:tbl>
      <w:tblPr>
        <w:tblStyle w:val="TableGrid"/>
        <w:tblW w:type="auto" w:w="0"/>
        <w:tblLayout w:type="fixed"/>
        <w:tblLook w:firstColumn="1" w:firstRow="1" w:lastColumn="0" w:lastRow="0" w:noHBand="0" w:noVBand="1" w:val="04A0"/>
      </w:tblPr>
      <w:tblGrid>
        <w:gridCol w:w="9412"/>
      </w:tblGrid>
      <w:tr>
        <w:trPr>
          <w:trHeight w:hRule="atLeast" w:val="3402"/>
        </w:trPr>
        <w:tc>
          <w:tcPr>
            <w:tcW w:type="dxa" w:w="9411"/>
            <w:shd w:val="clear" w:color="auto" w:fill="F2F2F2"/>
          </w:tcPr>
          <w:p>
            <w:r/>
          </w:p>
          <w:p>
            <w:pPr>
              <w:jc w:val="center"/>
            </w:pPr>
            <w:r>
              <w:rPr>
                <w:i/>
                <w:color w:val="808080"/>
                <w:sz w:val="22"/>
              </w:rPr>
              <w:t>[ Insert screenshot here — The SnapMap viewer: the element map and the selected area's spectrum. ]</w:t>
            </w:r>
          </w:p>
          <w:p/>
        </w:tc>
      </w:tr>
    </w:tbl>
    <w:p>
      <w:pPr>
        <w:jc w:val="center"/>
      </w:pPr>
      <w:r>
        <w:rPr>
          <w:i/>
          <w:sz w:val="20"/>
        </w:rPr>
        <w:t>Figure 22. The SnapMap viewer: the element map and the selected area's spectrum.</w:t>
      </w:r>
    </w:p>
    <w:p/>
    <w:p>
      <w:r>
        <w:br w:type="page"/>
      </w:r>
    </w:p>
    <w:p>
      <w:pPr>
        <w:pStyle w:val="Heading1"/>
      </w:pPr>
      <w:r>
        <w:t>23. Depth profiles</w:t>
      </w:r>
    </w:p>
    <w:p>
      <w:r>
        <w:t>Sputter depth profiles are detected automatically, either from a Kratos file's own instrument record or from a repeated region in a VAMAS file with an etch-time variable. Ticking a region folder puts every level on one panel. The export dialog then offers region-type checkboxes and level selection (All, First N, Every Nth, or a range).</w:t>
      </w:r>
    </w:p>
    <w:p>
      <w:r>
        <w:t>Level 0 is the surface at time zero, followed by the cumulative sputter time. Etch level and etch time appear in the metadata CSV/PDF and the Details panel, and are written into each VAMAS block as comment lines.</w:t>
      </w:r>
    </w:p>
    <w:p>
      <w:r>
        <w:br w:type="page"/>
      </w:r>
    </w:p>
    <w:p>
      <w:pPr>
        <w:pStyle w:val="Heading1"/>
      </w:pPr>
      <w:r>
        <w:t>24. Troubleshooting and notes</w:t>
      </w:r>
    </w:p>
    <w:p>
      <w:pPr>
        <w:pStyle w:val="ListBullet"/>
      </w:pPr>
      <w:r>
        <w:t>tkinter is part of Python but needs an extra OS package on some Linux systems: sudo apt-get install python3-tk (Debian/Ubuntu), or sudo dnf install python3-tkinter (Fedora). The launcher reports whether it is missing.</w:t>
      </w:r>
    </w:p>
    <w:p>
      <w:pPr>
        <w:pStyle w:val="ListBullet"/>
      </w:pPr>
      <w:r>
        <w:t>Settings (theme, panel sizes, view options, plot style and your presets) are saved in ~/.spectradeck_config.json. The holder-photo calibration lives in each workbook; the last one used seeds new workbooks via ~/.spectradeck_calib.json.</w:t>
      </w:r>
    </w:p>
    <w:p>
      <w:pPr>
        <w:pStyle w:val="ListBullet"/>
      </w:pPr>
      <w:r>
        <w:t>Binding energy is photon energy minus kinetic energy and is not charge-corrected, so peaks on a charging sample may sit a few eV off until you calibrate (Chapter 11).</w:t>
      </w:r>
    </w:p>
    <w:p>
      <w:pPr>
        <w:pStyle w:val="ListBullet"/>
      </w:pPr>
      <w:r>
        <w:t>The .experiment, .vgd and .kal readers are reverse-engineered from undocumented formats. They have been checked against vendor exports of the same data, but cross-check anything critical against the vendor's own software.</w:t>
      </w:r>
    </w:p>
    <w:p>
      <w:pPr>
        <w:pStyle w:val="ListBullet"/>
      </w:pPr>
      <w:r>
        <w:t>If a .experiment file was transferred as text rather than binary it can be silently corrupted; the application detects this and refuses to export noise.</w:t>
      </w:r>
    </w:p>
    <w:p>
      <w:pPr>
        <w:pStyle w:val="ListBullet"/>
      </w:pPr>
      <w:r>
        <w:t>To test the application against your own data, set the XPS_CORPUS environment variable to a folder of spectra files and run the test suite to check that every recognised file loads.</w:t>
      </w:r>
    </w:p>
    <w:p>
      <w:r>
        <w:br w:type="page"/>
      </w:r>
    </w:p>
    <w:p>
      <w:pPr>
        <w:pStyle w:val="Heading1"/>
      </w:pPr>
      <w:r>
        <w:t>Appendix A: Supported file formats</w:t>
      </w:r>
    </w:p>
    <w:tbl>
      <w:tblPr>
        <w:tblStyle w:val="TableGrid"/>
        <w:tblW w:type="auto" w:w="0"/>
        <w:tblLayout w:type="fixed"/>
        <w:tblLook w:firstColumn="1" w:firstRow="1" w:lastColumn="0" w:lastRow="0" w:noHBand="0" w:noVBand="1" w:val="04A0"/>
      </w:tblPr>
      <w:tblGrid>
        <w:gridCol w:w="3137"/>
        <w:gridCol w:w="3137"/>
        <w:gridCol w:w="3137"/>
      </w:tblGrid>
      <w:tr>
        <w:tc>
          <w:tcPr>
            <w:tcW w:type="dxa" w:w="2268"/>
            <w:shd w:val="clear" w:color="auto" w:fill="2C3E50"/>
          </w:tcPr>
          <w:p>
            <w:r/>
            <w:r>
              <w:rPr>
                <w:b/>
                <w:color w:val="FFFFFF"/>
              </w:rPr>
              <w:t>Format</w:t>
            </w:r>
          </w:p>
        </w:tc>
        <w:tc>
          <w:tcPr>
            <w:tcW w:type="dxa" w:w="1814"/>
            <w:shd w:val="clear" w:color="auto" w:fill="2C3E50"/>
          </w:tcPr>
          <w:p>
            <w:r/>
            <w:r>
              <w:rPr>
                <w:b/>
                <w:color w:val="FFFFFF"/>
              </w:rPr>
              <w:t>Extension</w:t>
            </w:r>
          </w:p>
        </w:tc>
        <w:tc>
          <w:tcPr>
            <w:tcW w:type="dxa" w:w="5329"/>
            <w:shd w:val="clear" w:color="auto" w:fill="2C3E50"/>
          </w:tcPr>
          <w:p>
            <w:r/>
            <w:r>
              <w:rPr>
                <w:b/>
                <w:color w:val="FFFFFF"/>
              </w:rPr>
              <w:t>Notes</w:t>
            </w:r>
          </w:p>
        </w:tc>
      </w:tr>
      <w:tr>
        <w:tc>
          <w:tcPr>
            <w:tcW w:type="dxa" w:w="2268"/>
          </w:tcPr>
          <w:p>
            <w:r>
              <w:t>VAMAS (ISO 14976)</w:t>
            </w:r>
          </w:p>
        </w:tc>
        <w:tc>
          <w:tcPr>
            <w:tcW w:type="dxa" w:w="1814"/>
          </w:tcPr>
          <w:p>
            <w:r>
              <w:t>.vms, .vamas</w:t>
            </w:r>
          </w:p>
        </w:tc>
        <w:tc>
          <w:tcPr>
            <w:tcW w:type="dxa" w:w="5329"/>
          </w:tcPr>
          <w:p>
            <w:r>
              <w:t>From any vendor (Kratos/CasaXPS, PHI, SPECS, Thermo, ...). Handles NORM/MAP/SDPSV modes, regular and irregular scans, and vendor comment blocks.</w:t>
            </w:r>
          </w:p>
        </w:tc>
      </w:tr>
      <w:tr>
        <w:tc>
          <w:tcPr>
            <w:tcW w:type="dxa" w:w="2268"/>
          </w:tcPr>
          <w:p>
            <w:r>
              <w:t>Thermo Avantage text dump</w:t>
            </w:r>
          </w:p>
        </w:tc>
        <w:tc>
          <w:tcPr>
            <w:tcW w:type="dxa" w:w="1814"/>
          </w:tcPr>
          <w:p>
            <w:r>
              <w:t>.avg (.avx text dump)</w:t>
            </w:r>
          </w:p>
        </w:tc>
        <w:tc>
          <w:tcPr>
            <w:tcW w:type="dxa" w:w="5329"/>
          </w:tcPr>
          <w:p>
            <w:r>
              <w:t>Multi-position scans give one region per position; a SnapMap loads as its summed spectrum; camera images become pictures, not spectra.</w:t>
            </w:r>
          </w:p>
        </w:tc>
      </w:tr>
      <w:tr>
        <w:tc>
          <w:tcPr>
            <w:tcW w:type="dxa" w:w="2268"/>
          </w:tcPr>
          <w:p>
            <w:r>
              <w:t>Thermo Avantage binary</w:t>
            </w:r>
          </w:p>
        </w:tc>
        <w:tc>
          <w:tcPr>
            <w:tcW w:type="dxa" w:w="1814"/>
          </w:tcPr>
          <w:p>
            <w:r>
              <w:t>.vgd (.avx binary)</w:t>
            </w:r>
          </w:p>
        </w:tc>
        <w:tc>
          <w:tcPr>
            <w:tcW w:type="dxa" w:w="5329"/>
          </w:tcPr>
          <w:p>
            <w:r>
              <w:t>Reverse-engineered container; matches the .avg of the same data exactly.</w:t>
            </w:r>
          </w:p>
        </w:tc>
      </w:tr>
      <w:tr>
        <w:tc>
          <w:tcPr>
            <w:tcW w:type="dxa" w:w="2268"/>
          </w:tcPr>
          <w:p>
            <w:r>
              <w:t>Thermo Avantage experiment</w:t>
            </w:r>
          </w:p>
        </w:tc>
        <w:tc>
          <w:tcPr>
            <w:tcW w:type="dxa" w:w="1814"/>
          </w:tcPr>
          <w:p>
            <w:r>
              <w:t>a folder, or .VGX</w:t>
            </w:r>
          </w:p>
        </w:tc>
        <w:tc>
          <w:tcPr>
            <w:tcW w:type="dxa" w:w="5329"/>
          </w:tcPr>
          <w:p>
            <w:r>
              <w:t>Opens the whole experiment as one session: samples, analysis points, scans in run order, camera images and SnapMaps (Chapter 22).</w:t>
            </w:r>
          </w:p>
        </w:tc>
      </w:tr>
      <w:tr>
        <w:tc>
          <w:tcPr>
            <w:tcW w:type="dxa" w:w="2268"/>
          </w:tcPr>
          <w:p>
            <w:r>
              <w:t>PHI / ULVAC-PHI MultiPak</w:t>
            </w:r>
          </w:p>
        </w:tc>
        <w:tc>
          <w:tcPr>
            <w:tcW w:type="dxa" w:w="1814"/>
          </w:tcPr>
          <w:p>
            <w:r>
              <w:t>.spe</w:t>
            </w:r>
          </w:p>
        </w:tc>
        <w:tc>
          <w:tcPr>
            <w:tcW w:type="dxa" w:w="5329"/>
          </w:tcPr>
          <w:p>
            <w:r>
              <w:t>Intensities are counts per second, as stored.</w:t>
            </w:r>
          </w:p>
        </w:tc>
      </w:tr>
      <w:tr>
        <w:tc>
          <w:tcPr>
            <w:tcW w:type="dxa" w:w="2268"/>
          </w:tcPr>
          <w:p>
            <w:r>
              <w:t>Scienta Omicron SES</w:t>
            </w:r>
          </w:p>
        </w:tc>
        <w:tc>
          <w:tcPr>
            <w:tcW w:type="dxa" w:w="1814"/>
          </w:tcPr>
          <w:p>
            <w:r>
              <w:t>.txt</w:t>
            </w:r>
          </w:p>
        </w:tc>
        <w:tc>
          <w:tcPr>
            <w:tcW w:type="dxa" w:w="5329"/>
          </w:tcPr>
          <w:p>
            <w:r>
              <w:t>Detector/angle columns are summed to one spectrum.</w:t>
            </w:r>
          </w:p>
        </w:tc>
      </w:tr>
      <w:tr>
        <w:tc>
          <w:tcPr>
            <w:tcW w:type="dxa" w:w="2268"/>
          </w:tcPr>
          <w:p>
            <w:r>
              <w:t>Kratos Vision</w:t>
            </w:r>
          </w:p>
        </w:tc>
        <w:tc>
          <w:tcPr>
            <w:tcW w:type="dxa" w:w="1814"/>
          </w:tcPr>
          <w:p>
            <w:r>
              <w:t>.kal</w:t>
            </w:r>
          </w:p>
        </w:tc>
        <w:tc>
          <w:tcPr>
            <w:tcW w:type="dxa" w:w="5329"/>
          </w:tcPr>
          <w:p>
            <w:r>
              <w:t>Includes the transmission function. Files that do not record the X-ray source stay on a kinetic-energy axis (a warning says so).</w:t>
            </w:r>
          </w:p>
        </w:tc>
      </w:tr>
      <w:tr>
        <w:tc>
          <w:tcPr>
            <w:tcW w:type="dxa" w:w="2268"/>
          </w:tcPr>
          <w:p>
            <w:r>
              <w:t>Kratos ESCApe</w:t>
            </w:r>
          </w:p>
        </w:tc>
        <w:tc>
          <w:tcPr>
            <w:tcW w:type="dxa" w:w="1814"/>
          </w:tcPr>
          <w:p>
            <w:r>
              <w:t>.experiment</w:t>
            </w:r>
          </w:p>
        </w:tc>
        <w:tc>
          <w:tcPr>
            <w:tcW w:type="dxa" w:w="5329"/>
          </w:tcPr>
          <w:p>
            <w:r>
              <w:t>Undocumented binary container; best-effort reverse engineering.</w:t>
            </w:r>
          </w:p>
        </w:tc>
      </w:tr>
    </w:tbl>
    <w:p/>
    <w:p>
      <w:r>
        <w:br w:type="page"/>
      </w:r>
    </w:p>
    <w:p>
      <w:pPr>
        <w:pStyle w:val="Heading1"/>
      </w:pPr>
      <w:r>
        <w:t>Appendix B: Keyboard shortcuts</w:t>
      </w:r>
    </w:p>
    <w:tbl>
      <w:tblPr>
        <w:tblStyle w:val="TableGrid"/>
        <w:tblW w:type="auto" w:w="0"/>
        <w:tblLayout w:type="fixed"/>
        <w:tblLook w:firstColumn="1" w:firstRow="1" w:lastColumn="0" w:lastRow="0" w:noHBand="0" w:noVBand="1" w:val="04A0"/>
      </w:tblPr>
      <w:tblGrid>
        <w:gridCol w:w="4706"/>
        <w:gridCol w:w="4706"/>
      </w:tblGrid>
      <w:tr>
        <w:tc>
          <w:tcPr>
            <w:tcW w:type="dxa" w:w="2835"/>
            <w:shd w:val="clear" w:color="auto" w:fill="2C3E50"/>
          </w:tcPr>
          <w:p>
            <w:r/>
            <w:r>
              <w:rPr>
                <w:b/>
                <w:color w:val="FFFFFF"/>
              </w:rPr>
              <w:t>Shortcut</w:t>
            </w:r>
          </w:p>
        </w:tc>
        <w:tc>
          <w:tcPr>
            <w:tcW w:type="dxa" w:w="6576"/>
            <w:shd w:val="clear" w:color="auto" w:fill="2C3E50"/>
          </w:tcPr>
          <w:p>
            <w:r/>
            <w:r>
              <w:rPr>
                <w:b/>
                <w:color w:val="FFFFFF"/>
              </w:rPr>
              <w:t>Action</w:t>
            </w:r>
          </w:p>
        </w:tc>
      </w:tr>
      <w:tr>
        <w:tc>
          <w:tcPr>
            <w:tcW w:type="dxa" w:w="2835"/>
          </w:tcPr>
          <w:p>
            <w:r>
              <w:t>Space</w:t>
            </w:r>
          </w:p>
        </w:tc>
        <w:tc>
          <w:tcPr>
            <w:tcW w:type="dxa" w:w="6576"/>
          </w:tcPr>
          <w:p>
            <w:r>
              <w:t>Tick or untick the selected row</w:t>
            </w:r>
          </w:p>
        </w:tc>
      </w:tr>
      <w:tr>
        <w:tc>
          <w:tcPr>
            <w:tcW w:type="dxa" w:w="2835"/>
          </w:tcPr>
          <w:p>
            <w:r>
              <w:t>F2</w:t>
            </w:r>
          </w:p>
        </w:tc>
        <w:tc>
          <w:tcPr>
            <w:tcW w:type="dxa" w:w="6576"/>
          </w:tcPr>
          <w:p>
            <w:r>
              <w:t>Rename the selected sample or region</w:t>
            </w:r>
          </w:p>
        </w:tc>
      </w:tr>
      <w:tr>
        <w:tc>
          <w:tcPr>
            <w:tcW w:type="dxa" w:w="2835"/>
          </w:tcPr>
          <w:p>
            <w:r>
              <w:t>F11</w:t>
            </w:r>
          </w:p>
        </w:tc>
        <w:tc>
          <w:tcPr>
            <w:tcW w:type="dxa" w:w="6576"/>
          </w:tcPr>
          <w:p>
            <w:r>
              <w:t>Focus mode — hide the side panels</w:t>
            </w:r>
          </w:p>
        </w:tc>
      </w:tr>
      <w:tr>
        <w:tc>
          <w:tcPr>
            <w:tcW w:type="dxa" w:w="2835"/>
          </w:tcPr>
          <w:p>
            <w:r>
              <w:t>Ctrl+S</w:t>
            </w:r>
          </w:p>
        </w:tc>
        <w:tc>
          <w:tcPr>
            <w:tcW w:type="dxa" w:w="6576"/>
          </w:tcPr>
          <w:p>
            <w:r>
              <w:t>Save the workbook</w:t>
            </w:r>
          </w:p>
        </w:tc>
      </w:tr>
      <w:tr>
        <w:tc>
          <w:tcPr>
            <w:tcW w:type="dxa" w:w="2835"/>
          </w:tcPr>
          <w:p>
            <w:r>
              <w:t>▶ / ◀ →</w:t>
            </w:r>
          </w:p>
        </w:tc>
        <w:tc>
          <w:tcPr>
            <w:tcW w:type="dxa" w:w="6576"/>
          </w:tcPr>
          <w:p>
            <w:r>
              <w:t>Play, or step, through the traces</w:t>
            </w:r>
          </w:p>
        </w:tc>
      </w:tr>
      <w:tr>
        <w:tc>
          <w:tcPr>
            <w:tcW w:type="dxa" w:w="2835"/>
          </w:tcPr>
          <w:p>
            <w:r>
              <w:t>Page Up / Page Down</w:t>
            </w:r>
          </w:p>
        </w:tc>
        <w:tc>
          <w:tcPr>
            <w:tcW w:type="dxa" w:w="6576"/>
          </w:tcPr>
          <w:p>
            <w:r>
              <w:t>Previous / next page of panels</w:t>
            </w:r>
          </w:p>
        </w:tc>
      </w:tr>
      <w:tr>
        <w:tc>
          <w:tcPr>
            <w:tcW w:type="dxa" w:w="2835"/>
          </w:tcPr>
          <w:p>
            <w:r>
              <w:t>Home / End</w:t>
            </w:r>
          </w:p>
        </w:tc>
        <w:tc>
          <w:tcPr>
            <w:tcW w:type="dxa" w:w="6576"/>
          </w:tcPr>
          <w:p>
            <w:r>
              <w:t>First / last page of panels</w:t>
            </w:r>
          </w:p>
        </w:tc>
      </w:tr>
      <w:tr>
        <w:tc>
          <w:tcPr>
            <w:tcW w:type="dxa" w:w="2835"/>
          </w:tcPr>
          <w:p>
            <w:r>
              <w:t>Shift + mouse wheel</w:t>
            </w:r>
          </w:p>
        </w:tc>
        <w:tc>
          <w:tcPr>
            <w:tcW w:type="dxa" w:w="6576"/>
          </w:tcPr>
          <w:p>
            <w:r>
              <w:t>Slide the trace window (long stacks)</w:t>
            </w:r>
          </w:p>
        </w:tc>
      </w:tr>
      <w:tr>
        <w:tc>
          <w:tcPr>
            <w:tcW w:type="dxa" w:w="2835"/>
          </w:tcPr>
          <w:p>
            <w:r>
              <w:t>Esc</w:t>
            </w:r>
          </w:p>
        </w:tc>
        <w:tc>
          <w:tcPr>
            <w:tcW w:type="dxa" w:w="6576"/>
          </w:tcPr>
          <w:p>
            <w:r>
              <w:t>Close the splash screen</w:t>
            </w:r>
          </w:p>
        </w:tc>
      </w:tr>
    </w:tbl>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 xml:space="preserve">eXPoSe SpectraDeck — User Manual  ·  Page </w:t>
    </w:r>
    <w:r>
      <w:rPr>
        <w:color w:val="808080"/>
        <w:sz w:val="18"/>
      </w:rPr>
      <w:fldChar w:fldCharType="begin"/>
      <w:instrText xml:space="preserve">PAGE</w:instrText>
      <w:fldChar w:fldCharType="separate"/>
      <w:t>1</w:t>
      <w:fldChar w:fldCharType="end"/>
    </w:r>
    <w:r>
      <w:rPr>
        <w:color w:val="808080"/>
        <w:sz w:val="18"/>
      </w:rPr>
      <w:t xml:space="preserve"> of </w:t>
    </w:r>
    <w:r>
      <w:rPr>
        <w:color w:val="808080"/>
        <w:sz w:val="18"/>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