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C3E50"/>
          <w:sz w:val="80"/>
        </w:rPr>
        <w:t>eXPoSe SpectraDeck</w:t>
      </w:r>
    </w:p>
    <w:p>
      <w:pPr>
        <w:jc w:val="center"/>
      </w:pPr>
      <w:r>
        <w:rPr>
          <w:color w:val="808080"/>
          <w:sz w:val="40"/>
        </w:rPr>
        <w:t>User Manual</w:t>
      </w:r>
    </w:p>
    <w:p/>
    <w:p>
      <w:pPr>
        <w:jc w:val="center"/>
      </w:pPr>
      <w:r>
        <w:rPr>
          <w:color w:val="808080"/>
          <w:sz w:val="22"/>
        </w:rPr>
        <w:t>Covers version 1.3.0  ·  30 October 2026</w:t>
      </w:r>
    </w:p>
    <w:p/>
    <w:p/>
    <w:tbl>
      <w:tblPr>
        <w:tblStyle w:val="TableGrid"/>
        <w:tblW w:type="auto" w:w="0"/>
        <w:tblLayout w:type="fixed"/>
        <w:tblLook w:firstColumn="1" w:firstRow="1" w:lastColumn="0" w:lastRow="0" w:noHBand="0" w:noVBand="1" w:val="04A0"/>
      </w:tblPr>
      <w:tblGrid>
        <w:gridCol w:w="9412"/>
      </w:tblGrid>
      <w:tr>
        <w:trPr>
          <w:trHeight w:hRule="atLeast" w:val="3969"/>
        </w:trPr>
        <w:tc>
          <w:tcPr>
            <w:tcW w:type="dxa" w:w="9411"/>
            <w:shd w:val="clear" w:color="auto" w:fill="F2F2F2"/>
          </w:tcPr>
          <w:p>
            <w:pPr>
              <w:jc w:val="center"/>
            </w:pPr>
            <w:r>
              <w:rPr>
                <w:i/>
                <w:color w:val="808080"/>
              </w:rPr>
              <w:t>[ Insert your logo or a hero screenshot of the application here ]</w:t>
            </w:r>
          </w:p>
        </w:tc>
      </w:tr>
    </w:tbl>
    <w:p>
      <w:r>
        <w:br w:type="page"/>
      </w:r>
    </w:p>
    <w:p>
      <w:r>
        <w:rPr>
          <w:b/>
          <w:color w:val="2C3E50"/>
          <w:sz w:val="48"/>
        </w:rPr>
        <w:t>Table of Contents</w:t>
      </w:r>
    </w:p>
    <w:p/>
    <w:p>
      <w:r>
        <w:fldChar w:fldCharType="begin"/>
        <w:instrText xml:space="preserve">TOC \o "1-2" \h \z \u</w:instrText>
        <w:fldChar w:fldCharType="separate"/>
        <w:t>Right-click here and choose “Update Field” (or press F9) to build the table of contents.</w:t>
        <w:fldChar w:fldCharType="end"/>
      </w:r>
    </w:p>
    <w:p>
      <w:r>
        <w:br w:type="page"/>
      </w:r>
    </w:p>
    <w:p>
      <w:pPr>
        <w:pStyle w:val="Heading1"/>
      </w:pPr>
      <w:r>
        <w:t>1. Introduction</w:t>
      </w:r>
    </w:p>
    <w:p>
      <w:r>
        <w:t>eXPoSe SpectraDeck is a desktop application for browsing, plotting and exporting X-ray Photoelectron Spectroscopy (XPS) data from a wide range of instruments and file formats. Open one or several files at once, tick the spectra you want to see, and they are plotted immediately — spectra of the same core level are stacked with a vertical offset on a shared panel, so they are easy to compare. Metadata, camera images and a stage map sit alongside the plot; spectra can be exported to CSV, VAMAS (ISO 14976) or NeXus, and a complete experiment can be turned into a PDF report, a PowerPoint deck, a Word document, a hand-over ZIP, or a self-contained offline HTML browser for a customer or collaborator. CasaXPS, KherveFitting and Thermo Avantage peak fits in your files are displayed, quantified and reported, never edited.</w:t>
      </w:r>
    </w:p>
    <w:p>
      <w:pPr>
        <w:pStyle w:val="Heading2"/>
      </w:pPr>
      <w:r>
        <w:t>Supported file formats</w:t>
      </w:r>
    </w:p>
    <w:tbl>
      <w:tblPr>
        <w:tblStyle w:val="TableGrid"/>
        <w:tblW w:type="auto" w:w="0"/>
        <w:tblLayout w:type="fixed"/>
        <w:tblLook w:firstColumn="1" w:firstRow="1" w:lastColumn="0" w:lastRow="0" w:noHBand="0" w:noVBand="1" w:val="04A0"/>
      </w:tblPr>
      <w:tblGrid>
        <w:gridCol w:w="3137"/>
        <w:gridCol w:w="3137"/>
        <w:gridCol w:w="3137"/>
      </w:tblGrid>
      <w:tr>
        <w:tc>
          <w:tcPr>
            <w:tcW w:type="dxa" w:w="2268"/>
            <w:shd w:val="clear" w:color="auto" w:fill="2C3E50"/>
          </w:tcPr>
          <w:p>
            <w:r/>
            <w:r>
              <w:rPr>
                <w:b/>
                <w:color w:val="FFFFFF"/>
              </w:rPr>
              <w:t>Format</w:t>
            </w:r>
          </w:p>
        </w:tc>
        <w:tc>
          <w:tcPr>
            <w:tcW w:type="dxa" w:w="1814"/>
            <w:shd w:val="clear" w:color="auto" w:fill="2C3E50"/>
          </w:tcPr>
          <w:p>
            <w:r/>
            <w:r>
              <w:rPr>
                <w:b/>
                <w:color w:val="FFFFFF"/>
              </w:rPr>
              <w:t>Extension</w:t>
            </w:r>
          </w:p>
        </w:tc>
        <w:tc>
          <w:tcPr>
            <w:tcW w:type="dxa" w:w="5329"/>
            <w:shd w:val="clear" w:color="auto" w:fill="2C3E50"/>
          </w:tcPr>
          <w:p>
            <w:r/>
            <w:r>
              <w:rPr>
                <w:b/>
                <w:color w:val="FFFFFF"/>
              </w:rPr>
              <w:t>Notes</w:t>
            </w:r>
          </w:p>
        </w:tc>
      </w:tr>
      <w:tr>
        <w:tc>
          <w:tcPr>
            <w:tcW w:type="dxa" w:w="2268"/>
          </w:tcPr>
          <w:p>
            <w:r>
              <w:t>VAMAS (ISO 14976)</w:t>
            </w:r>
          </w:p>
        </w:tc>
        <w:tc>
          <w:tcPr>
            <w:tcW w:type="dxa" w:w="1814"/>
          </w:tcPr>
          <w:p>
            <w:r>
              <w:t>.vms, .vamas, .npl</w:t>
            </w:r>
          </w:p>
        </w:tc>
        <w:tc>
          <w:tcPr>
            <w:tcW w:type="dxa" w:w="5329"/>
          </w:tcPr>
          <w:p>
            <w:r>
              <w:t>From any vendor (Kratos/CasaXPS, PHI, SPECS, Thermo, ...); PHI MultiPak's own export is the .npl. Handles NORM/MAP/SDPSV modes, regular and irregular scans, and vendor comment blocks.</w:t>
            </w:r>
          </w:p>
        </w:tc>
      </w:tr>
      <w:tr>
        <w:tc>
          <w:tcPr>
            <w:tcW w:type="dxa" w:w="2268"/>
          </w:tcPr>
          <w:p>
            <w:r>
              <w:t>Thermo Avantage text dump</w:t>
            </w:r>
          </w:p>
        </w:tc>
        <w:tc>
          <w:tcPr>
            <w:tcW w:type="dxa" w:w="1814"/>
          </w:tcPr>
          <w:p>
            <w:r>
              <w:t>.avg (.avx text dump)</w:t>
            </w:r>
          </w:p>
        </w:tc>
        <w:tc>
          <w:tcPr>
            <w:tcW w:type="dxa" w:w="5329"/>
          </w:tcPr>
          <w:p>
            <w:r>
              <w:t>Multi-position scans give one region per position; a SnapMap loads as its summed spectrum; camera images become pictures, not spectra.</w:t>
            </w:r>
          </w:p>
        </w:tc>
      </w:tr>
      <w:tr>
        <w:tc>
          <w:tcPr>
            <w:tcW w:type="dxa" w:w="2268"/>
          </w:tcPr>
          <w:p>
            <w:r>
              <w:t>Thermo Avantage binary</w:t>
            </w:r>
          </w:p>
        </w:tc>
        <w:tc>
          <w:tcPr>
            <w:tcW w:type="dxa" w:w="1814"/>
          </w:tcPr>
          <w:p>
            <w:r>
              <w:t>.vgd (.avx binary)</w:t>
            </w:r>
          </w:p>
        </w:tc>
        <w:tc>
          <w:tcPr>
            <w:tcW w:type="dxa" w:w="5329"/>
          </w:tcPr>
          <w:p>
            <w:r>
              <w:t>Reverse-engineered container; matches the .avg of the same data exactly.</w:t>
            </w:r>
          </w:p>
        </w:tc>
      </w:tr>
      <w:tr>
        <w:tc>
          <w:tcPr>
            <w:tcW w:type="dxa" w:w="2268"/>
          </w:tcPr>
          <w:p>
            <w:r>
              <w:t>Thermo Avantage experiment</w:t>
            </w:r>
          </w:p>
        </w:tc>
        <w:tc>
          <w:tcPr>
            <w:tcW w:type="dxa" w:w="1814"/>
          </w:tcPr>
          <w:p>
            <w:r>
              <w:t>a folder, or .VGX</w:t>
            </w:r>
          </w:p>
        </w:tc>
        <w:tc>
          <w:tcPr>
            <w:tcW w:type="dxa" w:w="5329"/>
          </w:tcPr>
          <w:p>
            <w:r>
              <w:t>Opens the whole experiment as one session: samples, analysis points, scans in run order, camera images and SnapMaps (Chapter 22).</w:t>
            </w:r>
          </w:p>
        </w:tc>
      </w:tr>
      <w:tr>
        <w:tc>
          <w:tcPr>
            <w:tcW w:type="dxa" w:w="2268"/>
          </w:tcPr>
          <w:p>
            <w:r>
              <w:t>Thermo Avantage project</w:t>
            </w:r>
          </w:p>
        </w:tc>
        <w:tc>
          <w:tcPr>
            <w:tcW w:type="dxa" w:w="1814"/>
          </w:tcPr>
          <w:p>
            <w:r>
              <w:t>.vgp (or a folder holding one)</w:t>
            </w:r>
          </w:p>
        </w:tc>
        <w:tc>
          <w:tcPr>
            <w:tcW w:type="dxa" w:w="5329"/>
          </w:tcPr>
          <w:p>
            <w:r>
              <w:t>The spectra of the project’s .DATA folder with its fitted peaks, backgrounds, sensitivity factors and constraints (Chapter 22). The fit is read, never refitted.</w:t>
            </w:r>
          </w:p>
        </w:tc>
      </w:tr>
      <w:tr>
        <w:tc>
          <w:tcPr>
            <w:tcW w:type="dxa" w:w="2268"/>
          </w:tcPr>
          <w:p>
            <w:r>
              <w:t>PHI / ULVAC-PHI MultiPak</w:t>
            </w:r>
          </w:p>
        </w:tc>
        <w:tc>
          <w:tcPr>
            <w:tcW w:type="dxa" w:w="1814"/>
          </w:tcPr>
          <w:p>
            <w:r>
              <w:t>.spe</w:t>
            </w:r>
          </w:p>
        </w:tc>
        <w:tc>
          <w:tcPr>
            <w:tcW w:type="dxa" w:w="5329"/>
          </w:tcPr>
          <w:p>
            <w:r>
              <w:t>Intensities are counts per second, as stored. Reads float64 and float32 data (the block headers say which, e.g. the Quantes) in either byte order.</w:t>
            </w:r>
          </w:p>
        </w:tc>
      </w:tr>
      <w:tr>
        <w:tc>
          <w:tcPr>
            <w:tcW w:type="dxa" w:w="2268"/>
          </w:tcPr>
          <w:p>
            <w:r>
              <w:t>Scienta Omicron SES</w:t>
            </w:r>
          </w:p>
        </w:tc>
        <w:tc>
          <w:tcPr>
            <w:tcW w:type="dxa" w:w="1814"/>
          </w:tcPr>
          <w:p>
            <w:r>
              <w:t>.txt</w:t>
            </w:r>
          </w:p>
        </w:tc>
        <w:tc>
          <w:tcPr>
            <w:tcW w:type="dxa" w:w="5329"/>
          </w:tcPr>
          <w:p>
            <w:r>
              <w:t>Detector/angle columns are summed to one spectrum.</w:t>
            </w:r>
          </w:p>
        </w:tc>
      </w:tr>
      <w:tr>
        <w:tc>
          <w:tcPr>
            <w:tcW w:type="dxa" w:w="2268"/>
          </w:tcPr>
          <w:p>
            <w:r>
              <w:t>Numbers in columns</w:t>
            </w:r>
          </w:p>
        </w:tc>
        <w:tc>
          <w:tcPr>
            <w:tcW w:type="dxa" w:w="1814"/>
          </w:tcPr>
          <w:p>
            <w:r>
              <w:t>.csv .asc .txt .dat .tsv .xy .xlsx</w:t>
            </w:r>
          </w:p>
        </w:tc>
        <w:tc>
          <w:tcPr>
            <w:tcW w:type="dxa" w:w="5329"/>
          </w:tcPr>
          <w:p>
            <w:r>
              <w:t>Any spectrum saved as plain columns (tab, comma, semicolon or space separated, with or without a header), as Surface Science Spectra asks for. An import dialog checks the energy and intensity columns, binding or kinetic energy, the unit and the name, and takes the sample, photon energy and pass energy; how each file was read is saved in the workbook. A SPECS .xy file is read with its header (photon and pass energy, dwell, scans), an Excel workbook (needs the optional openpyxl) through the sheet with the longest table, and the wide CSV this application writes (one spectrum per pair of columns) reads back; a photon or pass energy can be set per file in the dialog.</w:t>
            </w:r>
          </w:p>
        </w:tc>
      </w:tr>
      <w:tr>
        <w:tc>
          <w:tcPr>
            <w:tcW w:type="dxa" w:w="2268"/>
          </w:tcPr>
          <w:p>
            <w:r>
              <w:t>Kratos Vision2 dataset</w:t>
            </w:r>
          </w:p>
        </w:tc>
        <w:tc>
          <w:tcPr>
            <w:tcW w:type="dxa" w:w="1814"/>
          </w:tcPr>
          <w:p>
            <w:r>
              <w:t>.dset</w:t>
            </w:r>
          </w:p>
        </w:tc>
        <w:tc>
          <w:tcPr>
            <w:tcW w:type="dxa" w:w="5329"/>
          </w:tcPr>
          <w:p>
            <w:r>
              <w:t>The binary file Vision2 writes, read directly without the DumpDataset step. Gives the same spectra and settings as its .kal. A setting the reader has not met before is left out with a warning rather than guessed.</w:t>
            </w:r>
          </w:p>
        </w:tc>
      </w:tr>
      <w:tr>
        <w:tc>
          <w:tcPr>
            <w:tcW w:type="dxa" w:w="2268"/>
          </w:tcPr>
          <w:p>
            <w:r>
              <w:t>Kratos Vision</w:t>
            </w:r>
          </w:p>
        </w:tc>
        <w:tc>
          <w:tcPr>
            <w:tcW w:type="dxa" w:w="1814"/>
          </w:tcPr>
          <w:p>
            <w:r>
              <w:t>.kal</w:t>
            </w:r>
          </w:p>
        </w:tc>
        <w:tc>
          <w:tcPr>
            <w:tcW w:type="dxa" w:w="5329"/>
          </w:tcPr>
          <w:p>
            <w:r>
              <w:t>Includes the transmission function. Files that do not record the X-ray source stay on a kinetic-energy axis (a warning says so).</w:t>
            </w:r>
          </w:p>
        </w:tc>
      </w:tr>
      <w:tr>
        <w:tc>
          <w:tcPr>
            <w:tcW w:type="dxa" w:w="2268"/>
          </w:tcPr>
          <w:p>
            <w:r>
              <w:t>Kratos ESCApe</w:t>
            </w:r>
          </w:p>
        </w:tc>
        <w:tc>
          <w:tcPr>
            <w:tcW w:type="dxa" w:w="1814"/>
          </w:tcPr>
          <w:p>
            <w:r>
              <w:t>.experiment</w:t>
            </w:r>
          </w:p>
        </w:tc>
        <w:tc>
          <w:tcPr>
            <w:tcW w:type="dxa" w:w="5329"/>
          </w:tcPr>
          <w:p>
            <w:r>
              <w:t>Undocumented binary container, read by reverse engineering and checked against HarwellXPS's export of the same files. The dwell is stored summed over the sweeps and is handled as such; each spectrum gets its own stage position, neutraliser and emission settings; a file is split by the runs it holds (sequences, depth profiles, angle-resolved runs: see Chapter 4).</w:t>
            </w:r>
          </w:p>
        </w:tc>
      </w:tr>
      <w:tr>
        <w:tc>
          <w:tcPr>
            <w:tcW w:type="dxa" w:w="2268"/>
          </w:tcPr>
          <w:p>
            <w:r>
              <w:t>NeXus</w:t>
            </w:r>
          </w:p>
        </w:tc>
        <w:tc>
          <w:tcPr>
            <w:tcW w:type="dxa" w:w="1814"/>
          </w:tcPr>
          <w:p>
            <w:r>
              <w:t>.nxs</w:t>
            </w:r>
          </w:p>
        </w:tc>
        <w:tc>
          <w:tcPr>
            <w:tcW w:type="dxa" w:w="5329"/>
          </w:tcPr>
          <w:p>
            <w:r>
              <w:t>Needs the optional h5py. Analyser spectra in NXxps / NXmpes layout (one per entry; checked on files this application wrote, not on an instrument's own; fits are not read back) and beamline NEXAFS scans. A beamline photon-energy scan (Diamond B07 / GDA): one spectrum per detector channel, photon energy against current, named by detector. Nothing is guessed (which channel is total electron yield is not in the file) and nothing is normalised unless you tick Ring-current scaling, which scales every point to the mean ring current of its scan (its unit is not recorded, so it is not divided by). VAMAS export writes technique AES dir with the photon energy in the kinetic-energy field, as HarwellXPS does, and reads it back; NeXus export leaves these scans out.</w:t>
            </w:r>
          </w:p>
        </w:tc>
      </w:tr>
      <w:tr>
        <w:tc>
          <w:tcPr>
            <w:tcW w:type="dxa" w:w="2268"/>
          </w:tcPr>
          <w:p>
            <w:r>
              <w:t>XPSView / HarwellXPS session</w:t>
            </w:r>
          </w:p>
        </w:tc>
        <w:tc>
          <w:tcPr>
            <w:tcW w:type="dxa" w:w="1814"/>
          </w:tcPr>
          <w:p>
            <w:r>
              <w:t>.xpsv</w:t>
            </w:r>
          </w:p>
        </w:tc>
        <w:tc>
          <w:tcPr>
            <w:tcW w:type="dxa" w:w="5329"/>
          </w:tcPr>
          <w:p>
            <w:r>
              <w:t>A gzip-JSON session (schemas 1 and 2); only the experiment inside is read, read-only. The charge shift CasaXPS baked into the stored energies is undone and kept as a calibration, a hand-edited photon energy is corrected from the other spectra of the same source (a warning names it), CasaXPS fits are read from the stored lines, and repeated sample names get a suffix. Where XPSView keeps one sweep count for all levels of a depth profile a warning says so.</w:t>
            </w:r>
          </w:p>
        </w:tc>
      </w:tr>
      <w:tr>
        <w:tc>
          <w:tcPr>
            <w:tcW w:type="dxa" w:w="2268"/>
          </w:tcPr>
          <w:p>
            <w:r>
              <w:t>KherveFitting project</w:t>
            </w:r>
          </w:p>
        </w:tc>
        <w:tc>
          <w:tcPr>
            <w:tcW w:type="dxa" w:w="1814"/>
          </w:tcPr>
          <w:p>
            <w:r>
              <w:t>.kfit</w:t>
            </w:r>
          </w:p>
        </w:tc>
        <w:tc>
          <w:tcPr>
            <w:tcW w:type="dxa" w:w="5329"/>
          </w:tcPr>
          <w:p>
            <w:r>
              <w:t>HDF5 project file (needs the optional h5py). Loads the spectra with the fits, backgrounds and sensitivity factors KherveFitting stored. A standalone Peaks Library .json is opened separately: Tools → Import KherveFitting peak model…</w:t>
            </w:r>
          </w:p>
        </w:tc>
      </w:tr>
    </w:tbl>
    <w:p/>
    <w:p>
      <w:r>
        <w:t>Files are recognised by their content, not only by their file extension, so a renamed file still opens correctly. Every format that can be opened can also be exported to CSV, VAMAS or NeXus, which makes the application a converter between instrument formats (for example, Thermo .avg to VAMAS).</w:t>
      </w:r>
    </w:p>
    <w:p>
      <w:r>
        <w:t>Binding energy is calculated as photon energy minus kinetic energy (BE = hν − KE) whenever the photon energy is known, and is not charge-corrected until you apply a calibration (Chapter 11).</w:t>
      </w:r>
    </w:p>
    <w:p>
      <w:r>
        <w:br w:type="page"/>
      </w:r>
    </w:p>
    <w:p>
      <w:pPr>
        <w:pStyle w:val="Heading1"/>
      </w:pPr>
      <w:r>
        <w:t>2. Installation and quick start</w:t>
      </w:r>
    </w:p>
    <w:p>
      <w:pPr>
        <w:pStyle w:val="Heading2"/>
      </w:pPr>
      <w:r>
        <w:t>Windows</w:t>
      </w:r>
    </w:p>
    <w:p>
      <w:pPr>
        <w:pStyle w:val="ListBullet"/>
      </w:pPr>
      <w:r>
        <w:t>Install Python 3.8 or later from python.org and tick “Add python.exe to PATH” during setup.</w:t>
      </w:r>
    </w:p>
    <w:p>
      <w:pPr>
        <w:pStyle w:val="ListBullet"/>
      </w:pPr>
      <w:r>
        <w:t>Double-click run.bat.</w:t>
      </w:r>
    </w:p>
    <w:p>
      <w:pPr>
        <w:pStyle w:val="Heading2"/>
      </w:pPr>
      <w:r>
        <w:t>macOS / Linux</w:t>
      </w:r>
    </w:p>
    <w:p>
      <w:r>
        <w:t>In a terminal, in the application folder:</w:t>
      </w:r>
    </w:p>
    <w:p>
      <w:pPr>
        <w:pStyle w:val="ListBullet"/>
      </w:pPr>
      <w:r>
        <w:t>chmod +x run.sh   (first time only)</w:t>
      </w:r>
    </w:p>
    <w:p>
      <w:pPr>
        <w:pStyle w:val="ListBullet"/>
      </w:pPr>
      <w:r>
        <w:t>./run.sh</w:t>
      </w:r>
    </w:p>
    <w:p>
      <w:r>
        <w:t>On the first launch the application builds an isolated environment in ./.venv and installs the required packages (an internet connection is needed once). Later launches start immediately, and nothing is installed into your system Python. The launcher re-installs automatically if its requirements change.</w:t>
      </w:r>
    </w:p>
    <w:p>
      <w:pPr>
        <w:pStyle w:val="Heading2"/>
      </w:pPr>
      <w:r>
        <w:t>Manual launch</w:t>
      </w:r>
    </w:p>
    <w:p>
      <w:r>
        <w:t>For more control, run the launcher directly: python launch.py (python3 launch.py on macOS/Linux).</w:t>
      </w:r>
    </w:p>
    <w:tbl>
      <w:tblPr>
        <w:tblStyle w:val="TableGrid"/>
        <w:tblW w:type="auto" w:w="0"/>
        <w:tblLayout w:type="fixed"/>
        <w:tblLook w:firstColumn="1" w:firstRow="1" w:lastColumn="0" w:lastRow="0" w:noHBand="0" w:noVBand="1" w:val="04A0"/>
      </w:tblPr>
      <w:tblGrid>
        <w:gridCol w:w="4706"/>
        <w:gridCol w:w="4706"/>
      </w:tblGrid>
      <w:tr>
        <w:tc>
          <w:tcPr>
            <w:tcW w:type="dxa" w:w="1984"/>
            <w:shd w:val="clear" w:color="auto" w:fill="2C3E50"/>
          </w:tcPr>
          <w:p>
            <w:r/>
            <w:r>
              <w:rPr>
                <w:b/>
                <w:color w:val="FFFFFF"/>
              </w:rPr>
              <w:t>Flag</w:t>
            </w:r>
          </w:p>
        </w:tc>
        <w:tc>
          <w:tcPr>
            <w:tcW w:type="dxa" w:w="7427"/>
            <w:shd w:val="clear" w:color="auto" w:fill="2C3E50"/>
          </w:tcPr>
          <w:p>
            <w:r/>
            <w:r>
              <w:rPr>
                <w:b/>
                <w:color w:val="FFFFFF"/>
              </w:rPr>
              <w:t>Effect</w:t>
            </w:r>
          </w:p>
        </w:tc>
      </w:tr>
      <w:tr>
        <w:tc>
          <w:tcPr>
            <w:tcW w:type="dxa" w:w="1984"/>
          </w:tcPr>
          <w:p>
            <w:r>
              <w:t>(no flag)</w:t>
            </w:r>
          </w:p>
        </w:tc>
        <w:tc>
          <w:tcPr>
            <w:tcW w:type="dxa" w:w="7427"/>
          </w:tcPr>
          <w:p>
            <w:r>
              <w:t>Create the environment if needed, then start the application.</w:t>
            </w:r>
          </w:p>
        </w:tc>
      </w:tr>
      <w:tr>
        <w:tc>
          <w:tcPr>
            <w:tcW w:type="dxa" w:w="1984"/>
          </w:tcPr>
          <w:p>
            <w:r>
              <w:t>--setup-only</w:t>
            </w:r>
          </w:p>
        </w:tc>
        <w:tc>
          <w:tcPr>
            <w:tcW w:type="dxa" w:w="7427"/>
          </w:tcPr>
          <w:p>
            <w:r>
              <w:t>Build the environment but do not start the application.</w:t>
            </w:r>
          </w:p>
        </w:tc>
      </w:tr>
      <w:tr>
        <w:tc>
          <w:tcPr>
            <w:tcW w:type="dxa" w:w="1984"/>
          </w:tcPr>
          <w:p>
            <w:r>
              <w:t>--reinstall</w:t>
            </w:r>
          </w:p>
        </w:tc>
        <w:tc>
          <w:tcPr>
            <w:tcW w:type="dxa" w:w="7427"/>
          </w:tcPr>
          <w:p>
            <w:r>
              <w:t>Rebuild the environment from scratch.</w:t>
            </w:r>
          </w:p>
        </w:tc>
      </w:tr>
      <w:tr>
        <w:tc>
          <w:tcPr>
            <w:tcW w:type="dxa" w:w="1984"/>
          </w:tcPr>
          <w:p>
            <w:r>
              <w:t>--check</w:t>
            </w:r>
          </w:p>
        </w:tc>
        <w:tc>
          <w:tcPr>
            <w:tcW w:type="dxa" w:w="7427"/>
          </w:tcPr>
          <w:p>
            <w:r>
              <w:t>Report environment/tkinter/application-file status and exit.</w:t>
            </w:r>
          </w:p>
        </w:tc>
      </w:tr>
    </w:tbl>
    <w:p/>
    <w:p>
      <w:pPr>
        <w:pStyle w:val="Heading2"/>
      </w:pPr>
      <w:r>
        <w:t>Portable Windows build (no Python needed)</w:t>
      </w:r>
    </w:p>
    <w:p>
      <w:r>
        <w:t>Each release on the project’s GitHub page carries SpectraDeck-&lt;version&gt;-win64.zip. Unzip it anywhere and double-click SpectraDeck.exe: the Python runtime and every library are inside, and nothing is installed. Settings are kept in your user folder as usual; put an empty file called portable.txt next to the exe to keep them in a data folder beside it instead, so a USB stick carries its own settings. The exe is not code-signed, so Windows may say “Windows protected your PC”: choose More info, then Run anyway.</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splash screen shown while the application starts. ]</w:t>
            </w:r>
          </w:p>
          <w:p/>
        </w:tc>
      </w:tr>
    </w:tbl>
    <w:p>
      <w:pPr>
        <w:jc w:val="center"/>
      </w:pPr>
      <w:r>
        <w:rPr>
          <w:i/>
          <w:sz w:val="20"/>
        </w:rPr>
        <w:t>Figure 1. The splash screen shown while the application starts.</w:t>
      </w:r>
    </w:p>
    <w:p/>
    <w:p>
      <w:r>
        <w:br w:type="page"/>
      </w:r>
    </w:p>
    <w:p>
      <w:pPr>
        <w:pStyle w:val="Heading1"/>
      </w:pPr>
      <w:r>
        <w:t>3. The workspace window</w:t>
      </w:r>
    </w:p>
    <w:p>
      <w:r>
        <w:t>eXPoSe SpectraDeck is a single window: a file tree on the left, a large plot in the middle, and an information column on the right (a Details panel above an Images / Stage map notebook). Drag any splitter to resize; sizes are remembered between sessions.</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workspace window: file tree, plot area and information column. ]</w:t>
            </w:r>
          </w:p>
          <w:p/>
        </w:tc>
      </w:tr>
    </w:tbl>
    <w:p>
      <w:pPr>
        <w:jc w:val="center"/>
      </w:pPr>
      <w:r>
        <w:rPr>
          <w:i/>
          <w:sz w:val="20"/>
        </w:rPr>
        <w:t>Figure 2. The workspace window: file tree, plot area and information column.</w:t>
      </w:r>
    </w:p>
    <w:p/>
    <w:p>
      <w:pPr>
        <w:pStyle w:val="Heading2"/>
      </w:pPr>
      <w:r>
        <w:t>The ribbon</w:t>
      </w:r>
    </w:p>
    <w:tbl>
      <w:tblPr>
        <w:tblStyle w:val="TableGrid"/>
        <w:tblW w:type="auto" w:w="0"/>
        <w:tblLayout w:type="fixed"/>
        <w:tblLook w:firstColumn="1" w:firstRow="1" w:lastColumn="0" w:lastRow="0" w:noHBand="0" w:noVBand="1" w:val="04A0"/>
      </w:tblPr>
      <w:tblGrid>
        <w:gridCol w:w="4706"/>
        <w:gridCol w:w="4706"/>
      </w:tblGrid>
      <w:tr>
        <w:tc>
          <w:tcPr>
            <w:tcW w:type="dxa" w:w="1701"/>
            <w:shd w:val="clear" w:color="auto" w:fill="2C3E50"/>
          </w:tcPr>
          <w:p>
            <w:r/>
            <w:r>
              <w:rPr>
                <w:b/>
                <w:color w:val="FFFFFF"/>
              </w:rPr>
              <w:t>Tab</w:t>
            </w:r>
          </w:p>
        </w:tc>
        <w:tc>
          <w:tcPr>
            <w:tcW w:type="dxa" w:w="7710"/>
            <w:shd w:val="clear" w:color="auto" w:fill="2C3E50"/>
          </w:tcPr>
          <w:p>
            <w:r/>
            <w:r>
              <w:rPr>
                <w:b/>
                <w:color w:val="FFFFFF"/>
              </w:rPr>
              <w:t>Contains</w:t>
            </w:r>
          </w:p>
        </w:tc>
      </w:tr>
      <w:tr>
        <w:tc>
          <w:tcPr>
            <w:tcW w:type="dxa" w:w="1701"/>
          </w:tcPr>
          <w:p>
            <w:r>
              <w:t>Home</w:t>
            </w:r>
          </w:p>
        </w:tc>
        <w:tc>
          <w:tcPr>
            <w:tcW w:type="dxa" w:w="7710"/>
          </w:tcPr>
          <w:p>
            <w:r>
              <w:t>Open, folder, recent files, workbook, save, export (CSV, VAMAS, NeXus, regions and levels, metadata), save plot image.</w:t>
            </w:r>
          </w:p>
        </w:tc>
      </w:tr>
      <w:tr>
        <w:tc>
          <w:tcPr>
            <w:tcW w:type="dxa" w:w="1701"/>
          </w:tcPr>
          <w:p>
            <w:r>
              <w:t>Analyse</w:t>
            </w:r>
          </w:p>
        </w:tc>
        <w:tc>
          <w:tcPr>
            <w:tcW w:type="dxa" w:w="7710"/>
          </w:tcPr>
          <w:p>
            <w:r>
              <w:t>Calibrate, identify peaks, ISS/REELS, sputter settings, instrument settings (NeXus), SnapMap, rename, notes.</w:t>
            </w:r>
          </w:p>
        </w:tc>
      </w:tr>
      <w:tr>
        <w:tc>
          <w:tcPr>
            <w:tcW w:type="dxa" w:w="1701"/>
          </w:tcPr>
          <w:p>
            <w:r>
              <w:t>Report</w:t>
            </w:r>
          </w:p>
        </w:tc>
        <w:tc>
          <w:tcPr>
            <w:tcW w:type="dxa" w:w="7710"/>
          </w:tcPr>
          <w:p>
            <w:r>
              <w:t>Details, figures, Report generator, report PDF, slides, Word, hand-over ZIP, HTML browser, PDF previews.</w:t>
            </w:r>
          </w:p>
        </w:tc>
      </w:tr>
      <w:tr>
        <w:tc>
          <w:tcPr>
            <w:tcW w:type="dxa" w:w="1701"/>
          </w:tcPr>
          <w:p>
            <w:r>
              <w:t>View</w:t>
            </w:r>
          </w:p>
        </w:tc>
        <w:tc>
          <w:tcPr>
            <w:tcW w:type="dxa" w:w="7710"/>
          </w:tcPr>
          <w:p>
            <w:r>
              <w:t>Theme, plot style, side panels, focus mode, expand/collapse, untick all.</w:t>
            </w:r>
          </w:p>
        </w:tc>
      </w:tr>
    </w:tbl>
    <w:p/>
    <w:p>
      <w:r>
        <w:t>Every ribbon button is a shortcut for a menu command — the menu bar still holds everything — and buttons that need spectra are dimmed until a file is open. Double-click a tab, or use the arrow at the right, to fold the ribbon down to just the tab row and give the plot the height back; the chosen tab and fold state are remembered. Beside About sit small launcher buttons for CasaXPS and KherveFitting (Chapter 4).</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tabbed ribbon: Home, Analyse, Report and View. ]</w:t>
            </w:r>
          </w:p>
          <w:p/>
        </w:tc>
      </w:tr>
    </w:tbl>
    <w:p>
      <w:pPr>
        <w:jc w:val="center"/>
      </w:pPr>
      <w:r>
        <w:rPr>
          <w:i/>
          <w:sz w:val="20"/>
        </w:rPr>
        <w:t>Figure 3. The tabbed ribbon: Home, Analyse, Report and View.</w:t>
      </w:r>
    </w:p>
    <w:p/>
    <w:p>
      <w:pPr>
        <w:pStyle w:val="Heading2"/>
      </w:pPr>
      <w:r>
        <w:t>Splash and About</w:t>
      </w:r>
    </w:p>
    <w:p>
      <w:r>
        <w:t>A splash screen shows while the program starts; click it, or press Esc, to close it early. Help → About shows the version, a link to the project page, the libraries in use, and a Copy version info button for bug reports.</w:t>
      </w:r>
    </w:p>
    <w:p>
      <w:r>
        <w:br w:type="page"/>
      </w:r>
    </w:p>
    <w:p>
      <w:pPr>
        <w:pStyle w:val="Heading1"/>
      </w:pPr>
      <w:r>
        <w:t>4. Opening and organising files</w:t>
      </w:r>
    </w:p>
    <w:p>
      <w:r>
        <w:t>Use Open → Spectra files… to load several files of any supported format, or Open → Folder… to load every recognised file in a folder. Each file becomes a top-level node in the tree. A folder from a Thermo Avantage experiment, or its .VGX file, opens as one experiment instead (see Chapter 22).</w:t>
      </w:r>
    </w:p>
    <w:p>
      <w:r>
        <w:t>If a selection or folder holds the same dataset as both .avg and .vgd (Avantage), or as both .dset and .kal (Kratos Vision2 and its DumpDataset text), you are asked which to import (.avg and .dset are pre-selected). Tick “Remember my choice” to stop being asked about that pair of formats; File → “Forget my choice for duplicate files” brings the question back. A folder’s own index-only .dset, which holds no spectra, is skipped.</w:t>
      </w:r>
    </w:p>
    <w:p>
      <w:r>
        <w:t>File → Close all files unloads every file and resets the workbook. It does not ask for confirmation and cannot be undone, so save first (Ctrl+S) if you want to keep your ticks and annotations.</w:t>
      </w:r>
    </w:p>
    <w:p>
      <w:r>
        <w:t>Every node that holds spectra has a tick box — click it, or press Space. Ticking a sample, region folder or whole file ticks everything beneath it; a partly-ticked parent shows a bar. Filter narrows the tree without losing your ticks. Right-click a row to tick or untick a whole subtree, export from there down, or remove a file. On a single region, “Tick every … region (all samples)” and “Untick every … region (all samples)” act on every region of that name in every loaded file — tick all the C 1s, then untick the odd ones out, to build a report figure. CasaXPS and KherveFitting have a small icon button beside About. If the program is not found automatically, the first click asks you to show where it is and remembers the answer; right-click a button to point at another copy or hide it (Tools → Open / Locate / Show the … button has the same).</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file tree with several spectra ticked and their colour swatches. ]</w:t>
            </w:r>
          </w:p>
          <w:p/>
        </w:tc>
      </w:tr>
    </w:tbl>
    <w:p>
      <w:pPr>
        <w:jc w:val="center"/>
      </w:pPr>
      <w:r>
        <w:rPr>
          <w:i/>
          <w:sz w:val="20"/>
        </w:rPr>
        <w:t>Figure 4. The file tree with several spectra ticked and their colour swatches.</w:t>
      </w:r>
    </w:p>
    <w:p/>
    <w:p>
      <w:pPr>
        <w:pStyle w:val="Heading2"/>
      </w:pPr>
      <w:r>
        <w:t>What kind of run a spectrum belongs to</w:t>
      </w:r>
    </w:p>
    <w:p>
      <w:r>
        <w:t>Details shows a Block type row where the instrument file says what kind of measurement a spectrum belongs to. It is only what the file records, never a guess about purpose, and it changes nothing about how the spectrum is named or grouped. A Kratos ESCApe file writes each run behind a class name, so its spectra are labelled acquisition sequence, depth profile, angle-resolved, etch or repeat-sequence run. For Thermo Avantage the levels of one file are a depth profile when they have etch times, an angle-resolved series when they are stage tilts, and otherwise an iteration series (the same scan repeated in succession); a file of several analysis points is a multi-point scan.</w:t>
      </w:r>
    </w:p>
    <w:p>
      <w:r>
        <w:t>A Kratos .experiment is split by these runs. Each run gets its own sample, read from the run’s own analysis-location record; depth-profile levels are numbered within their run and the etch times come from the run’s own duration record, not an assumed step; a sample measured in several runs becomes one sample per run (“&lt;sample&gt; – Depth profile 2”, “– Sequence 1”), so plots, levels and quantification do not pool them. Notes, shifts and markers you entered before the split are carried over to the new samples. Spectra written before a file’s first run marker stay unlabelled, and a .kal or .dset has no run structure and is not split.</w:t>
      </w:r>
    </w:p>
    <w:p>
      <w:pPr>
        <w:pStyle w:val="Heading2"/>
      </w:pPr>
      <w:r>
        <w:t>XPSView and HarwellXPS sessions (.xpsv)</w:t>
      </w:r>
    </w:p>
    <w:p>
      <w:r>
        <w:t>A .xpsv session opens like any other file: its samples, spectra, pictures and CasaXPS fits appear in the tree, and everything the application does with spectra works on them. Only the experiment inside the session is read (report sections, figures and workflow are not), and nothing is written back. What the reader corrects, because the file does it differently: a charge correction CasaXPS had applied is undone on the stored axis and kept as the spectrum’s calibration, so fit positions stay where CasaXPS had them; a photon energy that was edited by hand is replaced by the value the other spectra of the same source store, with a warning; the stored per-sweep and summed dwell times are told apart; and sample names that repeat (a spot sequence, its locations and a depth profile of one sample) are made unique. A spectrum acquired with an ion beam (ISS, REELS) is kept on a kinetic-energy axis with no photon energy. XPSView keeps one sweep count for all levels of a depth profile, so each level is given that count and one warning says the true figure needs the instrument file.</w:t>
      </w:r>
    </w:p>
    <w:p>
      <w:r>
        <w:br w:type="page"/>
      </w:r>
    </w:p>
    <w:p>
      <w:pPr>
        <w:pStyle w:val="Heading1"/>
      </w:pPr>
      <w:r>
        <w:t>5. Plotting spectra</w:t>
      </w:r>
    </w:p>
    <w:p>
      <w:r>
        <w:t>Ticked spectra are plotted at once, and the tree is the legend. Spectra sharing an element name (every C 1s, across samples and files) are drawn on one panel, stacked with a vertical offset; other elements get their own panels. A ticked box in the tree is a swatch in the trace's colour: one colour per file when several files are loaded, otherwise one per sample, and a fading ramp of one hue for long stacks such as depth profiles. Stacked panels have no y-axis ticks — a scale bar gives the intensity scale, and each trace is labelled at its right-hand end. The selected spectrum is drawn heavier than the rest.</w:t>
      </w:r>
    </w:p>
    <w:p>
      <w:pPr>
        <w:pStyle w:val="Heading2"/>
      </w:pPr>
      <w:r>
        <w:t>View controls</w:t>
      </w:r>
    </w:p>
    <w:tbl>
      <w:tblPr>
        <w:tblStyle w:val="TableGrid"/>
        <w:tblW w:type="auto" w:w="0"/>
        <w:tblLayout w:type="fixed"/>
        <w:tblLook w:firstColumn="1" w:firstRow="1" w:lastColumn="0" w:lastRow="0" w:noHBand="0" w:noVBand="1" w:val="04A0"/>
      </w:tblPr>
      <w:tblGrid>
        <w:gridCol w:w="4706"/>
        <w:gridCol w:w="4706"/>
      </w:tblGrid>
      <w:tr>
        <w:tc>
          <w:tcPr>
            <w:tcW w:type="dxa" w:w="1701"/>
            <w:shd w:val="clear" w:color="auto" w:fill="2C3E50"/>
          </w:tcPr>
          <w:p>
            <w:r/>
            <w:r>
              <w:rPr>
                <w:b/>
                <w:color w:val="FFFFFF"/>
              </w:rPr>
              <w:t>Control</w:t>
            </w:r>
          </w:p>
        </w:tc>
        <w:tc>
          <w:tcPr>
            <w:tcW w:type="dxa" w:w="7710"/>
            <w:shd w:val="clear" w:color="auto" w:fill="2C3E50"/>
          </w:tcPr>
          <w:p>
            <w:r/>
            <w:r>
              <w:rPr>
                <w:b/>
                <w:color w:val="FFFFFF"/>
              </w:rPr>
              <w:t>What it does</w:t>
            </w:r>
          </w:p>
        </w:tc>
      </w:tr>
      <w:tr>
        <w:tc>
          <w:tcPr>
            <w:tcW w:type="dxa" w:w="1701"/>
          </w:tcPr>
          <w:p>
            <w:r>
              <w:t>Group by</w:t>
            </w:r>
          </w:p>
        </w:tc>
        <w:tc>
          <w:tcPr>
            <w:tcW w:type="dxa" w:w="7710"/>
          </w:tcPr>
          <w:p>
            <w:r>
              <w:t>Element name; Energy range (spectra whose ranges overlap by at least half share a panel); or Element, per sample / per file.</w:t>
            </w:r>
          </w:p>
        </w:tc>
      </w:tr>
      <w:tr>
        <w:tc>
          <w:tcPr>
            <w:tcW w:type="dxa" w:w="1701"/>
          </w:tcPr>
          <w:p>
            <w:r>
              <w:t>Normalise</w:t>
            </w:r>
          </w:p>
        </w:tc>
        <w:tc>
          <w:tcPr>
            <w:tcW w:type="dxa" w:w="7710"/>
          </w:tcPr>
          <w:p>
            <w:r>
              <w:t>None; Max = 1; Area = 1; or At cursor — click a panel to set an energy, and every spectrum in it is scaled to match there; or Range — the intensity at a low- and a high-binding-energy point, the lower of the two becoming 0 and the higher 1 (the data's own ends until you click a panel to move the nearer end point; right-click to reset).</w:t>
            </w:r>
          </w:p>
        </w:tc>
      </w:tr>
      <w:tr>
        <w:tc>
          <w:tcPr>
            <w:tcW w:type="dxa" w:w="1701"/>
          </w:tcPr>
          <w:p>
            <w:r>
              <w:t>Offset</w:t>
            </w:r>
          </w:p>
        </w:tc>
        <w:tc>
          <w:tcPr>
            <w:tcW w:type="dxa" w:w="7710"/>
          </w:tcPr>
          <w:p>
            <w:r>
              <w:t>The gap between stacked traces (0 overlays them). Reverse stack flips the order.</w:t>
            </w:r>
          </w:p>
        </w:tc>
      </w:tr>
      <w:tr>
        <w:tc>
          <w:tcPr>
            <w:tcW w:type="dxa" w:w="1701"/>
          </w:tcPr>
          <w:p>
            <w:r>
              <w:t>View</w:t>
            </w:r>
          </w:p>
        </w:tc>
        <w:tc>
          <w:tcPr>
            <w:tcW w:type="dxa" w:w="7710"/>
          </w:tcPr>
          <w:p>
            <w:r>
              <w:t>Stack (the default); Waterfall 3D (a rotatable 3-D plot); Heatmap (intensity as colour, with a colour bar); Fit (one trace with its CasaXPS fit forced on, Chapter 20); or Fit stack (up to eight traces, each with its own fit, offset like a stack).</w:t>
            </w:r>
          </w:p>
        </w:tc>
      </w:tr>
      <w:tr>
        <w:tc>
          <w:tcPr>
            <w:tcW w:type="dxa" w:w="1701"/>
          </w:tcPr>
          <w:p>
            <w:r>
              <w:t>Z axis</w:t>
            </w:r>
          </w:p>
        </w:tc>
        <w:tc>
          <w:tcPr>
            <w:tcW w:type="dxa" w:w="7710"/>
          </w:tcPr>
          <w:p>
            <w:r>
              <w:t>What the trace axis shows in a waterfall or heatmap: Auto (etch time, else etch level, else acquisition time, else trace order), or pick one.</w:t>
            </w:r>
          </w:p>
        </w:tc>
      </w:tr>
      <w:tr>
        <w:tc>
          <w:tcPr>
            <w:tcW w:type="dxa" w:w="1701"/>
          </w:tcPr>
          <w:p>
            <w:r>
              <w:t>Colour</w:t>
            </w:r>
          </w:p>
        </w:tc>
        <w:tc>
          <w:tcPr>
            <w:tcW w:type="dxa" w:w="7710"/>
          </w:tcPr>
          <w:p>
            <w:r>
              <w:t>Theme default, or a named scale (Viridis, Plasma, Magma, …) applied to the heatmap and spread across a stack's traces; Reverse flips it. Black (single colour) draws every trace in one colour (black; the theme's text colour on a dark plot) — pair it with the Data points preset for black points.</w:t>
            </w:r>
          </w:p>
        </w:tc>
      </w:tr>
      <w:tr>
        <w:tc>
          <w:tcPr>
            <w:tcW w:type="dxa" w:w="1701"/>
          </w:tcPr>
          <w:p>
            <w:r>
              <w:t>Axes</w:t>
            </w:r>
          </w:p>
        </w:tc>
        <w:tc>
          <w:tcPr>
            <w:tcW w:type="dxa" w:w="7710"/>
          </w:tcPr>
          <w:p>
            <w:r>
              <w:t>Colour of the axis lines, ticks and labels: Theme default, Black, White, or a colour you choose.</w:t>
            </w:r>
          </w:p>
        </w:tc>
      </w:tr>
      <w:tr>
        <w:tc>
          <w:tcPr>
            <w:tcW w:type="dxa" w:w="1701"/>
          </w:tcPr>
          <w:p>
            <w:r>
              <w:t>Energy</w:t>
            </w:r>
          </w:p>
        </w:tc>
        <w:tc>
          <w:tcPr>
            <w:tcW w:type="dxa" w:w="7710"/>
          </w:tcPr>
          <w:p>
            <w:r>
              <w:t>Binding or Kinetic (KE = hν − BE, when the photon energy is known); KE top axis mirrors binding energy along the top as kinetic energy.</w:t>
            </w:r>
          </w:p>
        </w:tc>
      </w:tr>
    </w:tbl>
    <w:p/>
    <w:p>
      <w:pPr>
        <w:pStyle w:val="Heading2"/>
      </w:pPr>
      <w:r>
        <w:t>Different views on one page</w:t>
      </w:r>
    </w:p>
    <w:p>
      <w:r>
        <w:t>The view row sets the default for every panel, but any panel can differ: right-click it and the menu has four sections. Spectrum holds View, Normalise, Offset, Z axis and Reverse order, which act on that panel alone, so one page can hold a waterfall, a stack and a fitted spectrum. Fit and peaks holds Fit layers, Other possible lines and Identify peaks…, Layout holds the order and shape of the panels (below) and Save holds the image and figure commands. “Use the page’s view”, in Spectrum, takes a panel back to the default, and View → Reset panel views clears every override. A panel is identified by its group label, so use “Element, per sample” grouping to give two samples’ C 1s different views. Panel views are saved in the workbook and in each saved figure, so reports show them as you set them.</w:t>
      </w:r>
    </w:p>
    <w:p>
      <w:pPr>
        <w:pStyle w:val="Heading2"/>
      </w:pPr>
      <w:r>
        <w:t>Columns, panel shape and the page layout</w:t>
      </w:r>
    </w:p>
    <w:p>
      <w:r>
        <w:t>Two boxes beside Panels shape the grid. Columns (Auto, 1 to 4) sets how many panels sit side by side; Shape (Portrait 2:3, Portrait 3:4, Square or Landscape 4:3) gives every panel that proportion, so two columns of portrait spectra are Columns 2 and Shape Portrait 3:4. Auto leaves both to the program. Both are also in the right-click menu, under Layout, and they apply to the plot, Save plot image…, the PDF, slides and Word figure pages and the data browser page.</w:t>
      </w:r>
    </w:p>
    <w:p>
      <w:r>
        <w:t>For a page that is not a plain grid, give a position its own shape and size: right-click a panel and choose Layout, then Shape of this position or Size of this position (Tall, Wide or Large, which take two rows, two columns or both). The layout belongs to the positions on the page, not to the panels: a wide survey above two high-resolution regions stays that way when you move another panel to the first position, and that panel takes on the wide format. Use Move panel (or drag a panel's heading strip onto another) to change who sits where; Reset page layout returns to the plain grid. The same layout repeats on every page of a long set and is saved in the workbook and in each saved figure; the data browser page follows Columns and Shape but not a position layout.</w:t>
      </w:r>
    </w:p>
    <w:p>
      <w:pPr>
        <w:jc w:val="center"/>
      </w:pPr>
      <w:r>
        <w:drawing>
          <wp:inline xmlns:a="http://schemas.openxmlformats.org/drawingml/2006/main" xmlns:pic="http://schemas.openxmlformats.org/drawingml/2006/picture">
            <wp:extent cx="5976000" cy="4108500"/>
            <wp:docPr id="1" name="Picture 1"/>
            <wp:cNvGraphicFramePr>
              <a:graphicFrameLocks noChangeAspect="1"/>
            </wp:cNvGraphicFramePr>
            <a:graphic>
              <a:graphicData uri="http://schemas.openxmlformats.org/drawingml/2006/picture">
                <pic:pic>
                  <pic:nvPicPr>
                    <pic:cNvPr id="0" name="fig_layout.png"/>
                    <pic:cNvPicPr/>
                  </pic:nvPicPr>
                  <pic:blipFill>
                    <a:blip r:embed="rId10"/>
                    <a:stretch>
                      <a:fillRect/>
                    </a:stretch>
                  </pic:blipFill>
                  <pic:spPr>
                    <a:xfrm>
                      <a:off x="0" y="0"/>
                      <a:ext cx="5976000" cy="4108500"/>
                    </a:xfrm>
                    <a:prstGeom prst="rect"/>
                  </pic:spPr>
                </pic:pic>
              </a:graphicData>
            </a:graphic>
          </wp:inline>
        </w:drawing>
      </w:r>
    </w:p>
    <w:p>
      <w:pPr>
        <w:jc w:val="center"/>
      </w:pPr>
      <w:r>
        <w:rPr>
          <w:i/>
          <w:sz w:val="20"/>
        </w:rPr>
        <w:t>Figure 5. A page layout: the first position is Wide, so the survey spans both columns above the Al 2p and O 1s panels.</w:t>
      </w:r>
    </w:p>
    <w:p/>
    <w:p>
      <w:r>
        <w:t>Layout ▸ Spacing… opens the Plot style dialog on its Spacing tab, where three sliders set the gap across, the gap down and the page margin (Chapter 17).</w:t>
      </w:r>
    </w:p>
    <w:p>
      <w:pPr>
        <w:pStyle w:val="Heading2"/>
      </w:pPr>
      <w:r>
        <w:t>Zooming, and saving what you see as a figure</w:t>
      </w:r>
    </w:p>
    <w:p>
      <w:r>
        <w:t>The magnifier and hand buttons under the plot zoom and pan; the tool stays switched on after a zoom until you press its button again. With it on, a drag still zooms or pans, but a plain click now works as usual: right-click opens the panel menu (so Identify peaks… and Other possible lines can be used on the zoomed view) and, with Identify open, a left click adds the element line at the clicked energy.</w:t>
      </w:r>
    </w:p>
    <w:p>
      <w:r>
        <w:t>To keep what you are looking at, right-click the plot and choose “Save this view as a figure…” (right-click outside the panels, or use Workbook → “Save current view as a figure…”, if you prefer the menu). Give it a name and it appears in Workbook → Figures…, where you can add a caption. A figure remembers the zoom of each panel you had zoomed, so the report, the slides, the Word document and the hand-over images show that energy range; panels you did not zoom keep their full range, and a figure saved before this existed keeps whatever zoom is on screen when you recall it.</w:t>
      </w:r>
    </w:p>
    <w:p>
      <w:pPr>
        <w:jc w:val="center"/>
      </w:pPr>
      <w:r>
        <w:drawing>
          <wp:inline xmlns:a="http://schemas.openxmlformats.org/drawingml/2006/main" xmlns:pic="http://schemas.openxmlformats.org/drawingml/2006/picture">
            <wp:extent cx="5976000" cy="3452800"/>
            <wp:docPr id="2" name="Picture 2"/>
            <wp:cNvGraphicFramePr>
              <a:graphicFrameLocks noChangeAspect="1"/>
            </wp:cNvGraphicFramePr>
            <a:graphic>
              <a:graphicData uri="http://schemas.openxmlformats.org/drawingml/2006/picture">
                <pic:pic>
                  <pic:nvPicPr>
                    <pic:cNvPr id="0" name="fig_stack.png"/>
                    <pic:cNvPicPr/>
                  </pic:nvPicPr>
                  <pic:blipFill>
                    <a:blip r:embed="rId11"/>
                    <a:stretch>
                      <a:fillRect/>
                    </a:stretch>
                  </pic:blipFill>
                  <pic:spPr>
                    <a:xfrm>
                      <a:off x="0" y="0"/>
                      <a:ext cx="5976000" cy="3452800"/>
                    </a:xfrm>
                    <a:prstGeom prst="rect"/>
                  </pic:spPr>
                </pic:pic>
              </a:graphicData>
            </a:graphic>
          </wp:inline>
        </w:drawing>
      </w:r>
    </w:p>
    <w:p>
      <w:pPr>
        <w:jc w:val="center"/>
      </w:pPr>
      <w:r>
        <w:rPr>
          <w:i/>
          <w:sz w:val="20"/>
        </w:rPr>
        <w:t>Figure 6. A stack view: several spectra of one core level, offset vertically.</w:t>
      </w:r>
    </w:p>
    <w:p/>
    <w:p>
      <w:pPr>
        <w:jc w:val="center"/>
      </w:pPr>
      <w:r>
        <w:drawing>
          <wp:inline xmlns:a="http://schemas.openxmlformats.org/drawingml/2006/main" xmlns:pic="http://schemas.openxmlformats.org/drawingml/2006/picture">
            <wp:extent cx="5976000" cy="3984000"/>
            <wp:docPr id="3" name="Picture 3"/>
            <wp:cNvGraphicFramePr>
              <a:graphicFrameLocks noChangeAspect="1"/>
            </wp:cNvGraphicFramePr>
            <a:graphic>
              <a:graphicData uri="http://schemas.openxmlformats.org/drawingml/2006/picture">
                <pic:pic>
                  <pic:nvPicPr>
                    <pic:cNvPr id="0" name="fig_waterfall.png"/>
                    <pic:cNvPicPr/>
                  </pic:nvPicPr>
                  <pic:blipFill>
                    <a:blip r:embed="rId12"/>
                    <a:stretch>
                      <a:fillRect/>
                    </a:stretch>
                  </pic:blipFill>
                  <pic:spPr>
                    <a:xfrm>
                      <a:off x="0" y="0"/>
                      <a:ext cx="5976000" cy="3984000"/>
                    </a:xfrm>
                    <a:prstGeom prst="rect"/>
                  </pic:spPr>
                </pic:pic>
              </a:graphicData>
            </a:graphic>
          </wp:inline>
        </w:drawing>
      </w:r>
    </w:p>
    <w:p>
      <w:pPr>
        <w:jc w:val="center"/>
      </w:pPr>
      <w:r>
        <w:rPr>
          <w:i/>
          <w:sz w:val="20"/>
        </w:rPr>
        <w:t>Figure 7. A Waterfall 3D view of a depth profile.</w:t>
      </w:r>
    </w:p>
    <w:p/>
    <w:p>
      <w:pPr>
        <w:jc w:val="center"/>
      </w:pPr>
      <w:r>
        <w:drawing>
          <wp:inline xmlns:a="http://schemas.openxmlformats.org/drawingml/2006/main" xmlns:pic="http://schemas.openxmlformats.org/drawingml/2006/picture">
            <wp:extent cx="5976000" cy="3452800"/>
            <wp:docPr id="4" name="Picture 4"/>
            <wp:cNvGraphicFramePr>
              <a:graphicFrameLocks noChangeAspect="1"/>
            </wp:cNvGraphicFramePr>
            <a:graphic>
              <a:graphicData uri="http://schemas.openxmlformats.org/drawingml/2006/picture">
                <pic:pic>
                  <pic:nvPicPr>
                    <pic:cNvPr id="0" name="fig_heatmap.png"/>
                    <pic:cNvPicPr/>
                  </pic:nvPicPr>
                  <pic:blipFill>
                    <a:blip r:embed="rId13"/>
                    <a:stretch>
                      <a:fillRect/>
                    </a:stretch>
                  </pic:blipFill>
                  <pic:spPr>
                    <a:xfrm>
                      <a:off x="0" y="0"/>
                      <a:ext cx="5976000" cy="3452800"/>
                    </a:xfrm>
                    <a:prstGeom prst="rect"/>
                  </pic:spPr>
                </pic:pic>
              </a:graphicData>
            </a:graphic>
          </wp:inline>
        </w:drawing>
      </w:r>
    </w:p>
    <w:p>
      <w:pPr>
        <w:jc w:val="center"/>
      </w:pPr>
      <w:r>
        <w:rPr>
          <w:i/>
          <w:sz w:val="20"/>
        </w:rPr>
        <w:t>Figure 8. A Heatmap view of a depth profile, with its colour bar.</w:t>
      </w:r>
    </w:p>
    <w:p/>
    <w:p>
      <w:r>
        <w:br w:type="page"/>
      </w:r>
    </w:p>
    <w:p>
      <w:pPr>
        <w:pStyle w:val="Heading1"/>
      </w:pPr>
      <w:r>
        <w:t>6. Paging, scrolling and playback</w:t>
      </w:r>
    </w:p>
    <w:p>
      <w:r>
        <w:t>Panels per page chooses how many panels are shown at once (Auto, 1, 2, 4, 6, 9, 12 or 16); scroll between pages with the mouse wheel, the scrollbar beside the plot, Page Up / Page Down, Home / End, or the Prev / Next buttons. Pages turn by whole rows of panels, and the last page always reaches the last panel. In a report, with Panels on Auto, a set Columns and Shape fill each page with as many rows of that shape as fit.</w:t>
      </w:r>
    </w:p>
    <w:p>
      <w:r>
        <w:t>Traces per panel is either All or a fixed number. For a long stack (say a 200-level depth profile) each panel then shows a window of that many traces; slide the window with Shift + mouse wheel or the Traces slider under the plot.</w:t>
      </w:r>
    </w:p>
    <w:p>
      <w:r>
        <w:t>The ▶ Play button, or the ◀ / → keys, step through the traces in view — set Traces to 1 to step through a depth profile one level at a time.</w:t>
      </w:r>
    </w:p>
    <w:p>
      <w:r>
        <w:br w:type="page"/>
      </w:r>
    </w:p>
    <w:p>
      <w:pPr>
        <w:pStyle w:val="Heading1"/>
      </w:pPr>
      <w:r>
        <w:t>7. Selecting a spectrum: Details, Images, Stage map and Quantification</w:t>
      </w:r>
    </w:p>
    <w:p>
      <w:r>
        <w:t>Ticking a row plots it; selecting a row (rather than ticking it) fills the Details panel with the sample, acquisition and region information (all of it copyable), and the Images / Stage map tabs, which only appear when the loaded files carry images or stage positions.</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Details panel for a selected spectrum. ]</w:t>
            </w:r>
          </w:p>
          <w:p/>
        </w:tc>
      </w:tr>
    </w:tbl>
    <w:p>
      <w:pPr>
        <w:jc w:val="center"/>
      </w:pPr>
      <w:r>
        <w:rPr>
          <w:i/>
          <w:sz w:val="20"/>
        </w:rPr>
        <w:t>Figure 9. The Details panel for a selected spectrum.</w:t>
      </w:r>
    </w:p>
    <w:p/>
    <w:p>
      <w:pPr>
        <w:pStyle w:val="Heading2"/>
      </w:pPr>
      <w:r>
        <w:t>Quantification tab</w:t>
      </w:r>
    </w:p>
    <w:p>
      <w:r>
        <w:t>When a ticked region carries a peak fit (CasaXPS, KherveFitting or Avantage), a Quantification tab joins the Images and Stage map tabs. It gives atomic percent from the fit areas divided by sensitivity factors (RSF), for the samples you have ticked, using the same code as the PDF, the slides and the HTML page, so the numbers agree everywhere. Nothing is guessed: a region with no RSF or no area is left out and the tab says why.</w:t>
      </w:r>
    </w:p>
    <w:p>
      <w:pPr>
        <w:pStyle w:val="ListBullet"/>
      </w:pPr>
      <w:r>
        <w:t>Sample chooses which sample to show. A survey and the ticked high-resolution regions are never one total: each sample’s survey fits appear as their own “&lt;sample&gt; (survey)” entry.</w:t>
      </w:r>
    </w:p>
    <w:p>
      <w:pPr>
        <w:pStyle w:val="ListBullet"/>
      </w:pPr>
      <w:r>
        <w:t>Each fitted region has a tick box. A region fitted in more than one spectrum is counted once by default (the dedicated scan, not the survey), and an element fitted from more than one line (Pt 4f and Pt 4d, or Ti 2p and Ti 3p) counts from one only, so it is not counted twice: its standard line where there is one (Pt 4f rather than Pt 4d), otherwise the line with the highest sensitivity factor. Tick another line of the element and the first is unticked for you, so switching from Pt 4f to Pt 4d is one click; untick a region to leave it out. Reset ticks returns to the automatic choice. Your ticks are saved in the workbook and followed by the reports and the HTML page.</w:t>
      </w:r>
    </w:p>
    <w:p>
      <w:pPr>
        <w:pStyle w:val="ListBullet"/>
      </w:pPr>
      <w:r>
        <w:t>RSF chooses the sensitivity-factor fallback for a region whose file records none (off by default): the file’s own factor is always used first, then the factors of its components, and only then a reference table (Scofield, Kratos Axis F 1s, or Scofield with a TPP-2M or KE^0.6 mean-free-path correction). A substituted value is always labelled as such, never shown as though the file had recorded it.</w:t>
      </w:r>
    </w:p>
    <w:p>
      <w:pPr>
        <w:pStyle w:val="ListBullet"/>
      </w:pPr>
      <w:r>
        <w:t>Show picks a depth level; a sample with two or more levels opens on a depth profile (by element, by chemical state, or state share).</w:t>
      </w:r>
    </w:p>
    <w:p>
      <w:pPr>
        <w:pStyle w:val="ListBullet"/>
      </w:pPr>
      <w:r>
        <w:t>Divide out the transmission function applies the file’s transmission (only offered when the file has one; off by default).</w:t>
      </w:r>
    </w:p>
    <w:p>
      <w:pPr>
        <w:pStyle w:val="ListBullet"/>
      </w:pPr>
      <w:r>
        <w:t>Use CasaXPS’s own numbers (on by default, available when CasaXPS’s own quantification export, Quant_regions.txt / Quant_survey.txt, was found beside the data) takes the percentages from that export instead of recomputing, renormalised over the regions that count. A region the CasaXPS file has no row for is left out with a note rather than filled with a different calculation. Untick the box to recompute everything.</w:t>
      </w:r>
    </w:p>
    <w:p>
      <w:pPr>
        <w:pStyle w:val="ListBullet"/>
      </w:pPr>
      <w:r>
        <w:t>Export CSV… writes the table with your ticks applied (UTF-8 with a BOM, so Excel shows α and µ correctly). The neighbouring CasaXPS quant tab, shown when such export files were found, lists them exactly as CasaXPS wrote them.</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Quantification tab: regions with tick boxes, RSF and the recomputed or CasaXPS atomic percent. ]</w:t>
            </w:r>
          </w:p>
          <w:p/>
        </w:tc>
      </w:tr>
    </w:tbl>
    <w:p>
      <w:pPr>
        <w:jc w:val="center"/>
      </w:pPr>
      <w:r>
        <w:rPr>
          <w:i/>
          <w:sz w:val="20"/>
        </w:rPr>
        <w:t>Figure 10. The Quantification tab: regions with tick boxes, RSF and the recomputed or CasaXPS atomic percent.</w:t>
      </w:r>
    </w:p>
    <w:p/>
    <w:p>
      <w:r>
        <w:t>Selecting several rows at once (or a whole sample or file) tidies Details: a setting that is the same for all of them, such as photon energy or lens mode, is stated once; settings that differ are grouped by value. The metadata PDF (Chapter 14) does the same for each sample.</w:t>
      </w:r>
    </w:p>
    <w:p>
      <w:pPr>
        <w:pStyle w:val="Heading2"/>
      </w:pPr>
      <w:r>
        <w:t>Repeat groups</w:t>
      </w:r>
    </w:p>
    <w:p>
      <w:r>
        <w:t>Samples that repeat one another (several locations on one sample, or a spot measured again) can be put in a repeat group. The Quantification tab then shows, after the samples, “Group: &lt;name&gt; (n samples)” with the mean, the sample standard deviation (n − 1) and n of the atomic percent of each region and of each chemical state, next to the individual values. Nothing is requantified: each member is read as its own finished composition, so a region counted once, your ticks and CasaXPS’s own numbers all apply. A state a member lacks is left out of that member and shown in bold; a depth profile and a member with nothing quantified are left out with a note. A group is your statement: Groups… opens the editor (new, rename, kind = locations, repeats or samples, a member checklist, and Suggest from names, which proposes groups from sample labels and never overwrites yours; a survey and its high-resolution regions are grouped apart, as they are quantified apart). Renaming a sample takes it out of its group. Export CSV in that view writes every group in the layout of XPSView’s quantification_repeat_groups.csv.</w:t>
      </w:r>
    </w:p>
    <w:p>
      <w:r>
        <w:t>Groups are saved in the workbook and appear in the PDF, slides and Word report (a “Repeat groups” section, one table each, with a column per member up to four, else the individual values are left to the CSV), in the interactive data browser (read-only: groups are made in the application, not on the page, and the page’s own ticks apply) and in the hand-over ZIP, whose Quantification section writes quantification.csv (one row per fitted region and per chemical state, each sample and level its own total) and quantification_repeat_groups.csv.</w:t>
      </w:r>
    </w:p>
    <w:p>
      <w:pPr>
        <w:pStyle w:val="Heading2"/>
      </w:pPr>
      <w:r>
        <w:t>Holder photo calibration</w:t>
      </w:r>
    </w:p>
    <w:p>
      <w:r>
        <w:t>Overlaying analysis positions on a photo needs a one-time Calibrate… step. The calibration panel works live: tick Flip X / Flip Y, nudge the markers with the arrow keys, rotate or spread them, or type exact values (image centre in millimetres, millimetres per pixel, rotation) and watch the markers move onto the samples. The calibration is saved in the workbook, and the last one used seeds new workbooks. Markers carry a halo so their names stay readable over any photo; click a marker, on the photo or on the Stage map, to select that sample in the tree.</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calibration panel, with markers placed on the sample photo. ]</w:t>
            </w:r>
          </w:p>
          <w:p/>
        </w:tc>
      </w:tr>
    </w:tbl>
    <w:p>
      <w:pPr>
        <w:jc w:val="center"/>
      </w:pPr>
      <w:r>
        <w:rPr>
          <w:i/>
          <w:sz w:val="20"/>
        </w:rPr>
        <w:t>Figure 11. The calibration panel, with markers placed on the sample photo.</w:t>
      </w:r>
    </w:p>
    <w:p/>
    <w:p>
      <w:r>
        <w:br w:type="page"/>
      </w:r>
    </w:p>
    <w:p>
      <w:pPr>
        <w:pStyle w:val="Heading1"/>
      </w:pPr>
      <w:r>
        <w:t>8. Colour themes and layout</w:t>
      </w:r>
    </w:p>
    <w:p>
      <w:r>
        <w:t>Six colour themes are built in: Light (the default), Dark (the plot sits recessed below the chrome, like an instrument screen), Midnight, Solarized Light, High contrast, and System (the native operating-system look). Change the theme from the Theme box or View → Colour theme; your choice is remembered. Every theme has its own colour-blind-safe data palette and meets WCAG AA text contrast. PDFs always print on white.</w:t>
      </w:r>
    </w:p>
    <w:p>
      <w:r>
        <w:t>The Files and Details buttons in the toolbar show or hide the side panels, and Focus (F11) hides both so the plot fills the window. Hover any control for a short explanation.</w:t>
      </w:r>
    </w:p>
    <w:p>
      <w:r>
        <w:t>The rows of view controls above the plot (group, normalise, offset, view, energy, colour, fit and style) fold away when you want the height back: choose View → Show view options, press Ctrl+Shift+H, or double-click the header above them. A one-line summary of the current view stays in their place while they are folded. The choice is remembered between sessions; it is layout, so it is not part of a saved figure.</w:t>
      </w:r>
    </w:p>
    <w:p>
      <w:pPr>
        <w:jc w:val="center"/>
      </w:pPr>
      <w:r>
        <w:drawing>
          <wp:inline xmlns:a="http://schemas.openxmlformats.org/drawingml/2006/main" xmlns:pic="http://schemas.openxmlformats.org/drawingml/2006/picture">
            <wp:extent cx="5976000" cy="2609772"/>
            <wp:docPr id="5" name="Picture 5"/>
            <wp:cNvGraphicFramePr>
              <a:graphicFrameLocks noChangeAspect="1"/>
            </wp:cNvGraphicFramePr>
            <a:graphic>
              <a:graphicData uri="http://schemas.openxmlformats.org/drawingml/2006/picture">
                <pic:pic>
                  <pic:nvPicPr>
                    <pic:cNvPr id="0" name="fig_theme_compare.png"/>
                    <pic:cNvPicPr/>
                  </pic:nvPicPr>
                  <pic:blipFill>
                    <a:blip r:embed="rId14"/>
                    <a:stretch>
                      <a:fillRect/>
                    </a:stretch>
                  </pic:blipFill>
                  <pic:spPr>
                    <a:xfrm>
                      <a:off x="0" y="0"/>
                      <a:ext cx="5976000" cy="2609772"/>
                    </a:xfrm>
                    <a:prstGeom prst="rect"/>
                  </pic:spPr>
                </pic:pic>
              </a:graphicData>
            </a:graphic>
          </wp:inline>
        </w:drawing>
      </w:r>
    </w:p>
    <w:p>
      <w:pPr>
        <w:jc w:val="center"/>
      </w:pPr>
      <w:r>
        <w:rPr>
          <w:i/>
          <w:sz w:val="20"/>
        </w:rPr>
        <w:t>Figure 12. The same experiment shown in the Light and Dark themes.</w:t>
      </w:r>
    </w:p>
    <w:p/>
    <w:p>
      <w:r>
        <w:br w:type="page"/>
      </w:r>
    </w:p>
    <w:p>
      <w:pPr>
        <w:pStyle w:val="Heading1"/>
      </w:pPr>
      <w:r>
        <w:t>9. PDF preview and saving plot images</w:t>
      </w:r>
    </w:p>
    <w:p>
      <w:r>
        <w:t>Preview spectra and Preview metadata show the PDF inside the application, with page navigation, zoom, Save as…, and Open in viewer. The spectra preview lets you change panels per page, portrait or landscape orientation, and whether to use only the traces currently in view; Save as… writes exactly what you see. Without PyMuPDF installed, the PDF opens in your default viewer instead.</w:t>
      </w:r>
    </w:p>
    <w:p>
      <w:r>
        <w:t>Save plot image… writes the current view as PNG, JPG, SVG or PDF, at any size and resolution. Right-click a panel and choose Save, then Save this panel as image…, to save just that panel.</w:t>
      </w:r>
    </w:p>
    <w:p>
      <w:r>
        <w:t>The size dialog has a Size preset (single column 85 mm, 1.5 columns, double column 180 mm, A4 portrait or landscape, slide 16:9, square) that fills in the width and height, and Fit height to the panel grid, which sets the height from the width you entered, the columns and the panel shape (it needs a Shape other than Auto). The result is an estimate: adjust the height by hand if you want the panels tighter or looser.</w:t>
      </w:r>
    </w:p>
    <w:p>
      <w:r>
        <w:br w:type="page"/>
      </w:r>
    </w:p>
    <w:p>
      <w:pPr>
        <w:pStyle w:val="Heading1"/>
      </w:pPr>
      <w:r>
        <w:t>10. Exporting spectra</w:t>
      </w:r>
    </w:p>
    <w:p>
      <w:r>
        <w:t>Export → Ticked spectra to CSV / VAMAS / NeXus writes exactly what is currently ticked. Export → Regions and levels… opens a dialog (pre-set to your ticks) for picking individual regions or depth-profile levels. VAMAS output is CasaXPS-compatible: a kinetic-energy abscissa with Intensity and the spectrometer's Transmission function as a corresponding variable (toggle it off in the dialog if you do not want it).</w:t>
      </w:r>
    </w:p>
    <w:p>
      <w:r>
        <w:t>Two VAMAS options in the Export dialog are for CasaXPS users. “Restore the transmission function as CasaXPS does for Avantage data” (only for K-Alpha, NEXSA and HYPULSE files; other instruments’ files are unchanged) writes counts and transmission the way CasaXPS’s own import of Avantage data does. “Write CasaXPS’s escape-depth correction” adds the escape-depth type CasaXPS uses in its quantification (none, KE exponent, EAL, IMFP, CH film, TPP-2M or Layer) with its exponent or overlayer thickness, so CasaXPS applies that mean-free-path correction when it reads the file; left unticked, none is written. VAMAS files also carry the acquisition date, the work function and the X-ray beam width where the source file recorded them.</w:t>
      </w:r>
    </w:p>
    <w:p>
      <w:r>
        <w:t>Export → Metadata to CSV / PDF saves the per-sample acquisition metadata; with several files open, select a row belonging to the file you want first.</w:t>
      </w:r>
    </w:p>
    <w:p>
      <w:pPr>
        <w:pStyle w:val="Heading2"/>
      </w:pPr>
      <w:r>
        <w:t>NeXus (.nxs)</w:t>
      </w:r>
    </w:p>
    <w:p>
      <w:r>
        <w:t>Export → Ticked spectra to NeXus… (also in the File menu, the tree’s “Export from here down”, the Export dialog and the hand-over ZIP) writes an NXxps file, which needs the optional h5py library. There is one entry per spectrum, holding the instrument and source settings, the energy axis, the binding-energy correction, the transmission function and any CasaXPS fit (peaks, background, envelope, residual and reduced chi-square), plus the full metadata as a note. Fields the instrument file never recorded are left out, never invented.</w:t>
      </w:r>
    </w:p>
    <w:p>
      <w:r>
        <w:t>Tools → Instrument settings (NeXus)… (Analyse ▸ Instrument) lets you state, once per file, what instrument files rarely record: X-ray source type, energy-dispersion and collection-column schemes, detector and amplifier type, analyser scan mode, work function, energy resolution, operator and affiliation, and the UTC offset of the recorded times. What you enter wins over what the file says, is kept in the workbook, and lets the .nxs pass strict NXxps validation; a field you leave unset is simply left out.</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Instrument settings (NeXus) dialog. ]</w:t>
            </w:r>
          </w:p>
          <w:p/>
        </w:tc>
      </w:tr>
    </w:tbl>
    <w:p>
      <w:pPr>
        <w:jc w:val="center"/>
      </w:pPr>
      <w:r>
        <w:rPr>
          <w:i/>
          <w:sz w:val="20"/>
        </w:rPr>
        <w:t>Figure 13. The Instrument settings (NeXus) dialog.</w:t>
      </w:r>
    </w:p>
    <w:p/>
    <w:p>
      <w:r>
        <w:br w:type="page"/>
      </w:r>
    </w:p>
    <w:p>
      <w:pPr>
        <w:pStyle w:val="Heading1"/>
      </w:pPr>
      <w:r>
        <w:t>11. Editing, calibration and element labels</w:t>
      </w:r>
    </w:p>
    <w:p>
      <w:r>
        <w:t>Nothing in this chapter changes the instrument files: your edits are stored beside the data, in the workbook, and applied when you plot, export or build a report.</w:t>
      </w:r>
    </w:p>
    <w:p>
      <w:pPr>
        <w:pStyle w:val="Heading2"/>
      </w:pPr>
      <w:r>
        <w:t>Rename and notes</w:t>
      </w:r>
    </w:p>
    <w:p>
      <w:r>
        <w:t>Press F2, or right-click a sample or region, to give it a display name; the original name is always kept and shown in Details. Notes… adds free text to a sample or region.</w:t>
      </w:r>
    </w:p>
    <w:p>
      <w:pPr>
        <w:pStyle w:val="Heading2"/>
      </w:pPr>
      <w:r>
        <w:t>Edit metadata</w:t>
      </w:r>
    </w:p>
    <w:p>
      <w:r>
        <w:t>Double-click a value in Details (or right-click it for Edit value, Add field, or Reset) to change it. Edited values carry a pencil mark and flow into the PDF, PowerPoint and CSV exports.</w:t>
      </w:r>
    </w:p>
    <w:p>
      <w:pPr>
        <w:pStyle w:val="Heading2"/>
      </w:pPr>
      <w:r>
        <w:t>Calibrate binding energy</w:t>
      </w:r>
    </w:p>
    <w:p>
      <w:r>
        <w:t>Tools → Calibrate binding energy…: pick a reference spectrum, find the peak (or click it on the plot), choose the reference (C 1s 284.8 eV, Au 4f7/2 83.95 eV, Ag, Cu, a Fermi edge, or your own value), and apply the shift to a region, a sample, or a whole file. Plots, CSV and VAMAS exports use the shifted energies (VAMAS carries the shift through the source energy, so kinetic energies are unchanged), and the report gets a calibration statement automatically. A charge correction already stored by CasaXPS in a VAMAS file is applied for you and shown in Details as “BE calibration (CasaXPS)”; a shift you set yourself takes precedence over it.</w:t>
      </w:r>
    </w:p>
    <w:p>
      <w:pPr>
        <w:pStyle w:val="Heading2"/>
      </w:pPr>
      <w:r>
        <w:t>Identify peaks</w:t>
      </w:r>
    </w:p>
    <w:p>
      <w:r>
        <w:t>Tools → Identify peaks… (or right-click a spectrum → Identify peaks…): click a survey peak to list candidate element lines, add the one you want as a marker, or use Auto-label to label every peak at once. Markers follow binding-energy calibrations and the kinetic-energy axis. Line positions are approximate typical values — chemical shifts of a few eV are normal, so the default search window is ±3 eV.</w:t>
      </w:r>
    </w:p>
    <w:p>
      <w:r>
        <w:t>A spin-orbit doublet is named once by default: a peak near 454 eV offers “Ti 2p”, and one near 84 eV “Au 4f”, whichever component you click. Tick “Show spin-orbit components (2p3/2, 2p1/2)” in the dialog (the interactive HTML page has the same box) to name the components separately; the choice is remembered, and Auto-label follows it. Markers you already placed keep the name they were given. Only lines the photon energy can reach are offered, so a Mg Kα source does not list a level at 1300 eV, while deeper levels appear for Ag Lα and harder sources. The line table is Thermo Avantage’s own library, extended with lanthanide and actinide levels, deep levels and a few elements it lacks, taken from the X-ray Data Booklet table that ships with KherveFitting.</w:t>
      </w:r>
    </w:p>
    <w:p>
      <w:r>
        <w:t>Beneath the element lines the dialog also lists chemical states: literature binding energies for a core level (for example an iron oxide’s Fe 2p3/2 peaks), each with its source shown when you select it. They are suggestions for you to confirm and are never used by Auto-label. A link opens the free NIST XPS Database for anything beyond these curated tables. On a survey that came from CasaXPS, “Label from CasaXPS regions” labels the peaks directly from the regions named in the file, for every ticked survey, instead of from the approximate line table.</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Identify peaks dialog, with candidate element lines listed. ]</w:t>
            </w:r>
          </w:p>
          <w:p/>
        </w:tc>
      </w:tr>
    </w:tbl>
    <w:p>
      <w:pPr>
        <w:jc w:val="center"/>
      </w:pPr>
      <w:r>
        <w:rPr>
          <w:i/>
          <w:sz w:val="20"/>
        </w:rPr>
        <w:t>Figure 14. The Identify peaks dialog, with candidate element lines listed.</w:t>
      </w:r>
    </w:p>
    <w:p/>
    <w:p>
      <w:pPr>
        <w:pStyle w:val="Heading2"/>
      </w:pPr>
      <w:r>
        <w:t>Cursor read-out and other comforts</w:t>
      </w:r>
    </w:p>
    <w:p>
      <w:r>
        <w:t>The status bar always shows the binding energy, kinetic energy and intensity under the pointer. Other comforts: File → Open recent, drag files or folders onto the window, a progress box with Cancel when loading many files, and the play/step controls from Chapter 6.</w:t>
      </w:r>
    </w:p>
    <w:p>
      <w:r>
        <w:br w:type="page"/>
      </w:r>
    </w:p>
    <w:p>
      <w:pPr>
        <w:pStyle w:val="Heading1"/>
      </w:pPr>
      <w:r>
        <w:t>12. Experiment workbooks (.xpscontainer)</w:t>
      </w:r>
    </w:p>
    <w:p>
      <w:r>
        <w:t>The Workbook menu saves everything about an experiment in one file that you can reopen at any time (or double-click, or pass on the command line). A workbook holds:</w:t>
      </w:r>
    </w:p>
    <w:p>
      <w:pPr>
        <w:pStyle w:val="ListBullet"/>
      </w:pPr>
      <w:r>
        <w:t>The original data files, byte-for-byte, with SHA-256 hashes as provenance; files are re-read on opening, so reader improvements apply to old workbooks.</w:t>
      </w:r>
    </w:p>
    <w:p>
      <w:pPr>
        <w:pStyle w:val="ListBullet"/>
      </w:pPr>
      <w:r>
        <w:t>The look: what is ticked, the view, grouping, normalisation, energy scale, colour scale, axis colour, panels/traces and any “At cursor” energies.</w:t>
      </w:r>
    </w:p>
    <w:p>
      <w:pPr>
        <w:pStyle w:val="ListBullet"/>
      </w:pPr>
      <w:r>
        <w:t>Details and notes — title, customer, reference, operator, date, a free-text summary and a letterhead logo.</w:t>
      </w:r>
    </w:p>
    <w:p>
      <w:pPr>
        <w:pStyle w:val="ListBullet"/>
      </w:pPr>
      <w:r>
        <w:t>Figures — any number of named looks with captions.</w:t>
      </w:r>
    </w:p>
    <w:p>
      <w:pPr>
        <w:pStyle w:val="ListBullet"/>
      </w:pPr>
      <w:r>
        <w:t>A snapshot of the acquisition metadata and a preview image.</w:t>
      </w:r>
    </w:p>
    <w:p>
      <w:pPr>
        <w:pStyle w:val="ListBullet"/>
      </w:pPr>
      <w:r>
        <w:t>Your annotations: display names, notes, metadata edits, energy shifts, peak markers, sputter and instrument settings, and the ticks you made in the Quantification tab.</w:t>
      </w:r>
    </w:p>
    <w:p>
      <w:pPr>
        <w:pStyle w:val="ListBullet"/>
      </w:pPr>
      <w:r>
        <w:t>The Report generator’s choice (sections, order, options, cover), and any CasaXPS CSV export you imported (stored verbatim and matched to the fits again on opening).</w:t>
      </w:r>
    </w:p>
    <w:p>
      <w:pPr>
        <w:pStyle w:val="ListBullet"/>
      </w:pPr>
      <w:r>
        <w:t>Optionally, the parsed results (Workbook → “Store the parsed results in the workbook”, on by default). They are advisory only: opening always re-reads the original files. Their one use is Workbook → “Data browser from a saved workbook…”, which writes the HTML browser without loading any instrument file (saved figures, holder photo, camera pictures and SnapMaps are not in that page).</w:t>
      </w:r>
    </w:p>
    <w:p>
      <w:r>
        <w:t>Save with Ctrl+S; the title bar shows an asterisk for unsaved changes, and closing the application asks whether to save. The file is a ZIP archive of JSON and the original files, so it can be inspected with any zip tool and never runs code.</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Workbook Details dialog. ]</w:t>
            </w:r>
          </w:p>
          <w:p/>
        </w:tc>
      </w:tr>
    </w:tbl>
    <w:p>
      <w:pPr>
        <w:jc w:val="center"/>
      </w:pPr>
      <w:r>
        <w:rPr>
          <w:i/>
          <w:sz w:val="20"/>
        </w:rPr>
        <w:t>Figure 15. The Workbook Details dialog.</w:t>
      </w:r>
    </w:p>
    <w:p/>
    <w:p>
      <w:r>
        <w:t>Metadata layout: settings that are the same for every region (photon energy, lens mode, …) are stated once at the top, settings constant within a sample sit on that sample's line, and the rest is a compact scan table. A depth profile collapses to one row (e.g. “levels 0–60, etch 0–1800 s, 30 s steps”) only where that reproduces every level exactly; otherwise a per-level table is used.</w:t>
      </w:r>
    </w:p>
    <w:p>
      <w:r>
        <w:br w:type="page"/>
      </w:r>
    </w:p>
    <w:p>
      <w:pPr>
        <w:pStyle w:val="Heading1"/>
      </w:pPr>
      <w:r>
        <w:t>13. The Report generator</w:t>
      </w:r>
    </w:p>
    <w:p>
      <w:r>
        <w:t>Workbook → Report generator… (or Report ▸ Generator on the ribbon) is where you say what a report contains and in what order. The same choice is used for the PDF report, the PowerPoint deck, the previews and the hand-over package; it is remembered and saved with the workbook.</w:t>
      </w:r>
    </w:p>
    <w:tbl>
      <w:tblPr>
        <w:tblStyle w:val="TableGrid"/>
        <w:tblW w:type="auto" w:w="0"/>
        <w:tblLayout w:type="fixed"/>
        <w:tblLook w:firstColumn="1" w:firstRow="1" w:lastColumn="0" w:lastRow="0" w:noHBand="0" w:noVBand="1" w:val="04A0"/>
      </w:tblPr>
      <w:tblGrid>
        <w:gridCol w:w="4706"/>
        <w:gridCol w:w="4706"/>
      </w:tblGrid>
      <w:tr>
        <w:tc>
          <w:tcPr>
            <w:tcW w:type="dxa" w:w="2381"/>
            <w:shd w:val="clear" w:color="auto" w:fill="2C3E50"/>
          </w:tcPr>
          <w:p>
            <w:r/>
            <w:r>
              <w:rPr>
                <w:b/>
                <w:color w:val="FFFFFF"/>
              </w:rPr>
              <w:t>Section</w:t>
            </w:r>
          </w:p>
        </w:tc>
        <w:tc>
          <w:tcPr>
            <w:tcW w:type="dxa" w:w="7030"/>
            <w:shd w:val="clear" w:color="auto" w:fill="2C3E50"/>
          </w:tcPr>
          <w:p>
            <w:r/>
            <w:r>
              <w:rPr>
                <w:b/>
                <w:color w:val="FFFFFF"/>
              </w:rPr>
              <w:t>Contents</w:t>
            </w:r>
          </w:p>
        </w:tc>
      </w:tr>
      <w:tr>
        <w:tc>
          <w:tcPr>
            <w:tcW w:type="dxa" w:w="2381"/>
          </w:tcPr>
          <w:p>
            <w:r>
              <w:t>Cover page</w:t>
            </w:r>
          </w:p>
        </w:tc>
        <w:tc>
          <w:tcPr>
            <w:tcW w:type="dxa" w:w="7030"/>
          </w:tcPr>
          <w:p>
            <w:r>
              <w:t>Logo, title, customer, reference, operator, date, and a cover picture.</w:t>
            </w:r>
          </w:p>
        </w:tc>
      </w:tr>
      <w:tr>
        <w:tc>
          <w:tcPr>
            <w:tcW w:type="dxa" w:w="2381"/>
          </w:tcPr>
          <w:p>
            <w:r>
              <w:t>Contents</w:t>
            </w:r>
          </w:p>
        </w:tc>
        <w:tc>
          <w:tcPr>
            <w:tcW w:type="dxa" w:w="7030"/>
          </w:tcPr>
          <w:p>
            <w:r>
              <w:t>The sections and their real page (slide) numbers; the PDF also gets bookmarks.</w:t>
            </w:r>
          </w:p>
        </w:tc>
      </w:tr>
      <w:tr>
        <w:tc>
          <w:tcPr>
            <w:tcW w:type="dxa" w:w="2381"/>
          </w:tcPr>
          <w:p>
            <w:r>
              <w:t>At a glance</w:t>
            </w:r>
          </w:p>
        </w:tc>
        <w:tc>
          <w:tcPr>
            <w:tcW w:type="dxa" w:w="7030"/>
          </w:tcPr>
          <w:p>
            <w:r>
              <w:t>Right after the Contents: files, samples and spectra, format, instrument, operator, dates, counting time, the elements quantified and what else is in the report. A line is written only when the files record it.</w:t>
            </w:r>
          </w:p>
        </w:tc>
      </w:tr>
      <w:tr>
        <w:tc>
          <w:tcPr>
            <w:tcW w:type="dxa" w:w="2381"/>
          </w:tcPr>
          <w:p>
            <w:r>
              <w:t>Summary</w:t>
            </w:r>
          </w:p>
        </w:tc>
        <w:tc>
          <w:tcPr>
            <w:tcW w:type="dxa" w:w="7030"/>
          </w:tcPr>
          <w:p>
            <w:r>
              <w:t>A short written overview of the experiment.</w:t>
            </w:r>
          </w:p>
        </w:tc>
      </w:tr>
      <w:tr>
        <w:tc>
          <w:tcPr>
            <w:tcW w:type="dxa" w:w="2381"/>
          </w:tcPr>
          <w:p>
            <w:r>
              <w:t>Quantification</w:t>
            </w:r>
          </w:p>
        </w:tc>
        <w:tc>
          <w:tcPr>
            <w:tcW w:type="dxa" w:w="7030"/>
          </w:tcPr>
          <w:p>
            <w:r>
              <w:t>Atomic percent from CasaXPS fits, by sample and by depth level.</w:t>
            </w:r>
          </w:p>
        </w:tc>
      </w:tr>
      <w:tr>
        <w:tc>
          <w:tcPr>
            <w:tcW w:type="dxa" w:w="2381"/>
          </w:tcPr>
          <w:p>
            <w:r>
              <w:t>REELS analysis</w:t>
            </w:r>
          </w:p>
        </w:tc>
        <w:tc>
          <w:tcPr>
            <w:tcW w:type="dxa" w:w="7030"/>
          </w:tcPr>
          <w:p>
            <w:r>
              <w:t>After the Quantification: the π / (σ+π) intensity ratio of each REELS spectrum you measured (peak positions, areas, ratio, sp² fraction), with the windows, the references and the problems marked †.</w:t>
            </w:r>
          </w:p>
        </w:tc>
      </w:tr>
      <w:tr>
        <w:tc>
          <w:tcPr>
            <w:tcW w:type="dxa" w:w="2381"/>
          </w:tcPr>
          <w:p>
            <w:r>
              <w:t>Figures</w:t>
            </w:r>
          </w:p>
        </w:tc>
        <w:tc>
          <w:tcPr>
            <w:tcW w:type="dxa" w:w="7030"/>
          </w:tcPr>
          <w:p>
            <w:r>
              <w:t>One page (slide) per saved figure, drawn with its caption.</w:t>
            </w:r>
          </w:p>
        </w:tc>
      </w:tr>
      <w:tr>
        <w:tc>
          <w:tcPr>
            <w:tcW w:type="dxa" w:w="2381"/>
          </w:tcPr>
          <w:p>
            <w:r>
              <w:t>Camera pictures, SnapMaps and image maps</w:t>
            </w:r>
          </w:p>
        </w:tc>
        <w:tc>
          <w:tcPr>
            <w:tcW w:type="dxa" w:w="7030"/>
          </w:tcPr>
          <w:p>
            <w:r>
              <w:t>Sample-view photos, mosaics, element-map pages and Kratos image maps.</w:t>
            </w:r>
          </w:p>
        </w:tc>
      </w:tr>
      <w:tr>
        <w:tc>
          <w:tcPr>
            <w:tcW w:type="dxa" w:w="2381"/>
          </w:tcPr>
          <w:p>
            <w:r>
              <w:t>Methods</w:t>
            </w:r>
          </w:p>
        </w:tc>
        <w:tc>
          <w:tcPr>
            <w:tcW w:type="dxa" w:w="7030"/>
          </w:tcPr>
          <w:p>
            <w:r>
              <w:t>The automatically written methods paragraph.</w:t>
            </w:r>
          </w:p>
        </w:tc>
      </w:tr>
      <w:tr>
        <w:tc>
          <w:tcPr>
            <w:tcW w:type="dxa" w:w="2381"/>
          </w:tcPr>
          <w:p>
            <w:r>
              <w:t>Timing</w:t>
            </w:r>
          </w:p>
        </w:tc>
        <w:tc>
          <w:tcPr>
            <w:tcW w:type="dxa" w:w="7030"/>
          </w:tcPr>
          <w:p>
            <w:r>
              <w:t>After Methods: first start, last finish, time in use, counting time and what was not counting (moves, settling, sputtering, dead time), plus the counting time of each sample.</w:t>
            </w:r>
          </w:p>
        </w:tc>
      </w:tr>
      <w:tr>
        <w:tc>
          <w:tcPr>
            <w:tcW w:type="dxa" w:w="2381"/>
          </w:tcPr>
          <w:p>
            <w:r>
              <w:t>Energy calibration</w:t>
            </w:r>
          </w:p>
        </w:tc>
        <w:tc>
          <w:tcPr>
            <w:tcW w:type="dxa" w:w="7030"/>
          </w:tcPr>
          <w:p>
            <w:r>
              <w:t>The binding-energy calibration statement.</w:t>
            </w:r>
          </w:p>
        </w:tc>
      </w:tr>
      <w:tr>
        <w:tc>
          <w:tcPr>
            <w:tcW w:type="dxa" w:w="2381"/>
          </w:tcPr>
          <w:p>
            <w:r>
              <w:t>Acquisition metadata</w:t>
            </w:r>
          </w:p>
        </w:tc>
        <w:tc>
          <w:tcPr>
            <w:tcW w:type="dxa" w:w="7030"/>
          </w:tcPr>
          <w:p>
            <w:r>
              <w:t>The tidied acquisition settings of every file.</w:t>
            </w:r>
          </w:p>
        </w:tc>
      </w:tr>
      <w:tr>
        <w:tc>
          <w:tcPr>
            <w:tcW w:type="dxa" w:w="2381"/>
          </w:tcPr>
          <w:p>
            <w:r>
              <w:t>Data files</w:t>
            </w:r>
          </w:p>
        </w:tc>
        <w:tc>
          <w:tcPr>
            <w:tcW w:type="dxa" w:w="7030"/>
          </w:tcPr>
          <w:p>
            <w:r>
              <w:t>A checksummed list of the original files (the audit trail).</w:t>
            </w:r>
          </w:p>
        </w:tc>
      </w:tr>
    </w:tbl>
    <w:p/>
    <w:p>
      <w:pPr>
        <w:pStyle w:val="Heading2"/>
      </w:pPr>
      <w:r>
        <w:t>The cover</w:t>
      </w:r>
    </w:p>
    <w:p>
      <w:r>
        <w:t>The Cover tab offers five designs drawn from one accent colour (spectrum ribbon, band, minimal, your own data, peak map), a picture of your own (or one dropped into assets/covers/), or no picture, in one of six accent colours or a colour you choose, and the font of the PDF's text (slides and Word keep Calibri). Presets never change the cover.</w:t>
      </w:r>
    </w:p>
    <w:p>
      <w:r>
        <w:t>In the PDF the cover is a full page: the design (or your picture, cropped from its middle, never stretched) fills the A4 or Letter page and the title, customer, reference, operator, date and letterhead sit on a clear panel whose position — top, middle or bottom — you choose under “Text position”. The text shrinks to fit, so the cover is always one page, with no footer. “No picture” gives a text-only cover. The slides and the Word document use a banner strip of the same design instead.</w:t>
      </w:r>
    </w:p>
    <w:p>
      <w:pPr>
        <w:pStyle w:val="Heading2"/>
      </w:pPr>
      <w:r>
        <w:t>Options</w:t>
      </w:r>
    </w:p>
    <w:p>
      <w:r>
        <w:t>The Options tab holds three choices that apply to every output: whether the data-files list carries a checksum column, whether a divider page or slide precedes each long section (five or more pages), and whether overlapping camera pictures are also stitched into a mosaic.</w:t>
      </w:r>
    </w:p>
    <w:p>
      <w:pPr>
        <w:pStyle w:val="Heading2"/>
      </w:pPr>
      <w:r>
        <w:t>Presets</w:t>
      </w:r>
    </w:p>
    <w:p>
      <w:r>
        <w:t>Built-in presets (Everything, Customer report, Quick look, Audit trail) and your own saved presets fill in the ticks in one go. Sections with many items (figures, pictures, files, samples) open with a double-click, and All / None ticks every item of the selected section. A report saved before At a glance, Timing or REELS analysis existed keeps them switched off, so an old report does not grow pages.</w:t>
      </w:r>
    </w:p>
    <w:p>
      <w:r>
        <w:t>If you changed which regions count in the Quantification tab, the dialog says how many differ from the automatic choice, with a Reset button. Your choice reaches the PDF, the slides, the Word document and the HTML browser; it is saved with the workbook, not in a preset.</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Report generator dialog: sections, order and options. ]</w:t>
            </w:r>
          </w:p>
          <w:p/>
        </w:tc>
      </w:tr>
    </w:tbl>
    <w:p>
      <w:pPr>
        <w:jc w:val="center"/>
      </w:pPr>
      <w:r>
        <w:rPr>
          <w:i/>
          <w:sz w:val="20"/>
        </w:rPr>
        <w:t>Figure 16. The Report generator dialog: sections, order and options.</w:t>
      </w:r>
    </w:p>
    <w:p/>
    <w:p>
      <w:pPr>
        <w:jc w:val="center"/>
      </w:pPr>
      <w:r>
        <w:drawing>
          <wp:inline xmlns:a="http://schemas.openxmlformats.org/drawingml/2006/main" xmlns:pic="http://schemas.openxmlformats.org/drawingml/2006/picture">
            <wp:extent cx="3240000" cy="4582286"/>
            <wp:docPr id="6" name="Picture 6"/>
            <wp:cNvGraphicFramePr>
              <a:graphicFrameLocks noChangeAspect="1"/>
            </wp:cNvGraphicFramePr>
            <a:graphic>
              <a:graphicData uri="http://schemas.openxmlformats.org/drawingml/2006/picture">
                <pic:pic>
                  <pic:nvPicPr>
                    <pic:cNvPr id="0" name="fig_cover.png"/>
                    <pic:cNvPicPr/>
                  </pic:nvPicPr>
                  <pic:blipFill>
                    <a:blip r:embed="rId15"/>
                    <a:stretch>
                      <a:fillRect/>
                    </a:stretch>
                  </pic:blipFill>
                  <pic:spPr>
                    <a:xfrm>
                      <a:off x="0" y="0"/>
                      <a:ext cx="3240000" cy="4582286"/>
                    </a:xfrm>
                    <a:prstGeom prst="rect"/>
                  </pic:spPr>
                </pic:pic>
              </a:graphicData>
            </a:graphic>
          </wp:inline>
        </w:drawing>
      </w:r>
    </w:p>
    <w:p>
      <w:pPr>
        <w:jc w:val="center"/>
      </w:pPr>
      <w:r>
        <w:rPr>
          <w:i/>
          <w:sz w:val="20"/>
        </w:rPr>
        <w:t>Figure 17. A cover design as drawn across the PDF's full page (the text panel is laid over the clear part, at the position you choose).</w:t>
      </w:r>
    </w:p>
    <w:p/>
    <w:p>
      <w:r>
        <w:br w:type="page"/>
      </w:r>
    </w:p>
    <w:p>
      <w:pPr>
        <w:pStyle w:val="Heading1"/>
      </w:pPr>
      <w:r>
        <w:t>14. The PDF report, PowerPoint deck and Word document</w:t>
      </w:r>
    </w:p>
    <w:p>
      <w:r>
        <w:t>Workbook → Experiment report — save PDF…, Export PowerPoint… and Export Word document… (also on the Report ribbon) build the same sections in the same order from the one Report generator choice. The Word document is fully editable. Contents lists every section with its real page (or slide) number, and its entries in the PDF are clickable; the PDF also gets bookmarks. The PDF and the slides get a divider page or slide before a long section, the PDF marks its audit sections (metadata, files) with a small “Appendix” label, and every slide is numbered “n of N”.</w:t>
      </w:r>
    </w:p>
    <w:p>
      <w:pPr>
        <w:pStyle w:val="Heading2"/>
      </w:pPr>
      <w:r>
        <w:t>At a glance and Timing</w:t>
      </w:r>
    </w:p>
    <w:p>
      <w:r>
        <w:t>At a glance is a quiet block of single-line facts after the Contents: how many files, samples and spectra, the format, instrument and operator, when it was acquired, the counting time, the elements quantified and what else the report holds. Timing, after Methods, separates the time the instrument was counting from the time it was in use (moves, settling, sputtering, dead time). A line is written only when the files record it: a Kratos file stores when a run started but not when it ended, so its Timing section shows first and last start and the counting time, with a note saying why.</w:t>
      </w:r>
    </w:p>
    <w:p>
      <w:pPr>
        <w:pStyle w:val="Heading2"/>
      </w:pPr>
      <w:r>
        <w:t>Quantification</w:t>
      </w:r>
    </w:p>
    <w:p>
      <w:r>
        <w:t>Atomic percent comes from CasaXPS peak-fit areas and sensitivity factors: one table per sample (with chemical states), or, for a depth profile, a chart and a table by level. A region fitted in more than one spectrum at a level is counted once — the dedicated scan, not the survey — and this is stated on the page. An element fitted from several lines counts from one (its standard line, else the one with the highest sensitivity factor), the page says which, and a line you choose in the Quantification tab replaces it. No transmission correction is applied in reports, except inside Avantage’s own numbers (Chapter 22). Each sample can be ticked separately in the Report generator.</w:t>
      </w:r>
    </w:p>
    <w:p>
      <w:r>
        <w:t>A survey and the high-resolution regions are never added into one total: a sample’s survey gets its own “&lt;sample&gt; (survey)” table. Where CasaXPS’s own quantification files name the sample, the tables show a CasaXPS %At column and use those percentages; a region the CasaXPS file has no row for is left out with a note, and a sample the files do not name is recomputed and says so. A fitted sample also shows CasaXPS’s D-parameter rows where they exist. Table columns that are empty for every row (a survey has no fit RMS or chi-square) are dropped, and a fit legend that names two components alike adds where each peaks, for example “Pt 4f (73.3)” and “Pt 4f (76.6)”. Regions you ticked or unticked in the Quantification tab are followed, and the page says so.</w:t>
      </w:r>
    </w:p>
    <w:p>
      <w:pPr>
        <w:pStyle w:val="Heading2"/>
      </w:pPr>
      <w:r>
        <w:t>Camera pictures, SnapMaps and mosaics</w:t>
      </w:r>
    </w:p>
    <w:p>
      <w:r>
        <w:t>When the loaded files include camera images (an Avantage experiment), overlapping pictures can also be stitched into one large mosaic; a note on the page says how many overlaps were matched. Camera pictures appear six to a report page (three to a slide), each with the analysis points that fall in it and a scale bar; one page or slide is added per SnapMap site, showing the camera picture beside a grid of element maps. With the Report generator’s mosaic option on, SnapMap sites of one file that lie side by side (their footprints overlap or are within 5 % of a map’s width of each other) also get a “SnapMap mosaic” page: one mosaic per core level found in at least two of those sites, laid out by their stage positions with one energy window and one colour range, the tiles outlined and named. A site left out in the generator is left out of its mosaic. Kratos imaging maps get image-map pages: up to twelve images of a stage position to a page, each on its own colour range with a scale bar marked approximate.</w:t>
      </w:r>
    </w:p>
    <w:p>
      <w:pPr>
        <w:pStyle w:val="Heading2"/>
      </w:pPr>
      <w:r>
        <w:t>Methods text</w:t>
      </w:r>
    </w:p>
    <w:p>
      <w:r>
        <w:t>Workbook → Details… has a Methods box holding a paragraph written automatically from what your files record: instrument and source, pass energies, step sizes, dwell times, lens mode, neutraliser, sputtering, depth profiles, dates and the calibration statement. A setting a file does not record is left out, never guessed. Edit the text to use your own wording; Regenerate brings the automatic text back.</w:t>
      </w:r>
    </w:p>
    <w:p>
      <w:pPr>
        <w:jc w:val="center"/>
      </w:pPr>
      <w:r>
        <w:drawing>
          <wp:inline xmlns:a="http://schemas.openxmlformats.org/drawingml/2006/main" xmlns:pic="http://schemas.openxmlformats.org/drawingml/2006/picture">
            <wp:extent cx="5976000" cy="8449708"/>
            <wp:docPr id="7" name="Picture 7"/>
            <wp:cNvGraphicFramePr>
              <a:graphicFrameLocks noChangeAspect="1"/>
            </wp:cNvGraphicFramePr>
            <a:graphic>
              <a:graphicData uri="http://schemas.openxmlformats.org/drawingml/2006/picture">
                <pic:pic>
                  <pic:nvPicPr>
                    <pic:cNvPr id="0" name="fig_report_page.png"/>
                    <pic:cNvPicPr/>
                  </pic:nvPicPr>
                  <pic:blipFill>
                    <a:blip r:embed="rId16"/>
                    <a:stretch>
                      <a:fillRect/>
                    </a:stretch>
                  </pic:blipFill>
                  <pic:spPr>
                    <a:xfrm>
                      <a:off x="0" y="0"/>
                      <a:ext cx="5976000" cy="8449708"/>
                    </a:xfrm>
                    <a:prstGeom prst="rect"/>
                  </pic:spPr>
                </pic:pic>
              </a:graphicData>
            </a:graphic>
          </wp:inline>
        </w:drawing>
      </w:r>
    </w:p>
    <w:p>
      <w:pPr>
        <w:jc w:val="center"/>
      </w:pPr>
      <w:r>
        <w:rPr>
          <w:i/>
          <w:sz w:val="20"/>
        </w:rPr>
        <w:t>Figure 18. A sample page from the PDF report (the acquisition metadata and data-files appendix pages).</w:t>
      </w:r>
    </w:p>
    <w:p/>
    <w:p>
      <w:pPr>
        <w:jc w:val="center"/>
      </w:pPr>
      <w:r>
        <w:drawing>
          <wp:inline xmlns:a="http://schemas.openxmlformats.org/drawingml/2006/main" xmlns:pic="http://schemas.openxmlformats.org/drawingml/2006/picture">
            <wp:extent cx="5976000" cy="4772059"/>
            <wp:docPr id="8" name="Picture 8"/>
            <wp:cNvGraphicFramePr>
              <a:graphicFrameLocks noChangeAspect="1"/>
            </wp:cNvGraphicFramePr>
            <a:graphic>
              <a:graphicData uri="http://schemas.openxmlformats.org/drawingml/2006/picture">
                <pic:pic>
                  <pic:nvPicPr>
                    <pic:cNvPr id="0" name="fig_quant_table.png"/>
                    <pic:cNvPicPr/>
                  </pic:nvPicPr>
                  <pic:blipFill>
                    <a:blip r:embed="rId17"/>
                    <a:stretch>
                      <a:fillRect/>
                    </a:stretch>
                  </pic:blipFill>
                  <pic:spPr>
                    <a:xfrm>
                      <a:off x="0" y="0"/>
                      <a:ext cx="5976000" cy="4772059"/>
                    </a:xfrm>
                    <a:prstGeom prst="rect"/>
                  </pic:spPr>
                </pic:pic>
              </a:graphicData>
            </a:graphic>
          </wp:inline>
        </w:drawing>
      </w:r>
    </w:p>
    <w:p>
      <w:pPr>
        <w:jc w:val="center"/>
      </w:pPr>
      <w:r>
        <w:rPr>
          <w:i/>
          <w:sz w:val="20"/>
        </w:rPr>
        <w:t>Figure 19. A sample quantification table.</w:t>
      </w:r>
    </w:p>
    <w:p/>
    <w:p>
      <w:r>
        <w:br w:type="page"/>
      </w:r>
    </w:p>
    <w:p>
      <w:pPr>
        <w:pStyle w:val="Heading1"/>
      </w:pPr>
      <w:r>
        <w:t>15. Hand-over package (ZIP)</w:t>
      </w:r>
    </w:p>
    <w:p>
      <w:r>
        <w:t>Workbook → Hand-over package (ZIP)… puts a whole experiment into one ZIP file for a customer or collaborator. It contains the report PDF, the methods text, one VAMAS and one CSV file per sample (with your display names and energy shifts applied), the metadata as CSV, a NeXus file per sample when h5py is installed, every saved figure as a PNG, optionally the interactive data browser and the workbook itself, a README.txt listing everything included, and SHA256SUMS.txt (checked with sha256sum -c SHA256SUMS.txt). Tick what you want to include in the dialog. A Quantification section adds quantification/quantification.csv (the table of the Quantification tab: one row per fitted region and per chemical state, each sample and depth level its own total, UTF-8 with a BOM) and, where repeat groups exist, quantification_repeat_groups.csv; CasaXPS’s own Quant_*.txt files stay under metadata/. A REELS section adds reels/reels_pi_sigma_ratio.csv, the π / (σ+π) table of the REELS ratios you measured (see the REELS chapter), and the README explains it.</w:t>
      </w:r>
    </w:p>
    <w:p>
      <w:r>
        <w:br w:type="page"/>
      </w:r>
    </w:p>
    <w:p>
      <w:pPr>
        <w:pStyle w:val="Heading1"/>
      </w:pPr>
      <w:r>
        <w:t>16. Interactive HTML data browser</w:t>
      </w:r>
    </w:p>
    <w:p>
      <w:r>
        <w:t>Workbook → Interactive data browser (HTML)… writes one self-contained .html file that anyone can open in a modern browser, offline, with nothing to install. It lets the reader filter the sample list, tick spectra to plot them (stacked or overlaid, normalised, binding or kinetic energy, drag to zoom, hover for values), step through depth levels one at a time, read the acquisition metadata, notes and methods, look at your saved figures with their captions, see the holder photo with the analysis positions, and download spectra as CSV. It has light, dark and print styles, and makes no network requests.</w:t>
      </w:r>
    </w:p>
    <w:p>
      <w:r>
        <w:t>For an Avantage experiment it also holds a Camera images tab (each picture with its analysis points and a scale bar) and a SnapMaps tab (the same viewer as in the application: drag the energy window, drag a region for its spectrum, switch element, choose a colour scale, overlay on the camera image, and download the map or spectra as CSV).</w:t>
      </w:r>
    </w:p>
    <w:p>
      <w:r>
        <w:t>Quantification and Depth profile tabs mirror the application’s (the same numbers, including the RSF fallback choice, the one-line-per-element default and CasaXPS’s own percentages); the page starts from the regions you ticked or unticked in the Quantification tab, and the reader can change them. Fits are drawn on single-spectrum panels (components, envelope, background and a residual band) with a per-component table; components are coloured by their CasaXPS INDEX, a “Merge INDEX groups” box draws each group as one outline, and a “Fits on stacks” box draws each trace's own fit on a stack of up to eight spectra (the table and residual stay with the one-spectrum panel). When you imported a CasaXPS CSV export (Chapter 20), a “CasaXPS exported curves” box, ticked by default, switches the plot, tables, quantification and CSVs between CasaXPS’s own curves and the reconstruction. An Identify peaks mode lists the element lines near a clicked peak, and survey peaks can be labelled automatically (off by default, since the line table is approximate). Zoom stays within the data, every panel has a PNG button, and Download everything saves one ZIP with the CSVs, quantification, methods and a README.</w:t>
      </w:r>
    </w:p>
    <w:p>
      <w:r>
        <w:t>Workbook → Data browser from a saved workbook… writes the same page from a saved workbook without reading any instrument file.</w:t>
      </w:r>
    </w:p>
    <w:p>
      <w:r>
        <w:t>A working example, built from two synthetic samples, is included alongside this manual as demo_browser.html — open it in any browser to see the real page before adding your own screenshot below.</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interactive HTML data browser, opened in a web browser. ]</w:t>
            </w:r>
          </w:p>
          <w:p/>
        </w:tc>
      </w:tr>
    </w:tbl>
    <w:p>
      <w:pPr>
        <w:jc w:val="center"/>
      </w:pPr>
      <w:r>
        <w:rPr>
          <w:i/>
          <w:sz w:val="20"/>
        </w:rPr>
        <w:t>Figure 20. The interactive HTML data browser, opened in a web browser.</w:t>
      </w:r>
    </w:p>
    <w:p/>
    <w:p>
      <w:r>
        <w:br w:type="page"/>
      </w:r>
    </w:p>
    <w:p>
      <w:pPr>
        <w:pStyle w:val="Heading1"/>
      </w:pPr>
      <w:r>
        <w:t>17. Plot style</w:t>
      </w:r>
    </w:p>
    <w:p>
      <w:r>
        <w:t>View → Plot style… (or the Style… button under the plot controls) opens one dialog for how plots look: font (IBM Plex Sans, Source Sans 3, Inter, IBM Plex Serif, STIX Two Text and IBM Plex Mono are bundled; any installed font also works) and sizes, line width and style, markers, fill under traces, frame, tick direction and length, grid, panel titles and axis labels, y units, energy and intensity ranges, trace labels, and the size and resolution of saved images.</w:t>
      </w:r>
    </w:p>
    <w:p>
      <w:r>
        <w:t>Changes apply at once and reach the screen, PDFs, slides and Save plot image…. Pick a preset (Journal – compact, Presentation – large, Data points, Filled peaks, …) or save your own. The current style is remembered between sessions, saved in the workbook, and stored with each saved figure, so a figure keeps its own look in the report even after you change the live plot.</w:t>
      </w:r>
    </w:p>
    <w:p>
      <w:r>
        <w:t>The Spacing tab has three sliders: Gap across and Gap down (the space between panels, as a fraction of a panel) and Page margin (the space round the panels, as a fraction of the page). Each reads “auto” at 0, which keeps the automatic fit to the axis labels; a small value can cut labels off, so move them until the labels still fit. They apply to the plot, saved images, the PDF and the slides, and are saved with the style.</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Plot style dialog. ]</w:t>
            </w:r>
          </w:p>
          <w:p/>
        </w:tc>
      </w:tr>
    </w:tbl>
    <w:p>
      <w:pPr>
        <w:jc w:val="center"/>
      </w:pPr>
      <w:r>
        <w:rPr>
          <w:i/>
          <w:sz w:val="20"/>
        </w:rPr>
        <w:t>Figure 21. The Plot style dialog.</w:t>
      </w:r>
    </w:p>
    <w:p/>
    <w:p>
      <w:r>
        <w:br w:type="page"/>
      </w:r>
    </w:p>
    <w:p>
      <w:pPr>
        <w:pStyle w:val="Heading1"/>
      </w:pPr>
      <w:r>
        <w:t>18. Sputter settings, depth and fluence</w:t>
      </w:r>
    </w:p>
    <w:p>
      <w:r>
        <w:t>Tools → Sputter settings… holds the ion-gun settings of each depth profile: ion and charge state, energy, current, raster size and etch rate. These are prefilled wherever the file states them; nothing is guessed, so a bare number whose unit is unknown is left for you to fill in.</w:t>
      </w:r>
    </w:p>
    <w:p>
      <w:r>
        <w:t>With these settings recorded, the Z axis of a waterfall or heatmap can show Depth (nm) (etch rate × etch time) or Fluence (ions/cm², from current, time, charge and raster area). Asking for a value that cannot be worked out tells you exactly what to enter and where. The settings are kept per sample in the workbook and appear in the metadata and the methods text.</w:t>
      </w:r>
    </w:p>
    <w:p>
      <w:r>
        <w:br w:type="page"/>
      </w:r>
    </w:p>
    <w:p>
      <w:pPr>
        <w:pStyle w:val="Heading1"/>
      </w:pPr>
      <w:r>
        <w:t>19. VAMAS that keeps its metadata</w:t>
      </w:r>
    </w:p>
    <w:p>
      <w:r>
        <w:t>VAMAS has no fields for most acquisition details, so a file exported from this application carries them in its comments instead: lens mode, aperture, neutraliser, ion gun, dates, stage position, depth level and etch time, sputter settings, your notes and any energy shift. Other software simply shows this as plain text. Reading such a file back into the application restores all of it, while values VAMAS stores exactly (photon energy, pass energy, dwell, step) are never taken from the text. Files without this information read exactly as before.</w:t>
      </w:r>
    </w:p>
    <w:p>
      <w:r>
        <w:br w:type="page"/>
      </w:r>
    </w:p>
    <w:p>
      <w:pPr>
        <w:pStyle w:val="Heading1"/>
      </w:pPr>
      <w:r>
        <w:t>20. CasaXPS fits</w:t>
      </w:r>
    </w:p>
    <w:p>
      <w:r>
        <w:t>A VAMAS file saved from CasaXPS after peak fitting carries the fit in its comments. Opening such a file shows the fit under any panel that holds one spectrum: tick Components, Envelope and/or Background in the Fit row under the plot controls. A depth profile keeps one fit per level.</w:t>
      </w:r>
    </w:p>
    <w:p>
      <w:pPr>
        <w:pStyle w:val="Heading2"/>
      </w:pPr>
      <w:r>
        <w:t>Colours, merged groups and stacked fits</w:t>
      </w:r>
    </w:p>
    <w:p>
      <w:r>
        <w:t>Components are coloured by their CasaXPS INDEX, the number CasaXPS gives a chemical-state group. INDEX 0 is the same colour in every region, file, report and theme, and components that share an INDEX are one chemical state: one colour and one legend entry, whatever group name CasaXPS gave them (most files name every group after the region). A component with no INDEX group is its own state and gets a colour of its own; with more groups than the palette has colours, colours repeat and the legend tells them apart (the status bar says so).</w:t>
      </w:r>
    </w:p>
    <w:p>
      <w:r>
        <w:t>A state built from several peaks, such as a doublet or a shake-up structure, can be drawn as one component: tick Merge INDEX groups in the Fit row (or right-click a panel, Fit layers, Merge INDEX groups, for that panel alone). Each INDEX group is then drawn as the outline of the sum of its peaks. Only the drawing changes: the fit table, the areas, the quantification and the exports still list every peak, and components with no INDEX group are never merged.</w:t>
      </w:r>
    </w:p>
    <w:p>
      <w:r>
        <w:t>To compare fits across a depth profile, or several refits of the same region, choose View, Fit stack. Each trace is drawn with its own fit, offset and normalised like its data, up to eight at a time (the Traces slider moves the window along a longer group, and a report shows the first window); one legend names the chemical states of the whole panel. A spectrum without a fit is drawn plain and the status bar says how many have none. The data are drawn in a single colour so they do not clash with the state colours, unless you pick a colour scale. The offline data browser has the same through its Fits on stacks box.</w:t>
      </w:r>
    </w:p>
    <w:p>
      <w:pPr>
        <w:jc w:val="center"/>
      </w:pPr>
      <w:r>
        <w:drawing>
          <wp:inline xmlns:a="http://schemas.openxmlformats.org/drawingml/2006/main" xmlns:pic="http://schemas.openxmlformats.org/drawingml/2006/picture">
            <wp:extent cx="5976000" cy="2933673"/>
            <wp:docPr id="9" name="Picture 9"/>
            <wp:cNvGraphicFramePr>
              <a:graphicFrameLocks noChangeAspect="1"/>
            </wp:cNvGraphicFramePr>
            <a:graphic>
              <a:graphicData uri="http://schemas.openxmlformats.org/drawingml/2006/picture">
                <pic:pic>
                  <pic:nvPicPr>
                    <pic:cNvPr id="0" name="fig_fitstack.png"/>
                    <pic:cNvPicPr/>
                  </pic:nvPicPr>
                  <pic:blipFill>
                    <a:blip r:embed="rId18"/>
                    <a:stretch>
                      <a:fillRect/>
                    </a:stretch>
                  </pic:blipFill>
                  <pic:spPr>
                    <a:xfrm>
                      <a:off x="0" y="0"/>
                      <a:ext cx="5976000" cy="2933673"/>
                    </a:xfrm>
                    <a:prstGeom prst="rect"/>
                  </pic:spPr>
                </pic:pic>
              </a:graphicData>
            </a:graphic>
          </wp:inline>
        </w:drawing>
      </w:r>
    </w:p>
    <w:p>
      <w:pPr>
        <w:jc w:val="center"/>
      </w:pPr>
      <w:r>
        <w:rPr>
          <w:i/>
          <w:sz w:val="20"/>
        </w:rPr>
        <w:t>Figure 22. A Fit stack of three depth levels. Left: every peak, coloured by its INDEX. Right: Merge INDEX groups draws the two O-C=O peaks (one INDEX) as one outline.</w:t>
      </w:r>
    </w:p>
    <w:p/>
    <w:p>
      <w:pPr>
        <w:pStyle w:val="Heading2"/>
      </w:pPr>
      <w:r>
        <w:t>Peak shapes and backgrounds</w:t>
      </w:r>
    </w:p>
    <w:p>
      <w:r>
        <w:t>CasaXPS’s own line shapes are drawn from the tables the program itself builds, not approximations: GL and SGL (with the T(k) tail), LA, LF, DS, H, F, E, A, TLA, LS, LSF, QF, QSF, QA, QS and DS with a cut-off, with the PHI / SL tails and the GL(m,n) kernel. Each was compared with CasaXPS’s exported component curves (0.02–1.3 % of the peak height, using the stated area as it is), and the fit of a real file is drawn within about 1–2 % of its data range. A component's Position is the shape’s centre, as in CasaXPS. A shape this application cannot reproduce keeps its real name and is flagged as approximate rather than drawn as something else, and a component with impossible parameters is left out of the envelope with a note.</w:t>
      </w:r>
    </w:p>
    <w:p>
      <w:r>
        <w:t>Backgrounds: Linear, Shirley (with the start and end offsets of the region), the Tougaard family (U 2 and U 4 Tougaard, the preset U Poly, U Si, U SiO2, U Ge and U Al, U 3 Tougaard with its own C, D and T0, W Tougaard, and the plain Tougaard whose scale CasaXPS sets from the data) and Smart. Min Limits, Step Down, Poly Regression and Spline Shirley are not reproduced: such a fit shows its components but no envelope.</w:t>
      </w:r>
    </w:p>
    <w:p>
      <w:pPr>
        <w:pStyle w:val="Heading2"/>
      </w:pPr>
      <w:r>
        <w:t>Goodness of fit</w:t>
      </w:r>
    </w:p>
    <w:p>
      <w:r>
        <w:t>Three boxes in the Fit row choose which fit statistics are shown, each on its own: RMS (the residual as a share of the data range), Reduced χ² (the Poisson-weighted reduced chi-square) and Residual StDev, CasaXPS’s own statistic (the root-mean-square of the residual in units of the counting noise, about 1 when the fit explains the data to counting statistics). RMS and Reduced χ² are on by default, Residual StDev is off. The plot writes RMS and Residual StDev under the fit; the fit tables of the reports and the fit header of the HTML page show whichever are ticked. They need the dwell time and the number of scans, and a figure or workbook saved before the Residual StDev box existed keeps showing RMS and Reduced χ² as it did.</w:t>
      </w:r>
    </w:p>
    <w:p>
      <w:r>
        <w:t>A scan fitted with several regions of the same name that touch, such as a piecewise Shirley background, is treated as one fit: its background is stitched together and every component is drawn across the whole span, instead of the narrower regions being taken for duplicates.</w:t>
      </w:r>
    </w:p>
    <w:p>
      <w:r>
        <w:t>CasaXPS's own binding-energy charge correction is carried over automatically and appears in Details (“BE calibration (CasaXPS)”) and in the report's calibration statement.</w:t>
      </w:r>
    </w:p>
    <w:p>
      <w:r>
        <w:t>GL and SGL peak shapes, with or without a T(k) tail, are computed exactly. The other shapes follow CasaXPS’s own tables, which were read from the program and checked against its exported curves, agreeing to between 0.02 % and 1.3 % of the peak height: LA, LF, Doniach-Sunjic (DS), H, F, E, the asymmetric Gelius shapes A(a,b,n)GL / SGL, TLA, LS, LSF, QA, QS, QF, QSF, GL(m,n) and the PHI and SL tails. Backgrounds are Shirley, linear and the Tougaard cross sections; the two-parameter (U 2) Tougaard is exact, the U Poly one was checked against a real fit, and the others (U Si, U SiO2, U Ge, U Al, U 4, plain and W Tougaard) are reconstructions. The St Offset and End Offset of a CasaXPS region are applied to the background. Where a shape or background cannot be reproduced (the K(...) suffixes and the shapes SS, TP, THG, PGL, IRP, IRS, VS, VGT, CS, SLA, LD and RG; E Tougaard; Spline backgrounds), the components are drawn without an envelope and the status bar says so. The fit itself is read-only — fit your data in CasaXPS, then review it here. The fit table also gives each region’s residual and Poisson-weighted reduced chi-square.</w:t>
      </w:r>
    </w:p>
    <w:p>
      <w:pPr>
        <w:pStyle w:val="Heading2"/>
      </w:pPr>
      <w:r>
        <w:t>Which transmission function a CasaXPS file holds</w:t>
      </w:r>
    </w:p>
    <w:p>
      <w:r>
        <w:t>A CasaXPS VAMAS export of Avantage data carries a Transmission column, and its comment text does not always say which function that is. Details names it, judged from the numbers themselves: Avantage’s polynomial, CasaXPS’s recalculated VG function (the same form with new coefficients), or a measured transmission file, which is not in the export and cannot be rebuilt here, so its column is used as written. A column that matches none is not given a name. The Quantification tab says which function “Divide out the transmission function” divides by.</w:t>
      </w:r>
    </w:p>
    <w:p>
      <w:pPr>
        <w:pStyle w:val="Heading2"/>
      </w:pPr>
      <w:r>
        <w:t>Importing a CasaXPS CSV export</w:t>
      </w:r>
    </w:p>
    <w:p>
      <w:r>
        <w:t>To see exactly what CasaXPS drew, rather than a reconstruction, use Tools → Import CasaXPS CSV export… on a CasaXPS “Export All to ASCII” file (either layout). Each exported spectrum is matched to a region that already carries a CasaXPS fit, by comparing the data itself, and its components are lined up by binding-energy position (the export carries the charge-corrected axis, so a file with a CasaXPS calibration is matched across that shift and the box names it); the export can also simply be opened together with its .vms, dropped with it, or sit in the same folder; a region that cannot be matched cleanly is reported and skipped rather than guessed. The CasaXPS curves are then available through the “Use CasaXPS CSV curves” checkbox beside the fit toggles (off until a match exists), and flow into the fit table, areas and CSV exports. The imported file is stored inside the workbook and matched again when you reopen it.</w:t>
      </w:r>
    </w:p>
    <w:p>
      <w:pPr>
        <w:pStyle w:val="Heading2"/>
      </w:pPr>
      <w:r>
        <w:t>KherveFitting projects and peak libraries</w:t>
      </w:r>
    </w:p>
    <w:p>
      <w:r>
        <w:t>A KherveFitting .kfit project opens like any other file and shows its fits, backgrounds and (when its results table has them) sensitivity factors through the same fit toggles and Quantification tab. Tools → Import KherveFitting peak model… opens a standalone Peaks Library .json as a fit-only reference: there is no measured spectrum, so the region shows the model’s own curve and says so. Note that KherveFitting may already have applied a charge correction to the stored energies; it is shown as metadata and never applied twice.</w:t>
      </w:r>
    </w:p>
    <w:p>
      <w:pPr>
        <w:jc w:val="center"/>
      </w:pPr>
      <w:r>
        <w:drawing>
          <wp:inline xmlns:a="http://schemas.openxmlformats.org/drawingml/2006/main" xmlns:pic="http://schemas.openxmlformats.org/drawingml/2006/picture">
            <wp:extent cx="5976000" cy="3452800"/>
            <wp:docPr id="10" name="Picture 10"/>
            <wp:cNvGraphicFramePr>
              <a:graphicFrameLocks noChangeAspect="1"/>
            </wp:cNvGraphicFramePr>
            <a:graphic>
              <a:graphicData uri="http://schemas.openxmlformats.org/drawingml/2006/picture">
                <pic:pic>
                  <pic:nvPicPr>
                    <pic:cNvPr id="0" name="fig_casafit.png"/>
                    <pic:cNvPicPr/>
                  </pic:nvPicPr>
                  <pic:blipFill>
                    <a:blip r:embed="rId19"/>
                    <a:stretch>
                      <a:fillRect/>
                    </a:stretch>
                  </pic:blipFill>
                  <pic:spPr>
                    <a:xfrm>
                      <a:off x="0" y="0"/>
                      <a:ext cx="5976000" cy="3452800"/>
                    </a:xfrm>
                    <a:prstGeom prst="rect"/>
                  </pic:spPr>
                </pic:pic>
              </a:graphicData>
            </a:graphic>
          </wp:inline>
        </w:drawing>
      </w:r>
    </w:p>
    <w:p>
      <w:pPr>
        <w:jc w:val="center"/>
      </w:pPr>
      <w:r>
        <w:rPr>
          <w:i/>
          <w:sz w:val="20"/>
        </w:rPr>
        <w:t>Figure 23. A fitted spectrum with its components, envelope and background shown.</w:t>
      </w:r>
    </w:p>
    <w:p/>
    <w:p>
      <w:r>
        <w:br w:type="page"/>
      </w:r>
    </w:p>
    <w:p>
      <w:pPr>
        <w:pStyle w:val="Heading1"/>
      </w:pPr>
      <w:r>
        <w:t>21. ISS and REELS</w:t>
      </w:r>
    </w:p>
    <w:p>
      <w:r>
        <w:t>Tools → ISS / REELS… works on the one spectrum you have ticked, on whatever energy axis it uses.</w:t>
      </w:r>
    </w:p>
    <w:p>
      <w:pPr>
        <w:pStyle w:val="Heading2"/>
      </w:pPr>
      <w:r>
        <w:t>ISS peaks</w:t>
      </w:r>
    </w:p>
    <w:p>
      <w:r>
        <w:t>Give the ion (H⁺, He⁺, Ne⁺, Ar⁺), the beam energy (read from the file where it is recorded) and the scattering angle for your instrument. Click a peak on the plot and the elements that could scatter the ion to that energy are listed, nearest first, from the single-collision scattering model. Add marker labels the peak, or type the elements you expect and Mark places each at its predicted energy. ISS markers sit at kinetic energy, so a binding-energy calibration never moves them.</w:t>
      </w:r>
    </w:p>
    <w:p>
      <w:r>
        <w:t>Thermo ISS files record the ion, the beam energy, Avantage’s calibrated beam energy and the scattering angle, and the dialog fills them in (the calibrated energy is the one the peaks fit). Kratos files do not, so the dialog offers He⁺, 1000 eV and 135° (the Axis Ultra geometry) but states nothing in a report until you choose Use for this file.</w:t>
      </w:r>
    </w:p>
    <w:p>
      <w:r>
        <w:t>The ISS axis box beside Energy chooses the x axis of ion scattering spectra: Kinetic energy (the default) or the energy ratio E/E₀, as ISS tables are usually shown. The ratio needs the beam energy, from the file or saved with Use for this file; a Kratos spectrum with none stays on kinetic energy and says so. XPS spectra on the same page keep their own Binding / Kinetic choice, and the offline HTML browser has the same ISS axis box.</w:t>
      </w:r>
    </w:p>
    <w:p>
      <w:pPr>
        <w:jc w:val="center"/>
      </w:pPr>
      <w:r>
        <w:drawing>
          <wp:inline xmlns:a="http://schemas.openxmlformats.org/drawingml/2006/main" xmlns:pic="http://schemas.openxmlformats.org/drawingml/2006/picture">
            <wp:extent cx="5976000" cy="3452800"/>
            <wp:docPr id="11" name="Picture 11"/>
            <wp:cNvGraphicFramePr>
              <a:graphicFrameLocks noChangeAspect="1"/>
            </wp:cNvGraphicFramePr>
            <a:graphic>
              <a:graphicData uri="http://schemas.openxmlformats.org/drawingml/2006/picture">
                <pic:pic>
                  <pic:nvPicPr>
                    <pic:cNvPr id="0" name="fig_iss.png"/>
                    <pic:cNvPicPr/>
                  </pic:nvPicPr>
                  <pic:blipFill>
                    <a:blip r:embed="rId20"/>
                    <a:stretch>
                      <a:fillRect/>
                    </a:stretch>
                  </pic:blipFill>
                  <pic:spPr>
                    <a:xfrm>
                      <a:off x="0" y="0"/>
                      <a:ext cx="5976000" cy="3452800"/>
                    </a:xfrm>
                    <a:prstGeom prst="rect"/>
                  </pic:spPr>
                </pic:pic>
              </a:graphicData>
            </a:graphic>
          </wp:inline>
        </w:drawing>
      </w:r>
    </w:p>
    <w:p>
      <w:pPr>
        <w:jc w:val="center"/>
      </w:pPr>
      <w:r>
        <w:rPr>
          <w:i/>
          <w:sz w:val="20"/>
        </w:rPr>
        <w:t>Figure 24. An ISS spectrum with candidate elements marked at their predicted scattered-ion energies.</w:t>
      </w:r>
    </w:p>
    <w:p/>
    <w:p>
      <w:pPr>
        <w:pStyle w:val="Heading2"/>
      </w:pPr>
      <w:r>
        <w:t>REELS energy scale and the energy-loss axis</w:t>
      </w:r>
    </w:p>
    <w:p>
      <w:r>
        <w:t>The elastic peak of a REELS spectrum should lie at the primary beam energy, but the energy scale of the spectrometer, the work functions and charging move it a few eV: the spectra of one project had it at 1004.2–1004.4 eV for a 1000 eV beam. The REELS energy scale tab of ISS / REELS… moves it. Move the elastic peak to the primary energy finds the spectrum’s own elastic peak (the maximum, refined by a parabola through it and its neighbours) and shifts every kinetic energy of that spectrum by the difference, so the peak sits at the primary energy; Do every spectrum in the list does each spectrum with its own peak, and Remove undoes it. The primary energy is the one the file records (Avantage REELS files and the XPSView reader keep it as Primary beam energy); when the file does not state it, enter it, and the calibration is marked as entered. Nothing is assumed.</w:t>
      </w:r>
    </w:p>
    <w:p>
      <w:r>
        <w:t>Automatic calibration. When a REELS file records its primary energy, each spectrum is calibrated as the file is loaded, so it opens with the elastic peak at the primary energy (1000 eV) and 0 eV of energy loss; the metadata and the tab say it was applied automatically. A spectrum with no elastic peak, or whose peak lies more than 30 eV from the primary energy, is not shifted and is named in the notes shown after loading; you can still calibrate it with the button. Remove undoes the calibration and stops it being applied again when the file is loaded or the workbook reopened. The checkbox on the tab turns the automatic calibration off for the workbook. Avantage REELS files (technique 22, lens mode REELS) are recognised as REELS: they load on a kinetic axis with the beam energy kept as the primary energy, not read as a photon energy, and the methods text describes them as an electron-beam measurement.</w:t>
      </w:r>
    </w:p>
    <w:p>
      <w:r>
        <w:t>The shift is stored per spectrum with the workbook and written to its metadata (REELS energy calibration); the data in the file are never changed. Results already measured keep their loss values: the elastic peak stored with a band gap, plasmon, loss fit or π / (σ+π) ratio moves with the energy scale, and measuring again on the calibrated spectrum gives the same ratio.</w:t>
      </w:r>
    </w:p>
    <w:p>
      <w:r>
        <w:t>The REELS axis box beside the ISS axis box chooses the x axis of REELS spectra. Energy loss, the default, plots the energy lost from the elastic peak: 0 eV at the peak, increasing to the right, titled Energy loss (eV). Kinetic plots the (calibrated) kinetic energy as before. Spectra of other techniques on the same page keep their own axis, a saved figure remembers the choice (a figure saved before it existed was drawn on the kinetic axis and stays so), and the cursor read-out gives the loss and the kinetic energy. The overlays of the band gap, plasmon energy, loss-region fit and π / (σ+π) ratio are drawn on it. The loss is measured from the spectrum’s elastic peak (the one stored with its REELS results, else the calibrated or refined one). The offline HTML browser has no loss axis; it shows the calibrated kinetic energies.</w:t>
      </w:r>
    </w:p>
    <w:p>
      <w:pPr>
        <w:pStyle w:val="Heading2"/>
      </w:pPr>
      <w:r>
        <w:t>REELS band gap</w:t>
      </w:r>
    </w:p>
    <w:p>
      <w:r>
        <w:t>Find the elastic peak (automatically, by typing it, or by clicking it), then click two points on the rising edge of the loss spectrum. The straight line through them meets the baseline at the band gap, which is drawn on the plot and stored in the workbook and the spectrum's metadata. Points that do not give a positive gap are explained rather than stored as a result.</w:t>
      </w:r>
    </w:p>
    <w:p>
      <w:pPr>
        <w:jc w:val="center"/>
      </w:pPr>
      <w:r>
        <w:drawing>
          <wp:inline xmlns:a="http://schemas.openxmlformats.org/drawingml/2006/main" xmlns:pic="http://schemas.openxmlformats.org/drawingml/2006/picture">
            <wp:extent cx="5976000" cy="3452800"/>
            <wp:docPr id="12" name="Picture 12"/>
            <wp:cNvGraphicFramePr>
              <a:graphicFrameLocks noChangeAspect="1"/>
            </wp:cNvGraphicFramePr>
            <a:graphic>
              <a:graphicData uri="http://schemas.openxmlformats.org/drawingml/2006/picture">
                <pic:pic>
                  <pic:nvPicPr>
                    <pic:cNvPr id="0" name="fig_reels.png"/>
                    <pic:cNvPicPr/>
                  </pic:nvPicPr>
                  <pic:blipFill>
                    <a:blip r:embed="rId21"/>
                    <a:stretch>
                      <a:fillRect/>
                    </a:stretch>
                  </pic:blipFill>
                  <pic:spPr>
                    <a:xfrm>
                      <a:off x="0" y="0"/>
                      <a:ext cx="5976000" cy="3452800"/>
                    </a:xfrm>
                    <a:prstGeom prst="rect"/>
                  </pic:spPr>
                </pic:pic>
              </a:graphicData>
            </a:graphic>
          </wp:inline>
        </w:drawing>
      </w:r>
    </w:p>
    <w:p>
      <w:pPr>
        <w:jc w:val="center"/>
      </w:pPr>
      <w:r>
        <w:rPr>
          <w:i/>
          <w:sz w:val="20"/>
        </w:rPr>
        <w:t>Figure 25. The REELS band-gap construction: elastic peak, tangent and baseline.</w:t>
      </w:r>
    </w:p>
    <w:p/>
    <w:p>
      <w:pPr>
        <w:pStyle w:val="Heading2"/>
      </w:pPr>
      <w:r>
        <w:t>REELS plasmon energy</w:t>
      </w:r>
    </w:p>
    <w:p>
      <w:r>
        <w:t>Below the band-gap controls, the Plasmon energy group measures the energy of a loss peak. Choose the feature (π + σ, with a default loss window of 15–45 eV, π, with 3–12 eV, or your own window), the background and the method, then press Measure. The window is in eV of energy loss from the elastic peak and is never set for you.</w:t>
      </w:r>
    </w:p>
    <w:p>
      <w:r>
        <w:t>The Gaussian method follows Filippi and Calliari (Surf. Interface Anal. 38, 595, 2006): a background is taken from the two ends of the window, Linear or Shirley, and the centre of the least-squares Gaussian through the data above 90 % of the peak height is the energy. A Shirley background needs the high-loss end of the window to be the higher one and is refused otherwise. The second-derivative method takes the maximum of the negated second derivative of the smoothed spectrum (the smoothing width is yours to set) and needs no background. Choosing both stores the Gaussian value and shows the other beside it.</w:t>
      </w:r>
    </w:p>
    <w:p>
      <w:r>
        <w:t>The number depends on the background, so the method is stored and written with it. For graphite at 1 keV the paper finds 27.1 eV with a linear background, 26.2 eV with a Shirley one and 26.9 eV by the second derivative; the literature spans 26–28 eV. The result is drawn on the plot (the window shaded, the background dashed, the energy labelled), saved in the workbook and added to the spectrum’s metadata as REELS plasmon energy and REELS plasmon method. It is kept separately from the band gap, so clearing one leaves the other.</w:t>
      </w:r>
    </w:p>
    <w:p>
      <w:pPr>
        <w:jc w:val="center"/>
      </w:pPr>
      <w:r>
        <w:drawing>
          <wp:inline xmlns:a="http://schemas.openxmlformats.org/drawingml/2006/main" xmlns:pic="http://schemas.openxmlformats.org/drawingml/2006/picture">
            <wp:extent cx="5976000" cy="3452800"/>
            <wp:docPr id="13" name="Picture 13"/>
            <wp:cNvGraphicFramePr>
              <a:graphicFrameLocks noChangeAspect="1"/>
            </wp:cNvGraphicFramePr>
            <a:graphic>
              <a:graphicData uri="http://schemas.openxmlformats.org/drawingml/2006/picture">
                <pic:pic>
                  <pic:nvPicPr>
                    <pic:cNvPr id="0" name="fig_plasmon.png"/>
                    <pic:cNvPicPr/>
                  </pic:nvPicPr>
                  <pic:blipFill>
                    <a:blip r:embed="rId22"/>
                    <a:stretch>
                      <a:fillRect/>
                    </a:stretch>
                  </pic:blipFill>
                  <pic:spPr>
                    <a:xfrm>
                      <a:off x="0" y="0"/>
                      <a:ext cx="5976000" cy="3452800"/>
                    </a:xfrm>
                    <a:prstGeom prst="rect"/>
                  </pic:spPr>
                </pic:pic>
              </a:graphicData>
            </a:graphic>
          </wp:inline>
        </w:drawing>
      </w:r>
    </w:p>
    <w:p>
      <w:pPr>
        <w:jc w:val="center"/>
      </w:pPr>
      <w:r>
        <w:rPr>
          <w:i/>
          <w:sz w:val="20"/>
        </w:rPr>
        <w:t>Figure 26. A REELS plasmon energy: the window (shaded), the Shirley background (dashed) and the energy found.</w:t>
      </w:r>
    </w:p>
    <w:p/>
    <w:p>
      <w:r>
        <w:t>A mass density can be calculated from a bulk plasmon energy for amorphous carbon (4 valence electrons, effective mass 0.87), which gives 2.046 g/cm³ at 25.5 eV as Yang et al. (Phys. Chem. Chem. Phys. 23, 25335, 2021) report. The dialog does not offer it: a raw REELS peak lies above the bulk-loss peak because of surface excitation and multiple scattering (27.0 eV would give 2.294 g/cm³), so it overstates the density.</w:t>
      </w:r>
    </w:p>
    <w:p>
      <w:pPr>
        <w:pStyle w:val="Heading2"/>
      </w:pPr>
      <w:r>
        <w:t>REELS loss peaks and layers</w:t>
      </w:r>
    </w:p>
    <w:p>
      <w:r>
        <w:t>The REELS loss peaks / layers tab fits the π + σ loss region with the Gaussians of Stobinski et al. (J. Electron Spectrosc. Relat. Phenom. 195, 145, 2014) and, from their ratio, estimates how many graphene layers the electrons probed.</w:t>
      </w:r>
    </w:p>
    <w:tbl>
      <w:tblPr>
        <w:tblStyle w:val="TableGrid"/>
        <w:tblW w:type="auto" w:w="0"/>
        <w:tblLayout w:type="fixed"/>
        <w:tblLook w:firstColumn="1" w:firstRow="1" w:lastColumn="0" w:lastRow="0" w:noHBand="0" w:noVBand="1" w:val="04A0"/>
      </w:tblPr>
      <w:tblGrid>
        <w:gridCol w:w="4706"/>
        <w:gridCol w:w="4706"/>
      </w:tblGrid>
      <w:tr>
        <w:tc>
          <w:tcPr>
            <w:tcW w:type="dxa" w:w="3969"/>
            <w:shd w:val="clear" w:color="auto" w:fill="2C3E50"/>
          </w:tcPr>
          <w:p>
            <w:r/>
            <w:r>
              <w:rPr>
                <w:b/>
                <w:color w:val="FFFFFF"/>
              </w:rPr>
              <w:t>Component</w:t>
            </w:r>
          </w:p>
        </w:tc>
        <w:tc>
          <w:tcPr>
            <w:tcW w:type="dxa" w:w="2835"/>
            <w:shd w:val="clear" w:color="auto" w:fill="2C3E50"/>
          </w:tcPr>
          <w:p>
            <w:r/>
            <w:r>
              <w:rPr>
                <w:b/>
                <w:color w:val="FFFFFF"/>
              </w:rPr>
              <w:t>Starting loss (eV)</w:t>
            </w:r>
          </w:p>
        </w:tc>
      </w:tr>
      <w:tr>
        <w:tc>
          <w:tcPr>
            <w:tcW w:type="dxa" w:w="3969"/>
          </w:tcPr>
          <w:p>
            <w:r>
              <w:t>π</w:t>
            </w:r>
          </w:p>
        </w:tc>
        <w:tc>
          <w:tcPr>
            <w:tcW w:type="dxa" w:w="2835"/>
          </w:tcPr>
          <w:p>
            <w:r>
              <w:t>6.0</w:t>
            </w:r>
          </w:p>
        </w:tc>
      </w:tr>
      <w:tr>
        <w:tc>
          <w:tcPr>
            <w:tcW w:type="dxa" w:w="3969"/>
          </w:tcPr>
          <w:p>
            <w:r>
              <w:t>interband</w:t>
            </w:r>
          </w:p>
        </w:tc>
        <w:tc>
          <w:tcPr>
            <w:tcW w:type="dxa" w:w="2835"/>
          </w:tcPr>
          <w:p>
            <w:r>
              <w:t>12.5</w:t>
            </w:r>
          </w:p>
        </w:tc>
      </w:tr>
      <w:tr>
        <w:tc>
          <w:tcPr>
            <w:tcW w:type="dxa" w:w="3969"/>
          </w:tcPr>
          <w:p>
            <w:r>
              <w:t>C sp² surface</w:t>
            </w:r>
          </w:p>
        </w:tc>
        <w:tc>
          <w:tcPr>
            <w:tcW w:type="dxa" w:w="2835"/>
          </w:tcPr>
          <w:p>
            <w:r>
              <w:t>19.5</w:t>
            </w:r>
          </w:p>
        </w:tc>
      </w:tr>
      <w:tr>
        <w:tc>
          <w:tcPr>
            <w:tcW w:type="dxa" w:w="3969"/>
          </w:tcPr>
          <w:p>
            <w:r>
              <w:t>C sp³ surface</w:t>
            </w:r>
          </w:p>
        </w:tc>
        <w:tc>
          <w:tcPr>
            <w:tcW w:type="dxa" w:w="2835"/>
          </w:tcPr>
          <w:p>
            <w:r>
              <w:t>23.0</w:t>
            </w:r>
          </w:p>
        </w:tc>
      </w:tr>
      <w:tr>
        <w:tc>
          <w:tcPr>
            <w:tcW w:type="dxa" w:w="3969"/>
          </w:tcPr>
          <w:p>
            <w:r>
              <w:t>C sp² bulk</w:t>
            </w:r>
          </w:p>
        </w:tc>
        <w:tc>
          <w:tcPr>
            <w:tcW w:type="dxa" w:w="2835"/>
          </w:tcPr>
          <w:p>
            <w:r>
              <w:t>27.0</w:t>
            </w:r>
          </w:p>
        </w:tc>
      </w:tr>
      <w:tr>
        <w:tc>
          <w:tcPr>
            <w:tcW w:type="dxa" w:w="3969"/>
          </w:tcPr>
          <w:p>
            <w:r>
              <w:t>C sp³ bulk</w:t>
            </w:r>
          </w:p>
        </w:tc>
        <w:tc>
          <w:tcPr>
            <w:tcW w:type="dxa" w:w="2835"/>
          </w:tcPr>
          <w:p>
            <w:r>
              <w:t>33.8</w:t>
            </w:r>
          </w:p>
        </w:tc>
      </w:tr>
      <w:tr>
        <w:tc>
          <w:tcPr>
            <w:tcW w:type="dxa" w:w="3969"/>
          </w:tcPr>
          <w:p>
            <w:r>
              <w:t>σ → σ*</w:t>
            </w:r>
          </w:p>
        </w:tc>
        <w:tc>
          <w:tcPr>
            <w:tcW w:type="dxa" w:w="2835"/>
          </w:tcPr>
          <w:p>
            <w:r>
              <w:t>35.0 and 42.0</w:t>
            </w:r>
          </w:p>
        </w:tc>
      </w:tr>
    </w:tbl>
    <w:p/>
    <w:p>
      <w:r>
        <w:t>These energies are an assignment taken from the literature, so they are only starting values: each position may move by the tolerance you set (1 eV by default; 0 holds it). The π peak has a width of its own and the other components share one. The areas are found by non-negative least squares, so none is negative. The background is taken from the ends of the loss window; the paper does not say which it used, so Linear is only a default. The table lists each component’s position, width and share, and the residual as a fraction of the data range.</w:t>
      </w:r>
    </w:p>
    <w:p>
      <w:r>
        <w:t>R is the area of the C sp² bulk component divided by that of the C sp² surface component. Neighbouring Gaussians overlap and trade area, so treat R as good to about 10 %, not as a precise number. A fit with no sp² surface area gives no R.</w:t>
      </w:r>
    </w:p>
    <w:p>
      <w:r>
        <w:t>Number of layers. The beam geometry and the electron mean free path are not recorded in the instrument files, so nothing is assumed: enter the mean free path λ (nm) and the angles of the incident beam and of the emitted electrons to the surface normal. The button λ from TPP-2M at the elastic peak fills in the TPP-2M value for the average matrix at the elastic-peak energy; it is not specific to carbon and gives 4.1 nm at 2 keV, whereas the 6.5 nm information depth of Stobinski et al. at 2 keV, 0° in and 35° out corresponds to 3.1 nm. The layer distance (0.335 nm), the R of graphite (4.2) and the information-depth percentage (99) can also be changed.</w:t>
      </w:r>
    </w:p>
    <w:p>
      <w:r>
        <w:t>The estimate takes one layer to have R = 0 and graphite R = 4.2, with the bulk signal growing as 1 − exp(−z / (λ cos α_out)) below the first layer, and graphite being the thickness the information depth reaches. That closed form is a reading of the curve in Fig. 7 of their paper, which they do not write as an equation. With their geometry it gives 7.9 and 4.1 layers for their R of 2.72 and 1.55; they state 8 and 4. An R at or above the graphite value gives “N layers or more”. It is a calibration to one graphite reference and one model, so quote it with the geometry used.</w:t>
      </w:r>
    </w:p>
    <w:p>
      <w:r>
        <w:t>The fit is drawn on the plot (the two sp² components filled, the sum over the background, R in the corner), stored in the workbook and added to the metadata: REELS loss fit, REELS π loss, REELS C sp² surface loss, REELS sp² bulk / sp² surface (R) and, once a geometry is entered, REELS layers (estimate). A refit keeps the geometry you entered.</w:t>
      </w:r>
    </w:p>
    <w:p>
      <w:pPr>
        <w:jc w:val="center"/>
      </w:pPr>
      <w:r>
        <w:drawing>
          <wp:inline xmlns:a="http://schemas.openxmlformats.org/drawingml/2006/main" xmlns:pic="http://schemas.openxmlformats.org/drawingml/2006/picture">
            <wp:extent cx="5976000" cy="3452800"/>
            <wp:docPr id="14" name="Picture 14"/>
            <wp:cNvGraphicFramePr>
              <a:graphicFrameLocks noChangeAspect="1"/>
            </wp:cNvGraphicFramePr>
            <a:graphic>
              <a:graphicData uri="http://schemas.openxmlformats.org/drawingml/2006/picture">
                <pic:pic>
                  <pic:nvPicPr>
                    <pic:cNvPr id="0" name="fig_lossfit.png"/>
                    <pic:cNvPicPr/>
                  </pic:nvPicPr>
                  <pic:blipFill>
                    <a:blip r:embed="rId23"/>
                    <a:stretch>
                      <a:fillRect/>
                    </a:stretch>
                  </pic:blipFill>
                  <pic:spPr>
                    <a:xfrm>
                      <a:off x="0" y="0"/>
                      <a:ext cx="5976000" cy="3452800"/>
                    </a:xfrm>
                    <a:prstGeom prst="rect"/>
                  </pic:spPr>
                </pic:pic>
              </a:graphicData>
            </a:graphic>
          </wp:inline>
        </w:drawing>
      </w:r>
    </w:p>
    <w:p>
      <w:pPr>
        <w:jc w:val="center"/>
      </w:pPr>
      <w:r>
        <w:rPr>
          <w:i/>
          <w:sz w:val="20"/>
        </w:rPr>
        <w:t>Figure 27. A REELS loss region fitted with the Gaussians of Stobinski et al.: the two sp² components that make R are filled.</w:t>
      </w:r>
    </w:p>
    <w:p/>
    <w:p>
      <w:pPr>
        <w:pStyle w:val="Heading2"/>
      </w:pPr>
      <w:r>
        <w:t>REELS π / (σ+π) ratio and an sp² fraction</w:t>
      </w:r>
    </w:p>
    <w:p>
      <w:r>
        <w:t>The REELS π / (σ+π) ratio tab measures the area of the π loss over the area of the σ + π loss, the quantity the HarwellXPS REELS analysis reports. The windows start as that analysis uses them: π 3.5–8.0 eV and σ + π 10.0–35.0 eV of energy loss, two separate windows. Each area is taken above a straight line between the window’s first and last points; each end of the line is the mean of 3 channels centred on that end point (so the channel just outside the window counts), and the area is the trapezoid sum. The loss zero is each spectrum’s own elastic peak, found as the maximum refined by a parabola. Windows and end-point channels can be changed and are stored with the result. The areas and ratios agree with those stored in an XPSView project for six REELS spectra to about one part in a million.</w:t>
      </w:r>
    </w:p>
    <w:p>
      <w:r>
        <w:t>Measure this spectrum measures the one selected; Measure every spectrum in the list measures every ticked spectrum with the same windows, each at its own elastic peak, and lists the areas, the ratio and the sp² fraction in a table. How much do the windows matter? moves each window limit by ±0.5 eV and shows how the ratio changes.</w:t>
      </w:r>
    </w:p>
    <w:p>
      <w:r>
        <w:t>The ratio is not an sp² percentage. It depends on the windows, the beam energy and the geometry, so on its own it compares spectra measured together. For a fraction, measure HOPG, which is all sp², and diamond, which has no π component, in the same way. Select the HOPG spectrum and press Use this spectrum as HOPG (= 1); do the same for diamond with Use this spectrum as diamond (= 0). Both buttons measure the spectrum again with the windows shown. The sp² fraction of any other spectrum is then (R − R_diamond) / (R_HOPG − R_diamond), with the diamond term 0 if no diamond is stored. One HOPG and one diamond are kept for the workbook.</w:t>
      </w:r>
    </w:p>
    <w:p>
      <w:r>
        <w:t>Nothing is assumed about the reference. It must come from your own spectra, or you can type a HOPG ratio with a note of its source; a typed number is marked as typed and carries no windows, so it is used without checking them. A reference measured with other windows or end-point channels than a spectrum is not used for it, and the dialog and the metadata say so. A difference of more than 1 % between the elastic-peak energies of a spectrum and its reference is noted, because it means the beam energy was not the same; the geometry cannot be checked, so keep it the same.</w:t>
      </w:r>
    </w:p>
    <w:p>
      <w:r>
        <w:t>A negative π area (no peak above the background, as expected for diamond within the noise), a σ + π area that is not positive, which leaves no ratio, and a fraction outside 0–1.15 are flagged and never clipped. The result is drawn on the plot (both windows shaded, each background dashed, the ratio and the fraction), saved in the workbook and added to the metadata as REELS π / (σ+π) ratio, windows and notes, and REELS sp² fraction.</w:t>
      </w:r>
    </w:p>
    <w:p>
      <w:pPr>
        <w:jc w:val="center"/>
      </w:pPr>
      <w:r>
        <w:drawing>
          <wp:inline xmlns:a="http://schemas.openxmlformats.org/drawingml/2006/main" xmlns:pic="http://schemas.openxmlformats.org/drawingml/2006/picture">
            <wp:extent cx="5976000" cy="3452800"/>
            <wp:docPr id="15" name="Picture 15"/>
            <wp:cNvGraphicFramePr>
              <a:graphicFrameLocks noChangeAspect="1"/>
            </wp:cNvGraphicFramePr>
            <a:graphic>
              <a:graphicData uri="http://schemas.openxmlformats.org/drawingml/2006/picture">
                <pic:pic>
                  <pic:nvPicPr>
                    <pic:cNvPr id="0" name="fig_piratio.png"/>
                    <pic:cNvPicPr/>
                  </pic:nvPicPr>
                  <pic:blipFill>
                    <a:blip r:embed="rId24"/>
                    <a:stretch>
                      <a:fillRect/>
                    </a:stretch>
                  </pic:blipFill>
                  <pic:spPr>
                    <a:xfrm>
                      <a:off x="0" y="0"/>
                      <a:ext cx="5976000" cy="3452800"/>
                    </a:xfrm>
                    <a:prstGeom prst="rect"/>
                  </pic:spPr>
                </pic:pic>
              </a:graphicData>
            </a:graphic>
          </wp:inline>
        </w:drawing>
      </w:r>
    </w:p>
    <w:p>
      <w:pPr>
        <w:jc w:val="center"/>
      </w:pPr>
      <w:r>
        <w:rPr>
          <w:i/>
          <w:sz w:val="20"/>
        </w:rPr>
        <w:t>Figure 28. The π / (σ+π) ratio: the two windows, the straight background under each, the ratio and the sp² fraction against a HOPG reference.</w:t>
      </w:r>
    </w:p>
    <w:p/>
    <w:p>
      <w:r>
        <w:t>Peak positions and warnings. Each result also records where the π and the σ + π peak lie (the maximum of the curve above its straight line, refined by a parabola through it and its neighbours) and two warnings that HarwellXPS gives: the curve dips more than 20 % of its peak height below the line, which means the straight line may be in the wrong place, and the maximum sits on the edge of its window, so the window rather than the feature sets the position. They reproduce HarwellXPS’s own warnings on its six REELS spectra.</w:t>
      </w:r>
    </w:p>
    <w:p>
      <w:r>
        <w:t>The table, the CSV and the report. Every spectrum with a measured ratio is listed in one table: file, sample, spectrum, elastic peak, the two peak positions, the two areas, the ratio, the sp² fraction, the windows and end-point channels, the HOPG and diamond ratios used and the notes. File → Export REELS ratios → CSV… and the Save the table (CSV)… button in the dialog write it as a CSV in the layout of HarwellXPS’s reels_pi_sigma_ratio.csv with those columns added; a value that is not there is blank, never zero, and nothing is clipped. The hand-over package can include the same CSV.</w:t>
      </w:r>
    </w:p>
    <w:p>
      <w:r>
        <w:t>Repeat groups. Spectra of samples that repeat one another (several locations on one sample, a spot measured again) can be grouped, and the table then gives the mean, the sample standard deviation (n − 1) and n of the ratio, the sp² fraction and the two peak positions for each group. The groups are the same ones as the Quantification tab’s Groups…; a REELS-only sample has no quantification, so the Repeat groups… button of the ratio tab opens the same editor, which lists the samples that have a ratio (marked REELS) and can suggest groups from their names. The statistics use the values in the table and nothing is re-measured; n counts spectra, so a sample with two REELS spectra contributes two values. A group measured with different windows or end-point channels has no statistics, because its ratios cannot be compared, and a spectrum flagged in the table is counted and named. A standard deviation needs two spectra.</w:t>
      </w:r>
    </w:p>
    <w:p>
      <w:r>
        <w:t>The groups appear as one line each under the dialog’s table, as a Repeat groups subsection of the REELS analysis section in the PDF, the slides (a slide per group) and Word, in reels/reels_pi_sigma_ratio_repeat_groups.csv in the hand-over package, and in a second file written beside the table by File → Export REELS ratios → CSV….</w:t>
      </w:r>
    </w:p>
    <w:p>
      <w:r>
        <w:t>The elastic peak. Every spectrum uses its own elastic peak as the loss zero. The Elastic box of the dialog shows the peak stored with the selected spectrum, or is empty when it has none, and Measure then finds that spectrum’s own maximum; it never carries over the value of another spectrum. Measure every spectrum in the list keeps a peak you chose for a spectrum and otherwise uses its own maximum.</w:t>
      </w:r>
    </w:p>
    <w:p>
      <w:r>
        <w:t>A REELS analysis section in the Report generator puts the table into the PDF, the slides and the Word document, after the Quantification. A † marks a sample with a problem, and under the table come the windows, the references, the reminder that the ratio is not an sp² percentage, and one line for each kind of problem naming the spectra it applies to. The section appears only once a ratio has been measured, is on in the Everything and Customer report presets, and is off in a report saved before it existed.</w:t>
      </w:r>
    </w:p>
    <w:p>
      <w:r>
        <w:t>Not included: published reference values for HOPG or other carbons. The XPSView data lists graphite 0.145 and amorphous carbon 0.134 from a paper whose citation is not known, so no value is built in.</w:t>
      </w:r>
    </w:p>
    <w:p>
      <w:r>
        <w:br w:type="page"/>
      </w:r>
    </w:p>
    <w:p>
      <w:pPr>
        <w:pStyle w:val="Heading1"/>
      </w:pPr>
      <w:r>
        <w:t>22. Avantage experiments, projects, camera images and SnapMaps</w:t>
      </w:r>
    </w:p>
    <w:p>
      <w:r>
        <w:t>Thermo Avantage writes one .VGD file per scan into a folder tree beside its .VGX file. Open → Folder… on that folder (or on the .VGX, or on a single sample folder inside it) loads everything as one experiment, with a progress box you can cancel. The tree runs experiment → sample → analysis point → scan, in the order the .VGX file says they were run.</w:t>
      </w:r>
    </w:p>
    <w:p>
      <w:r>
        <w:t>Camera images: the sample-view pictures Avantage takes at each point carry their own stage calibration, so no manual calibration is needed. Select a point and its picture appears in the Images tab, with the analysis points that fall inside it, the outline of any SnapMap taken there, and a scale bar. Click a point in the picture to select it in the tree.</w:t>
      </w:r>
    </w:p>
    <w:p>
      <w:r>
        <w:t>SnapMaps (a spectrum at every pixel) appear as one region each, marked (SnapMap). Double-click one to open the viewer: drag across the spectrum to choose the energy window (Remove background takes a sloping baseline off first), drag a box or click a pixel on the map to see that area's spectrum, lay the map over the camera picture, and save the picture, the map values, or the spectra. A Smoothing choice (None, Savitzky-Golay, Fourier low-pass or Gauss-Hermite Smooth) with a strength control cleans noisy map spectra for display; the Fourier methods remove the straight line from first to last point before filtering, so a sloping spectrum does not ring at its ends.</w:t>
      </w:r>
    </w:p>
    <w:p>
      <w:r>
        <w:t>The window can be resized and has a zoom / pan toolbar. A drag or click on the map adds an area (a rectangle or an ellipse, up to six, each in its own colour); a table lists each area's pixels, size, mean counts per pixel and mean relative to the whole map for the energy window on show, and can be saved as CSV. The View box switches between the single map, an element grid, an RGB composite (three elements as red, green and blue, each on its own range) and a ratio map (first element over the second, blank where the second is mostly noise); only elements on the same pixels combine, and nothing is corrected for sensitivity, so a composite shows where an element is, not how much.</w:t>
      </w:r>
    </w:p>
    <w:p>
      <w:r>
        <w:t>Mosaic lays other SnapMaps of the same core level beside the current one by their stage positions, with one energy window and one colour range for all; where maps overlap the mean is shown and where none reaches the canvas is blank. Only the stage positions are used: there is no rotation or image registration.</w:t>
      </w:r>
    </w:p>
    <w:p>
      <w:r>
        <w:t>Save writes a picture (PNG, PDF or SVG, drawn for paper) with the map and spectrum or the map alone. Save as a figure for the report stores the view in the workbook's figures, so it appears in the PDF report, the slides, Word, the data browser page and the hand-over ZIP; Recall in the Figures dialog reopens the viewer on it.</w:t>
      </w:r>
    </w:p>
    <w:p>
      <w:r>
        <w:t>Fit components splits one core level into its chemical states, for example Si 2p into elemental Si and Si oxide. The Fit tab starts the components from the tables (Si 2p: Si at 99.4 eV and SiO2 at 103.4 eV, Al 2p: Al at 72.5 eV and Al2O3 at 75.0 eV, as spin-orbit doublets; another level: its main line, moved to the measured peak; Add offers the level’s states from the chemical-state table or your own). Each position may move ±0.5 eV (±0.8 eV for the Al states; changeable per component) and a position or width that reaches its limit is reported. Fit spectrum refines the positions and widths on the mean spectrum of the whole map or of one of your areas; the maps are then computed from those shapes for every pixel at once.</w:t>
      </w:r>
    </w:p>
    <w:p>
      <w:r>
        <w:t>The fit window is the background limits and the range the peaks are fitted to. The spectrum shows all the data with the window shaded and its two edges labelled. Drag the window or either edge on the spectrum, or type the limits in the Fit tab, and the peaks refit to the data inside it; untick Refit when the window moves to move it without refitting (the maps are still redrawn from the present peak shapes). A refit takes a few seconds on a large map. End avg is the number of channels at each end of the window that set the Shirley background step, and Reset returns to the automatic window. A window with too few channels for the components is refused, and one that reaches a part of the spectrum the model does not describe (such as a rising background beyond the peaks) shows up as a large reduced chi-square.</w:t>
      </w:r>
    </w:p>
    <w:p>
      <w:r>
        <w:t>The view shows one map per component (counts summed over the component, not a rate and not corrected for sensitivity, so it is not an atomic percent), the fraction map of the components you choose (the oxide by default; blank where there is too little signal), the reduced chi-square map, which shows where the model fails, and the fit over the spectrum with each component’s share. The results table gives each component’s position, width and area with uncertainties, and your areas report the mean fraction inside them. The reduced chi-square is scaled by the noise of the map (Avantage SnapMap values are scaled counts), so about 1 means the model explains the data to the noise. A level with several states (C 1s, O 1s) needs more components than the one it starts with. A state that is strong in only a few pixels is found because the shapes are also refined on the pixels where it is strongest, and the background can only rise towards high binding energy, so it cannot take the intensity of a small peak on the low side. If one map holds different forms of a state in different places, the whole-map fit cannot describe it: the table says so (reduced chi-square far above 1), and the answer is to draw an area on one form and use Fit on that area. The fit deliberately considers only the elemental and the fully oxidised state (Si and SiO2 for Si 2p) and ignores suboxides: image data are too noisy to separate intermediate states, so a feature between the two is taken up by the nearer component or shows in the residual map.</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SnapMap viewer: the element map and the selected area's spectrum. ]</w:t>
            </w:r>
          </w:p>
          <w:p/>
        </w:tc>
      </w:tr>
    </w:tbl>
    <w:p>
      <w:pPr>
        <w:jc w:val="center"/>
      </w:pPr>
      <w:r>
        <w:rPr>
          <w:i/>
          <w:sz w:val="20"/>
        </w:rPr>
        <w:t>Figure 29. The SnapMap viewer: the element map and the selected area's spectrum.</w:t>
      </w:r>
    </w:p>
    <w:p/>
    <w:p>
      <w:pPr>
        <w:pStyle w:val="Heading2"/>
      </w:pPr>
      <w:r>
        <w:t>Kratos imaging maps</w:t>
      </w:r>
    </w:p>
    <w:p>
      <w:r>
        <w:t>Stigmatic images from a Kratos .kal or .dset (one single-energy image per object) are rows marked “(Map)” in the tree, with the binding energy and the image size. They have no spectrum and so no tick box. Double-click one (or press Enter) to open the image viewer: it steps through the maps of the same stage position (a focus series) or the same energy, with a slider and filters, colour choices, a shared colour range and smoothing (for the picture only), an area, and a plot of the mean counts or the sharpness against stage height, time or frame number. Saving writes the picture, the pixel values or the table. The field of view is not stored in the file: a measured value is used and every scale bar says approx. The images also have their own tab in the HTML data browser and their own pages in the reports.</w:t>
      </w:r>
    </w:p>
    <w:p>
      <w:pPr>
        <w:pStyle w:val="Heading2"/>
      </w:pPr>
      <w:r>
        <w:t>Avantage projects (.vgp)</w:t>
      </w:r>
    </w:p>
    <w:p>
      <w:r>
        <w:t>An Avantage project holds a session’s peak fits. Open the .vgp file, or the folder that holds just one, and the spectra it uses (its .DATA folder of .VGD files) load together, named after the project, with the project’s fitted peaks and backgrounds drawn through the same Fit row, Quantification tab, reports and exports as a CasaXPS fit. The fit is read, never refitted. Peaks follow Avantage’s Gaussian/Lorentzian shape (product or sum, told from the stored areas) with its tail, and the background is Linear, Shirley or Avantage’s Smart background, a Shirley that never rises above the data. A fit that does not describe its spectrum says so on the plot, and a file with two traces takes the fit on the trace it matches.</w:t>
      </w:r>
    </w:p>
    <w:p>
      <w:r>
        <w:t>Quantification uses Avantage’s own numbers, which this application reproduces to the digits printed in Avantage’s Peak Table (checked on S 2p, Te 3d, Mn 2p and C 1s fits). Each peak’s area (Avantage’s Area (P)) is divided by its sensitivity factor from the library the project names (ALTHERMO1 is Thermo’s adjusted Scofield set for a monochromated Al source), by the transmission function at the peak (unless the file says it was already removed, which gives TXFN 1.00) and by an energy term: the TPP-2M mean free path for ALTHERMO1, a power of the kinetic energy (KE^0.6) for the Scofield libraries. A peak typed in by hand, such as a satellite, carries Avantage’s default factor of 1 and is counted as Avantage counts it.</w:t>
      </w:r>
    </w:p>
    <w:p>
      <w:r>
        <w:t>Details lists what each fit constrained under “Peak constraints (Avantage)”: a peak’s position tied to another’s with an offset and limits, its height or FWHM as a ratio of another’s, and FWHM limits. A doublet’s “area ratio” constraint is a height ratio in the file, which is the area ratio only while both peaks have the same width. Constraints are shown, not applied, and a layout the reader does not know is left out rather than guessed.</w:t>
      </w:r>
    </w:p>
    <w:p>
      <w:pPr>
        <w:pStyle w:val="Heading2"/>
      </w:pPr>
      <w:r>
        <w:t>Older and converted Avantage files</w:t>
      </w:r>
    </w:p>
    <w:p>
      <w:r>
        <w:t>Files from older Avantage versions, such as the sample data converted from VG Eclipse, read as before and now also give their scan count, the source (“Al Kα, non-monochromated” when the file says so), the Avantage version and the file they were converted from. Their recorded times are not labelled UTC, because those files do not say which zone they use, and the transmission coefficients they hold are neither applied nor claimed, since the file does not say whether the counts already have the function removed. A SnapMap’s scan count, and so its counting time, is read too.</w:t>
      </w:r>
    </w:p>
    <w:p>
      <w:pPr>
        <w:pStyle w:val="Heading2"/>
      </w:pPr>
      <w:r>
        <w:t>Angle-resolved (tilt) series</w:t>
      </w:r>
    </w:p>
    <w:p>
      <w:r>
        <w:t>A series recorded at several stage tilts is recognised: each spectrum shows its Sample tilt, the Z axis of a waterfall or heatmap can be Tilt, the methods text says the spectra are angle-resolved, and the series is not mistaken for a sputter depth profile. The take-off angle and any intensity correction are not inferred.</w:t>
      </w:r>
    </w:p>
    <w:p>
      <w:r>
        <w:br w:type="page"/>
      </w:r>
    </w:p>
    <w:p>
      <w:pPr>
        <w:pStyle w:val="Heading1"/>
      </w:pPr>
      <w:r>
        <w:t>23. Depth profiles</w:t>
      </w:r>
    </w:p>
    <w:p>
      <w:r>
        <w:t>Sputter depth profiles are detected automatically, either from a Kratos file's own instrument record or from a repeated region in a VAMAS file with an etch-time variable. Ticking a region folder puts every level on one panel. The export dialog then offers region-type checkboxes and level selection (All, First N, Every Nth, or a range).</w:t>
      </w:r>
    </w:p>
    <w:p>
      <w:r>
        <w:t>Level 0 is the surface at time zero, followed by the cumulative sputter time. Etch level and etch time appear in the metadata CSV/PDF and the Details panel, and are written into each VAMAS block as comment lines.</w:t>
      </w:r>
    </w:p>
    <w:p>
      <w:r>
        <w:br w:type="page"/>
      </w:r>
    </w:p>
    <w:p>
      <w:pPr>
        <w:pStyle w:val="Heading1"/>
      </w:pPr>
      <w:r>
        <w:t>24. NEXAFS scans</w:t>
      </w:r>
    </w:p>
    <w:p>
      <w:r>
        <w:t>A NEXAFS scan from a beamline (Diamond B07 / GDA, as a NeXus .nxs file) opens as one spectrum per detector channel, photon energy against current, named by detector. Nothing is guessed: which channel is total electron yield or fluorescence yield is not in the file, so none is assumed, the energy axis is never converted to binding energy, and nothing is normalised until you ask.</w:t>
      </w:r>
    </w:p>
    <w:p>
      <w:pPr>
        <w:pStyle w:val="Heading2"/>
      </w:pPr>
      <w:r>
        <w:t>Ring-current scaling</w:t>
      </w:r>
    </w:p>
    <w:p>
      <w:r>
        <w:t>Tick Ring-current scaling (beside the view controls, or in the View menu) to scale every point to the mean ring current of its scan. It is off by default and saved in the workbook. The ring current’s unit is not recorded, so the signal is scaled to the mean rather than divided by the current (which would claim a unit), and a point whose ring current is zero is left blank. The plot, the exports, the reports and the HTML page all follow.</w:t>
      </w:r>
    </w:p>
    <w:p>
      <w:pPr>
        <w:pStyle w:val="Heading2"/>
      </w:pPr>
      <w:r>
        <w:t>Edge normalisation</w:t>
      </w:r>
    </w:p>
    <w:p>
      <w:r>
        <w:t>Tools → NEXAFS edge step… normalises a spectrum to its absorption edge, with two methods. Edge step is the usual one: a line (or a constant or a parabola) is fitted over a pre-edge window and subtracted, and the result is divided by the step at the edge energy E0 taken from a fit over a post-edge window, so the edge step becomes 1. Min–max follows a spreadsheet processing template: the pre-edge line is subtracted and the spectrum is scaled so its lowest point is 0 and its highest 1.</w:t>
      </w:r>
    </w:p>
    <w:p>
      <w:r>
        <w:t>The dialog proposes windows (the first few eV of the scan for the pre-edge, the last tenth for the post-edge, the steepest rise for E0) and shows them as “Not saved yet” until you choose Use for this spectrum, or Use for all listed, which applies the same energies to every listed spectrum they fit and names the others. A choice that cannot be applied (a window with too few points or outside the data, a pre-edge ending above E0, a zero step) is explained and the spectrum is left as it was. Each choice is saved per spectrum in the workbook and applied wherever the spectrum is drawn or exported; the metadata rows “Edge normalisation” and “Edge step” and one sentence of the methods text say what was done.</w:t>
      </w:r>
    </w:p>
    <w:p>
      <w:r>
        <w:t>Flatten the post-edge fits a line (or a constant or a parabola) to the normalised data over the post-edge window and removes its slope above E0, so the post-edge sits level at about 1 while the edge step stays 1; nothing below E0 changes. Dividing by the I0 monitor channel is not done, so a raw total-electron-yield spectrum still shows the dip of the beamline monitor at the carbon edge.</w:t>
      </w:r>
    </w:p>
    <w:p>
      <w:r>
        <w:br w:type="page"/>
      </w:r>
    </w:p>
    <w:p>
      <w:pPr>
        <w:pStyle w:val="Heading1"/>
      </w:pPr>
      <w:r>
        <w:t>25. Troubleshooting and notes</w:t>
      </w:r>
    </w:p>
    <w:p>
      <w:pPr>
        <w:pStyle w:val="ListBullet"/>
      </w:pPr>
      <w:r>
        <w:t>tkinter is part of Python but needs an extra OS package on some Linux systems: sudo apt-get install python3-tk (Debian/Ubuntu), or sudo dnf install python3-tkinter (Fedora). The launcher reports whether it is missing.</w:t>
      </w:r>
    </w:p>
    <w:p>
      <w:pPr>
        <w:pStyle w:val="ListBullet"/>
      </w:pPr>
      <w:r>
        <w:t>Settings (theme, panel sizes, view options, plot style and your presets) are saved in ~/.spectradeck_config.json. The holder-photo calibration lives in each workbook; the last one used seeds new workbooks via ~/.spectradeck_calib.json.</w:t>
      </w:r>
    </w:p>
    <w:p>
      <w:pPr>
        <w:pStyle w:val="ListBullet"/>
      </w:pPr>
      <w:r>
        <w:t>Help → Reset settings to defaults… puts every setting back to its default after a warning. It clears the theme and window layout, the view, plot and report choices, your saved plot styles and report presets, the recent files, the places you gave for CasaXPS and KherveFitting, the choices you asked the program to remember and the splash and display options. It cannot be undone, and it does not touch your data files, your workbooks (each keeps its own saved look and annotations) or the camera-calibration seed. The defaults apply the next time the program starts, so the program offers to close; until then nothing you change is saved.</w:t>
      </w:r>
    </w:p>
    <w:p>
      <w:pPr>
        <w:pStyle w:val="ListBullet"/>
      </w:pPr>
      <w:r>
        <w:t>Binding energy is photon energy minus kinetic energy and is not charge-corrected, so peaks on a charging sample may sit a few eV off until you calibrate (Chapter 11).</w:t>
      </w:r>
    </w:p>
    <w:p>
      <w:pPr>
        <w:pStyle w:val="ListBullet"/>
      </w:pPr>
      <w:r>
        <w:t>The .experiment, .vgd and .kal readers are reverse-engineered from undocumented formats. They have been checked against vendor exports of the same data, but cross-check anything critical against the vendor's own software.</w:t>
      </w:r>
    </w:p>
    <w:p>
      <w:pPr>
        <w:pStyle w:val="ListBullet"/>
      </w:pPr>
      <w:r>
        <w:t>If a .experiment file was transferred as text rather than binary it can be silently corrupted; the application detects this and refuses to export noise.</w:t>
      </w:r>
    </w:p>
    <w:p>
      <w:pPr>
        <w:pStyle w:val="ListBullet"/>
      </w:pPr>
      <w:r>
        <w:t>Some libraries are optional and a feature that needs a missing one says so instead of failing: h5py (NeXus export, .nxs and .kfit files), PyMuPDF (the in-app PDF preview), python-pptx (the slides), Pillow (icons, camera pictures and cover pictures) and matplotlib (plots).</w:t>
      </w:r>
    </w:p>
    <w:p>
      <w:pPr>
        <w:pStyle w:val="ListBullet"/>
      </w:pPr>
      <w:r>
        <w:t>A Kratos file records when each run started but not when it ended, so the report’s Timing section is shorter for Kratos data; it is left out rather than estimated.</w:t>
      </w:r>
    </w:p>
    <w:p>
      <w:pPr>
        <w:pStyle w:val="ListBullet"/>
      </w:pPr>
      <w:r>
        <w:t>An Avantage project whose .VGD files have been moved loads the files it can find and names each missing one; keep the .vgp beside its .DATA folder.</w:t>
      </w:r>
    </w:p>
    <w:p>
      <w:pPr>
        <w:pStyle w:val="ListBullet"/>
      </w:pPr>
      <w:r>
        <w:t>To test the application against your own data, set the XPS_CORPUS environment variable to a folder of spectra files and run the test suite to check that every recognised file loads.</w:t>
      </w:r>
    </w:p>
    <w:p>
      <w:r>
        <w:br w:type="page"/>
      </w:r>
    </w:p>
    <w:p>
      <w:pPr>
        <w:pStyle w:val="Heading1"/>
      </w:pPr>
      <w:r>
        <w:t>Appendix A: Supported file formats</w:t>
      </w:r>
    </w:p>
    <w:tbl>
      <w:tblPr>
        <w:tblStyle w:val="TableGrid"/>
        <w:tblW w:type="auto" w:w="0"/>
        <w:tblLayout w:type="fixed"/>
        <w:tblLook w:firstColumn="1" w:firstRow="1" w:lastColumn="0" w:lastRow="0" w:noHBand="0" w:noVBand="1" w:val="04A0"/>
      </w:tblPr>
      <w:tblGrid>
        <w:gridCol w:w="3137"/>
        <w:gridCol w:w="3137"/>
        <w:gridCol w:w="3137"/>
      </w:tblGrid>
      <w:tr>
        <w:tc>
          <w:tcPr>
            <w:tcW w:type="dxa" w:w="2268"/>
            <w:shd w:val="clear" w:color="auto" w:fill="2C3E50"/>
          </w:tcPr>
          <w:p>
            <w:r/>
            <w:r>
              <w:rPr>
                <w:b/>
                <w:color w:val="FFFFFF"/>
              </w:rPr>
              <w:t>Format</w:t>
            </w:r>
          </w:p>
        </w:tc>
        <w:tc>
          <w:tcPr>
            <w:tcW w:type="dxa" w:w="1814"/>
            <w:shd w:val="clear" w:color="auto" w:fill="2C3E50"/>
          </w:tcPr>
          <w:p>
            <w:r/>
            <w:r>
              <w:rPr>
                <w:b/>
                <w:color w:val="FFFFFF"/>
              </w:rPr>
              <w:t>Extension</w:t>
            </w:r>
          </w:p>
        </w:tc>
        <w:tc>
          <w:tcPr>
            <w:tcW w:type="dxa" w:w="5329"/>
            <w:shd w:val="clear" w:color="auto" w:fill="2C3E50"/>
          </w:tcPr>
          <w:p>
            <w:r/>
            <w:r>
              <w:rPr>
                <w:b/>
                <w:color w:val="FFFFFF"/>
              </w:rPr>
              <w:t>Notes</w:t>
            </w:r>
          </w:p>
        </w:tc>
      </w:tr>
      <w:tr>
        <w:tc>
          <w:tcPr>
            <w:tcW w:type="dxa" w:w="2268"/>
          </w:tcPr>
          <w:p>
            <w:r>
              <w:t>VAMAS (ISO 14976)</w:t>
            </w:r>
          </w:p>
        </w:tc>
        <w:tc>
          <w:tcPr>
            <w:tcW w:type="dxa" w:w="1814"/>
          </w:tcPr>
          <w:p>
            <w:r>
              <w:t>.vms, .vamas, .npl</w:t>
            </w:r>
          </w:p>
        </w:tc>
        <w:tc>
          <w:tcPr>
            <w:tcW w:type="dxa" w:w="5329"/>
          </w:tcPr>
          <w:p>
            <w:r>
              <w:t>From any vendor (Kratos/CasaXPS, PHI, SPECS, Thermo, ...); PHI MultiPak's own export is the .npl. Handles NORM/MAP/SDPSV modes, regular and irregular scans, and vendor comment blocks.</w:t>
            </w:r>
          </w:p>
        </w:tc>
      </w:tr>
      <w:tr>
        <w:tc>
          <w:tcPr>
            <w:tcW w:type="dxa" w:w="2268"/>
          </w:tcPr>
          <w:p>
            <w:r>
              <w:t>Thermo Avantage text dump</w:t>
            </w:r>
          </w:p>
        </w:tc>
        <w:tc>
          <w:tcPr>
            <w:tcW w:type="dxa" w:w="1814"/>
          </w:tcPr>
          <w:p>
            <w:r>
              <w:t>.avg (.avx text dump)</w:t>
            </w:r>
          </w:p>
        </w:tc>
        <w:tc>
          <w:tcPr>
            <w:tcW w:type="dxa" w:w="5329"/>
          </w:tcPr>
          <w:p>
            <w:r>
              <w:t>Multi-position scans give one region per position; a SnapMap loads as its summed spectrum; camera images become pictures, not spectra.</w:t>
            </w:r>
          </w:p>
        </w:tc>
      </w:tr>
      <w:tr>
        <w:tc>
          <w:tcPr>
            <w:tcW w:type="dxa" w:w="2268"/>
          </w:tcPr>
          <w:p>
            <w:r>
              <w:t>Thermo Avantage binary</w:t>
            </w:r>
          </w:p>
        </w:tc>
        <w:tc>
          <w:tcPr>
            <w:tcW w:type="dxa" w:w="1814"/>
          </w:tcPr>
          <w:p>
            <w:r>
              <w:t>.vgd (.avx binary)</w:t>
            </w:r>
          </w:p>
        </w:tc>
        <w:tc>
          <w:tcPr>
            <w:tcW w:type="dxa" w:w="5329"/>
          </w:tcPr>
          <w:p>
            <w:r>
              <w:t>Reverse-engineered container; matches the .avg of the same data exactly.</w:t>
            </w:r>
          </w:p>
        </w:tc>
      </w:tr>
      <w:tr>
        <w:tc>
          <w:tcPr>
            <w:tcW w:type="dxa" w:w="2268"/>
          </w:tcPr>
          <w:p>
            <w:r>
              <w:t>Thermo Avantage experiment</w:t>
            </w:r>
          </w:p>
        </w:tc>
        <w:tc>
          <w:tcPr>
            <w:tcW w:type="dxa" w:w="1814"/>
          </w:tcPr>
          <w:p>
            <w:r>
              <w:t>a folder, or .VGX</w:t>
            </w:r>
          </w:p>
        </w:tc>
        <w:tc>
          <w:tcPr>
            <w:tcW w:type="dxa" w:w="5329"/>
          </w:tcPr>
          <w:p>
            <w:r>
              <w:t>Opens the whole experiment as one session: samples, analysis points, scans in run order, camera images and SnapMaps (Chapter 22).</w:t>
            </w:r>
          </w:p>
        </w:tc>
      </w:tr>
      <w:tr>
        <w:tc>
          <w:tcPr>
            <w:tcW w:type="dxa" w:w="2268"/>
          </w:tcPr>
          <w:p>
            <w:r>
              <w:t>Thermo Avantage project</w:t>
            </w:r>
          </w:p>
        </w:tc>
        <w:tc>
          <w:tcPr>
            <w:tcW w:type="dxa" w:w="1814"/>
          </w:tcPr>
          <w:p>
            <w:r>
              <w:t>.vgp (or a folder holding one)</w:t>
            </w:r>
          </w:p>
        </w:tc>
        <w:tc>
          <w:tcPr>
            <w:tcW w:type="dxa" w:w="5329"/>
          </w:tcPr>
          <w:p>
            <w:r>
              <w:t>The spectra of the project’s .DATA folder with its fitted peaks, backgrounds, sensitivity factors and constraints (Chapter 22). The fit is read, never refitted.</w:t>
            </w:r>
          </w:p>
        </w:tc>
      </w:tr>
      <w:tr>
        <w:tc>
          <w:tcPr>
            <w:tcW w:type="dxa" w:w="2268"/>
          </w:tcPr>
          <w:p>
            <w:r>
              <w:t>PHI / ULVAC-PHI MultiPak</w:t>
            </w:r>
          </w:p>
        </w:tc>
        <w:tc>
          <w:tcPr>
            <w:tcW w:type="dxa" w:w="1814"/>
          </w:tcPr>
          <w:p>
            <w:r>
              <w:t>.spe</w:t>
            </w:r>
          </w:p>
        </w:tc>
        <w:tc>
          <w:tcPr>
            <w:tcW w:type="dxa" w:w="5329"/>
          </w:tcPr>
          <w:p>
            <w:r>
              <w:t>Intensities are counts per second, as stored. Reads float64 and float32 data (the block headers say which, e.g. the Quantes) in either byte order.</w:t>
            </w:r>
          </w:p>
        </w:tc>
      </w:tr>
      <w:tr>
        <w:tc>
          <w:tcPr>
            <w:tcW w:type="dxa" w:w="2268"/>
          </w:tcPr>
          <w:p>
            <w:r>
              <w:t>Scienta Omicron SES</w:t>
            </w:r>
          </w:p>
        </w:tc>
        <w:tc>
          <w:tcPr>
            <w:tcW w:type="dxa" w:w="1814"/>
          </w:tcPr>
          <w:p>
            <w:r>
              <w:t>.txt</w:t>
            </w:r>
          </w:p>
        </w:tc>
        <w:tc>
          <w:tcPr>
            <w:tcW w:type="dxa" w:w="5329"/>
          </w:tcPr>
          <w:p>
            <w:r>
              <w:t>Detector/angle columns are summed to one spectrum.</w:t>
            </w:r>
          </w:p>
        </w:tc>
      </w:tr>
      <w:tr>
        <w:tc>
          <w:tcPr>
            <w:tcW w:type="dxa" w:w="2268"/>
          </w:tcPr>
          <w:p>
            <w:r>
              <w:t>Numbers in columns</w:t>
            </w:r>
          </w:p>
        </w:tc>
        <w:tc>
          <w:tcPr>
            <w:tcW w:type="dxa" w:w="1814"/>
          </w:tcPr>
          <w:p>
            <w:r>
              <w:t>.csv .asc .txt .dat .tsv .xy .xlsx</w:t>
            </w:r>
          </w:p>
        </w:tc>
        <w:tc>
          <w:tcPr>
            <w:tcW w:type="dxa" w:w="5329"/>
          </w:tcPr>
          <w:p>
            <w:r>
              <w:t>Any spectrum saved as plain columns (tab, comma, semicolon or space separated, with or without a header), as Surface Science Spectra asks for. An import dialog checks the energy and intensity columns, binding or kinetic energy, the unit and the name, and takes the sample, photon energy and pass energy; how each file was read is saved in the workbook. A SPECS .xy file is read with its header (photon and pass energy, dwell, scans), an Excel workbook (needs the optional openpyxl) through the sheet with the longest table, and the wide CSV this application writes (one spectrum per pair of columns) reads back; a photon or pass energy can be set per file in the dialog.</w:t>
            </w:r>
          </w:p>
        </w:tc>
      </w:tr>
      <w:tr>
        <w:tc>
          <w:tcPr>
            <w:tcW w:type="dxa" w:w="2268"/>
          </w:tcPr>
          <w:p>
            <w:r>
              <w:t>Kratos Vision2 dataset</w:t>
            </w:r>
          </w:p>
        </w:tc>
        <w:tc>
          <w:tcPr>
            <w:tcW w:type="dxa" w:w="1814"/>
          </w:tcPr>
          <w:p>
            <w:r>
              <w:t>.dset</w:t>
            </w:r>
          </w:p>
        </w:tc>
        <w:tc>
          <w:tcPr>
            <w:tcW w:type="dxa" w:w="5329"/>
          </w:tcPr>
          <w:p>
            <w:r>
              <w:t>The binary file Vision2 writes, read directly without the DumpDataset step. Gives the same spectra and settings as its .kal. A setting the reader has not met before is left out with a warning rather than guessed.</w:t>
            </w:r>
          </w:p>
        </w:tc>
      </w:tr>
      <w:tr>
        <w:tc>
          <w:tcPr>
            <w:tcW w:type="dxa" w:w="2268"/>
          </w:tcPr>
          <w:p>
            <w:r>
              <w:t>Kratos Vision</w:t>
            </w:r>
          </w:p>
        </w:tc>
        <w:tc>
          <w:tcPr>
            <w:tcW w:type="dxa" w:w="1814"/>
          </w:tcPr>
          <w:p>
            <w:r>
              <w:t>.kal</w:t>
            </w:r>
          </w:p>
        </w:tc>
        <w:tc>
          <w:tcPr>
            <w:tcW w:type="dxa" w:w="5329"/>
          </w:tcPr>
          <w:p>
            <w:r>
              <w:t>Includes the transmission function. Files that do not record the X-ray source stay on a kinetic-energy axis (a warning says so).</w:t>
            </w:r>
          </w:p>
        </w:tc>
      </w:tr>
      <w:tr>
        <w:tc>
          <w:tcPr>
            <w:tcW w:type="dxa" w:w="2268"/>
          </w:tcPr>
          <w:p>
            <w:r>
              <w:t>Kratos ESCApe</w:t>
            </w:r>
          </w:p>
        </w:tc>
        <w:tc>
          <w:tcPr>
            <w:tcW w:type="dxa" w:w="1814"/>
          </w:tcPr>
          <w:p>
            <w:r>
              <w:t>.experiment</w:t>
            </w:r>
          </w:p>
        </w:tc>
        <w:tc>
          <w:tcPr>
            <w:tcW w:type="dxa" w:w="5329"/>
          </w:tcPr>
          <w:p>
            <w:r>
              <w:t>Undocumented binary container, read by reverse engineering and checked against HarwellXPS's export of the same files. The dwell is stored summed over the sweeps and is handled as such; each spectrum gets its own stage position, neutraliser and emission settings; a file is split by the runs it holds (sequences, depth profiles, angle-resolved runs: see Chapter 4).</w:t>
            </w:r>
          </w:p>
        </w:tc>
      </w:tr>
      <w:tr>
        <w:tc>
          <w:tcPr>
            <w:tcW w:type="dxa" w:w="2268"/>
          </w:tcPr>
          <w:p>
            <w:r>
              <w:t>NeXus</w:t>
            </w:r>
          </w:p>
        </w:tc>
        <w:tc>
          <w:tcPr>
            <w:tcW w:type="dxa" w:w="1814"/>
          </w:tcPr>
          <w:p>
            <w:r>
              <w:t>.nxs</w:t>
            </w:r>
          </w:p>
        </w:tc>
        <w:tc>
          <w:tcPr>
            <w:tcW w:type="dxa" w:w="5329"/>
          </w:tcPr>
          <w:p>
            <w:r>
              <w:t>Needs the optional h5py. Analyser spectra in NXxps / NXmpes layout (one per entry; checked on files this application wrote, not on an instrument's own; fits are not read back) and beamline NEXAFS scans. A beamline photon-energy scan (Diamond B07 / GDA): one spectrum per detector channel, photon energy against current, named by detector. Nothing is guessed (which channel is total electron yield is not in the file) and nothing is normalised unless you tick Ring-current scaling, which scales every point to the mean ring current of its scan (its unit is not recorded, so it is not divided by). VAMAS export writes technique AES dir with the photon energy in the kinetic-energy field, as HarwellXPS does, and reads it back; NeXus export leaves these scans out.</w:t>
            </w:r>
          </w:p>
        </w:tc>
      </w:tr>
      <w:tr>
        <w:tc>
          <w:tcPr>
            <w:tcW w:type="dxa" w:w="2268"/>
          </w:tcPr>
          <w:p>
            <w:r>
              <w:t>XPSView / HarwellXPS session</w:t>
            </w:r>
          </w:p>
        </w:tc>
        <w:tc>
          <w:tcPr>
            <w:tcW w:type="dxa" w:w="1814"/>
          </w:tcPr>
          <w:p>
            <w:r>
              <w:t>.xpsv</w:t>
            </w:r>
          </w:p>
        </w:tc>
        <w:tc>
          <w:tcPr>
            <w:tcW w:type="dxa" w:w="5329"/>
          </w:tcPr>
          <w:p>
            <w:r>
              <w:t>A gzip-JSON session (schemas 1 and 2); only the experiment inside is read, read-only. The charge shift CasaXPS baked into the stored energies is undone and kept as a calibration, a hand-edited photon energy is corrected from the other spectra of the same source (a warning names it), CasaXPS fits are read from the stored lines, and repeated sample names get a suffix. Where XPSView keeps one sweep count for all levels of a depth profile a warning says so.</w:t>
            </w:r>
          </w:p>
        </w:tc>
      </w:tr>
      <w:tr>
        <w:tc>
          <w:tcPr>
            <w:tcW w:type="dxa" w:w="2268"/>
          </w:tcPr>
          <w:p>
            <w:r>
              <w:t>KherveFitting project</w:t>
            </w:r>
          </w:p>
        </w:tc>
        <w:tc>
          <w:tcPr>
            <w:tcW w:type="dxa" w:w="1814"/>
          </w:tcPr>
          <w:p>
            <w:r>
              <w:t>.kfit</w:t>
            </w:r>
          </w:p>
        </w:tc>
        <w:tc>
          <w:tcPr>
            <w:tcW w:type="dxa" w:w="5329"/>
          </w:tcPr>
          <w:p>
            <w:r>
              <w:t>HDF5 project file (needs the optional h5py). Loads the spectra with the fits, backgrounds and sensitivity factors KherveFitting stored. A standalone Peaks Library .json is opened separately: Tools → Import KherveFitting peak model…</w:t>
            </w:r>
          </w:p>
        </w:tc>
      </w:tr>
    </w:tbl>
    <w:p/>
    <w:p>
      <w:r>
        <w:br w:type="page"/>
      </w:r>
    </w:p>
    <w:p>
      <w:pPr>
        <w:pStyle w:val="Heading1"/>
      </w:pPr>
      <w:r>
        <w:t>Appendix B: Keyboard shortcuts</w:t>
      </w:r>
    </w:p>
    <w:tbl>
      <w:tblPr>
        <w:tblStyle w:val="TableGrid"/>
        <w:tblW w:type="auto" w:w="0"/>
        <w:tblLayout w:type="fixed"/>
        <w:tblLook w:firstColumn="1" w:firstRow="1" w:lastColumn="0" w:lastRow="0" w:noHBand="0" w:noVBand="1" w:val="04A0"/>
      </w:tblPr>
      <w:tblGrid>
        <w:gridCol w:w="4706"/>
        <w:gridCol w:w="4706"/>
      </w:tblGrid>
      <w:tr>
        <w:tc>
          <w:tcPr>
            <w:tcW w:type="dxa" w:w="2835"/>
            <w:shd w:val="clear" w:color="auto" w:fill="2C3E50"/>
          </w:tcPr>
          <w:p>
            <w:r/>
            <w:r>
              <w:rPr>
                <w:b/>
                <w:color w:val="FFFFFF"/>
              </w:rPr>
              <w:t>Shortcut</w:t>
            </w:r>
          </w:p>
        </w:tc>
        <w:tc>
          <w:tcPr>
            <w:tcW w:type="dxa" w:w="6576"/>
            <w:shd w:val="clear" w:color="auto" w:fill="2C3E50"/>
          </w:tcPr>
          <w:p>
            <w:r/>
            <w:r>
              <w:rPr>
                <w:b/>
                <w:color w:val="FFFFFF"/>
              </w:rPr>
              <w:t>Action</w:t>
            </w:r>
          </w:p>
        </w:tc>
      </w:tr>
      <w:tr>
        <w:tc>
          <w:tcPr>
            <w:tcW w:type="dxa" w:w="2835"/>
          </w:tcPr>
          <w:p>
            <w:r>
              <w:t>Space</w:t>
            </w:r>
          </w:p>
        </w:tc>
        <w:tc>
          <w:tcPr>
            <w:tcW w:type="dxa" w:w="6576"/>
          </w:tcPr>
          <w:p>
            <w:r>
              <w:t>Tick or untick the selected row</w:t>
            </w:r>
          </w:p>
        </w:tc>
      </w:tr>
      <w:tr>
        <w:tc>
          <w:tcPr>
            <w:tcW w:type="dxa" w:w="2835"/>
          </w:tcPr>
          <w:p>
            <w:r>
              <w:t>F2</w:t>
            </w:r>
          </w:p>
        </w:tc>
        <w:tc>
          <w:tcPr>
            <w:tcW w:type="dxa" w:w="6576"/>
          </w:tcPr>
          <w:p>
            <w:r>
              <w:t>Rename the selected sample or region</w:t>
            </w:r>
          </w:p>
        </w:tc>
      </w:tr>
      <w:tr>
        <w:tc>
          <w:tcPr>
            <w:tcW w:type="dxa" w:w="2835"/>
          </w:tcPr>
          <w:p>
            <w:r>
              <w:t>F11</w:t>
            </w:r>
          </w:p>
        </w:tc>
        <w:tc>
          <w:tcPr>
            <w:tcW w:type="dxa" w:w="6576"/>
          </w:tcPr>
          <w:p>
            <w:r>
              <w:t>Focus mode — hide the side panels</w:t>
            </w:r>
          </w:p>
        </w:tc>
      </w:tr>
      <w:tr>
        <w:tc>
          <w:tcPr>
            <w:tcW w:type="dxa" w:w="2835"/>
          </w:tcPr>
          <w:p>
            <w:r>
              <w:t>Ctrl+Shift+H</w:t>
            </w:r>
          </w:p>
        </w:tc>
        <w:tc>
          <w:tcPr>
            <w:tcW w:type="dxa" w:w="6576"/>
          </w:tcPr>
          <w:p>
            <w:r>
              <w:t>Fold or show the view options above the plot</w:t>
            </w:r>
          </w:p>
        </w:tc>
      </w:tr>
      <w:tr>
        <w:tc>
          <w:tcPr>
            <w:tcW w:type="dxa" w:w="2835"/>
          </w:tcPr>
          <w:p>
            <w:r>
              <w:t>Ctrl+S</w:t>
            </w:r>
          </w:p>
        </w:tc>
        <w:tc>
          <w:tcPr>
            <w:tcW w:type="dxa" w:w="6576"/>
          </w:tcPr>
          <w:p>
            <w:r>
              <w:t>Save the workbook</w:t>
            </w:r>
          </w:p>
        </w:tc>
      </w:tr>
      <w:tr>
        <w:tc>
          <w:tcPr>
            <w:tcW w:type="dxa" w:w="2835"/>
          </w:tcPr>
          <w:p>
            <w:r>
              <w:t>Ctrl+O / Ctrl+Shift+O</w:t>
            </w:r>
          </w:p>
        </w:tc>
        <w:tc>
          <w:tcPr>
            <w:tcW w:type="dxa" w:w="6576"/>
          </w:tcPr>
          <w:p>
            <w:r>
              <w:t>Open spectra files / a folder</w:t>
            </w:r>
          </w:p>
        </w:tc>
      </w:tr>
      <w:tr>
        <w:tc>
          <w:tcPr>
            <w:tcW w:type="dxa" w:w="2835"/>
          </w:tcPr>
          <w:p>
            <w:r>
              <w:t>Ctrl+E</w:t>
            </w:r>
          </w:p>
        </w:tc>
        <w:tc>
          <w:tcPr>
            <w:tcW w:type="dxa" w:w="6576"/>
          </w:tcPr>
          <w:p>
            <w:r>
              <w:t>Export spectra (choose regions and levels)</w:t>
            </w:r>
          </w:p>
        </w:tc>
      </w:tr>
      <w:tr>
        <w:tc>
          <w:tcPr>
            <w:tcW w:type="dxa" w:w="2835"/>
          </w:tcPr>
          <w:p>
            <w:r>
              <w:t>Ctrl+Q</w:t>
            </w:r>
          </w:p>
        </w:tc>
        <w:tc>
          <w:tcPr>
            <w:tcW w:type="dxa" w:w="6576"/>
          </w:tcPr>
          <w:p>
            <w:r>
              <w:t>Quit</w:t>
            </w:r>
          </w:p>
        </w:tc>
      </w:tr>
      <w:tr>
        <w:tc>
          <w:tcPr>
            <w:tcW w:type="dxa" w:w="2835"/>
          </w:tcPr>
          <w:p>
            <w:r>
              <w:t>▶ / ◀ →</w:t>
            </w:r>
          </w:p>
        </w:tc>
        <w:tc>
          <w:tcPr>
            <w:tcW w:type="dxa" w:w="6576"/>
          </w:tcPr>
          <w:p>
            <w:r>
              <w:t>Play, or step, through the traces</w:t>
            </w:r>
          </w:p>
        </w:tc>
      </w:tr>
      <w:tr>
        <w:tc>
          <w:tcPr>
            <w:tcW w:type="dxa" w:w="2835"/>
          </w:tcPr>
          <w:p>
            <w:r>
              <w:t>Page Up / Page Down</w:t>
            </w:r>
          </w:p>
        </w:tc>
        <w:tc>
          <w:tcPr>
            <w:tcW w:type="dxa" w:w="6576"/>
          </w:tcPr>
          <w:p>
            <w:r>
              <w:t>Previous / next page of panels</w:t>
            </w:r>
          </w:p>
        </w:tc>
      </w:tr>
      <w:tr>
        <w:tc>
          <w:tcPr>
            <w:tcW w:type="dxa" w:w="2835"/>
          </w:tcPr>
          <w:p>
            <w:r>
              <w:t>Home / End</w:t>
            </w:r>
          </w:p>
        </w:tc>
        <w:tc>
          <w:tcPr>
            <w:tcW w:type="dxa" w:w="6576"/>
          </w:tcPr>
          <w:p>
            <w:r>
              <w:t>First / last page of panels</w:t>
            </w:r>
          </w:p>
        </w:tc>
      </w:tr>
      <w:tr>
        <w:tc>
          <w:tcPr>
            <w:tcW w:type="dxa" w:w="2835"/>
          </w:tcPr>
          <w:p>
            <w:r>
              <w:t>Shift + mouse wheel</w:t>
            </w:r>
          </w:p>
        </w:tc>
        <w:tc>
          <w:tcPr>
            <w:tcW w:type="dxa" w:w="6576"/>
          </w:tcPr>
          <w:p>
            <w:r>
              <w:t>Slide the trace window (long stacks)</w:t>
            </w:r>
          </w:p>
        </w:tc>
      </w:tr>
      <w:tr>
        <w:tc>
          <w:tcPr>
            <w:tcW w:type="dxa" w:w="2835"/>
          </w:tcPr>
          <w:p>
            <w:r>
              <w:t>Esc</w:t>
            </w:r>
          </w:p>
        </w:tc>
        <w:tc>
          <w:tcPr>
            <w:tcW w:type="dxa" w:w="6576"/>
          </w:tcPr>
          <w:p>
            <w:r>
              <w:t>Close the splash screen</w:t>
            </w:r>
          </w:p>
        </w:tc>
      </w:tr>
    </w:tbl>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 xml:space="preserve">eXPoSe SpectraDeck — User Manual  ·  Page </w:t>
    </w:r>
    <w:r>
      <w:rPr>
        <w:color w:val="808080"/>
        <w:sz w:val="18"/>
      </w:rPr>
      <w:fldChar w:fldCharType="begin"/>
      <w:instrText xml:space="preserve">PAGE</w:instrText>
      <w:fldChar w:fldCharType="separate"/>
      <w:t>1</w:t>
      <w:fldChar w:fldCharType="end"/>
    </w:r>
    <w:r>
      <w:rPr>
        <w:color w:val="808080"/>
        <w:sz w:val="18"/>
      </w:rPr>
      <w:t xml:space="preserve"> of </w:t>
    </w:r>
    <w:r>
      <w:rPr>
        <w:color w:val="808080"/>
        <w:sz w:val="18"/>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