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1.0  ·  04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“Ask about .avg / .vgd and .kal / .dset duplicates again” brings the question back. A folder’s own index-only .dset, which holds no spectra, is skipped.</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or Fit (one trace with its CasaXPS fit forced on, Chapter 20).</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Nearby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CasaXPS fit,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with a known standard line (Pt 4f rather than Pt 4d) counts that line. Tick or untick any region to decide for yourself;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SVG or PDF, at any size and resolution.</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and SnapMaps</w:t>
            </w:r>
          </w:p>
        </w:tc>
        <w:tc>
          <w:tcPr>
            <w:tcW w:type="dxa" w:w="7030"/>
          </w:tcPr>
          <w:p>
            <w:r>
              <w:t>Sample-view photos, mosaics and element-map pages.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counted from two different lines is flagged. No transmission correction is applied in reports.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preferred-line default and CasaXPS’s own percentages); the page starts from the regions you ticked or unticked in the Quantification tab, and the reader can change them. Fits are drawn on single-spectrum panels (components, envelope, background and a residual band) with a per-component table.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r>
        <w:t>CasaXPS's own binding-energy charge correction is carried over automatically and appears in Details (“BE calibration (CasaXPS)”) and in the report's calibration statement.</w:t>
      </w:r>
    </w:p>
    <w:p>
      <w:r>
        <w:t>GL and SGL peak shapes, and Shirley, linear and the two-parameter (U 2) Tougaard backgrounds, are computed exactly. The St Offset and End Offset of a CasaXPS region are applied to the background. Other shapes are reconstructions: LA and LF, Doniach-Sunjic (DS), the asymmetric Gelius shapes A(a,b,n)GL / SGL and TLA, and the other Tougaard cross sections (U Poly, U Si, U SiO2, U Ge, U Al, U 4, plain and W Tougaard). The ones checked against real CasaXPS fits agree to within a few percent of peak height; where a shape cannot be reproduced (CasaXPS’s H, F and QF shapes,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8" name="Picture 8"/>
            <wp:cNvGraphicFramePr>
              <a:graphicFrameLocks noChangeAspect="1"/>
            </wp:cNvGraphicFramePr>
            <a:graphic>
              <a:graphicData uri="http://schemas.openxmlformats.org/drawingml/2006/picture">
                <pic:pic>
                  <pic:nvPicPr>
                    <pic:cNvPr id="0" name="fig_casafit.png"/>
                    <pic:cNvPicPr/>
                  </pic:nvPicPr>
                  <pic:blipFill>
                    <a:blip r:embed="rId17"/>
                    <a:stretch>
                      <a:fillRect/>
                    </a:stretch>
                  </pic:blipFill>
                  <pic:spPr>
                    <a:xfrm>
                      <a:off x="0" y="0"/>
                      <a:ext cx="5976000" cy="3452800"/>
                    </a:xfrm>
                    <a:prstGeom prst="rect"/>
                  </pic:spPr>
                </pic:pic>
              </a:graphicData>
            </a:graphic>
          </wp:inline>
        </w:drawing>
      </w:r>
    </w:p>
    <w:p>
      <w:pPr>
        <w:jc w:val="center"/>
      </w:pPr>
      <w:r>
        <w:rPr>
          <w:i/>
          <w:sz w:val="20"/>
        </w:rPr>
        <w:t>Figure 21.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iss.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reel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The REELS band-gap construction: elastic peak, tangent and baseline.</w:t>
      </w:r>
    </w:p>
    <w:p/>
    <w:p>
      <w:r>
        <w:br w:type="page"/>
      </w:r>
    </w:p>
    <w:p>
      <w:pPr>
        <w:pStyle w:val="Heading1"/>
      </w:pPr>
      <w:r>
        <w:t>22. Avantage experiments,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24. The SnapMap viewer: the element map and the selected area's spectrum.</w:t>
      </w:r>
    </w:p>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w:t>
            </w:r>
          </w:p>
        </w:tc>
        <w:tc>
          <w:tcPr>
            <w:tcW w:type="dxa" w:w="6576"/>
          </w:tcPr>
          <w:p>
            <w:r>
              <w:t>Save the workbook</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