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1.2.0  ·  28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Other possible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to save just that panel.</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8" name="Picture 8"/>
            <wp:cNvGraphicFramePr>
              <a:graphicFrameLocks noChangeAspect="1"/>
            </wp:cNvGraphicFramePr>
            <a:graphic>
              <a:graphicData uri="http://schemas.openxmlformats.org/drawingml/2006/picture">
                <pic:pic>
                  <pic:nvPicPr>
                    <pic:cNvPr id="0" name="fig_fitstack.png"/>
                    <pic:cNvPicPr/>
                  </pic:nvPicPr>
                  <pic:blipFill>
                    <a:blip r:embed="rId17"/>
                    <a:stretch>
                      <a:fillRect/>
                    </a:stretch>
                  </pic:blipFill>
                  <pic:spPr>
                    <a:xfrm>
                      <a:off x="0" y="0"/>
                      <a:ext cx="5976000" cy="2933673"/>
                    </a:xfrm>
                    <a:prstGeom prst="rect"/>
                  </pic:spPr>
                </pic:pic>
              </a:graphicData>
            </a:graphic>
          </wp:inline>
        </w:drawing>
      </w:r>
    </w:p>
    <w:p>
      <w:pPr>
        <w:jc w:val="center"/>
      </w:pPr>
      <w:r>
        <w:rPr>
          <w:i/>
          <w:sz w:val="20"/>
        </w:rPr>
        <w:t>Figure 21.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casafit.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is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reel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The REELS band-gap construction: elastic peak, tangent and baseline.</w:t>
      </w:r>
    </w:p>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as spin-orbit doublets; another level: its main line, moved to the measured peak; Add offers the level’s states from the chemical-state table or your own). Each position may move ±0.5 eV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25.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