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1.3.0  ·  30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the menu has four sections. Spectrum holds View, Normalise, Offset, Z axis and Reverse order, which act on that panel alone, so one page can hold a waterfall, a stack and a fitted spectrum. Fit and peaks holds Fit layers, Other possible lines and Identify peaks…, Layout holds the order and shape of the panels (below) and Save holds the image and figure commands. “Use the page’s view”, in Spectrum,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Columns, panel shape and the page layout</w:t>
      </w:r>
    </w:p>
    <w:p>
      <w:r>
        <w:t>Two boxes beside Panels shape the grid. Columns (Auto, 1 to 4) sets how many panels sit side by side; Shape (Portrait 2:3, Portrait 3:4, Square or Landscape 4:3) gives every panel that proportion, so two columns of portrait spectra are Columns 2 and Shape Portrait 3:4. Auto leaves both to the program. Both are also in the right-click menu, under Layout, and they apply to the plot, Save plot image…, the PDF, slides and Word figure pages and the data browser page.</w:t>
      </w:r>
    </w:p>
    <w:p>
      <w:r>
        <w:t>For a page that is not a plain grid, give a position its own shape and size: right-click a panel and choose Layout, then Shape of this position or Size of this position (Tall, Wide or Large, which take two rows, two columns or both). The layout belongs to the positions on the page, not to the panels: a wide survey above two high-resolution regions stays that way when you move another panel to the first position, and that panel takes on the wide format. Use Move panel (or drag a panel's heading strip onto another) to change who sits where; Reset page layout returns to the plain grid. The same layout repeats on every page of a long set and is saved in the workbook and in each saved figure; the data browser page follows Columns and Shape but not a position layout.</w:t>
      </w:r>
    </w:p>
    <w:p>
      <w:pPr>
        <w:jc w:val="center"/>
      </w:pPr>
      <w:r>
        <w:drawing>
          <wp:inline xmlns:a="http://schemas.openxmlformats.org/drawingml/2006/main" xmlns:pic="http://schemas.openxmlformats.org/drawingml/2006/picture">
            <wp:extent cx="5976000" cy="4108500"/>
            <wp:docPr id="1" name="Picture 1"/>
            <wp:cNvGraphicFramePr>
              <a:graphicFrameLocks noChangeAspect="1"/>
            </wp:cNvGraphicFramePr>
            <a:graphic>
              <a:graphicData uri="http://schemas.openxmlformats.org/drawingml/2006/picture">
                <pic:pic>
                  <pic:nvPicPr>
                    <pic:cNvPr id="0" name="fig_layout.png"/>
                    <pic:cNvPicPr/>
                  </pic:nvPicPr>
                  <pic:blipFill>
                    <a:blip r:embed="rId10"/>
                    <a:stretch>
                      <a:fillRect/>
                    </a:stretch>
                  </pic:blipFill>
                  <pic:spPr>
                    <a:xfrm>
                      <a:off x="0" y="0"/>
                      <a:ext cx="5976000" cy="4108500"/>
                    </a:xfrm>
                    <a:prstGeom prst="rect"/>
                  </pic:spPr>
                </pic:pic>
              </a:graphicData>
            </a:graphic>
          </wp:inline>
        </w:drawing>
      </w:r>
    </w:p>
    <w:p>
      <w:pPr>
        <w:jc w:val="center"/>
      </w:pPr>
      <w:r>
        <w:rPr>
          <w:i/>
          <w:sz w:val="20"/>
        </w:rPr>
        <w:t>Figure 5. A page layout: the first position is Wide, so the survey spans both columns above the Al 2p and O 1s panels.</w:t>
      </w:r>
    </w:p>
    <w:p/>
    <w:p>
      <w:r>
        <w:t>Layout ▸ Spacing… opens the Plot style dialog on its Spacing tab, where three sliders set the gap across, the gap down and the page margin (Chapter 17).</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2" name="Picture 2"/>
            <wp:cNvGraphicFramePr>
              <a:graphicFrameLocks noChangeAspect="1"/>
            </wp:cNvGraphicFramePr>
            <a:graphic>
              <a:graphicData uri="http://schemas.openxmlformats.org/drawingml/2006/picture">
                <pic:pic>
                  <pic:nvPicPr>
                    <pic:cNvPr id="0" name="fig_stack.png"/>
                    <pic:cNvPicPr/>
                  </pic:nvPicPr>
                  <pic:blipFill>
                    <a:blip r:embed="rId11"/>
                    <a:stretch>
                      <a:fillRect/>
                    </a:stretch>
                  </pic:blipFill>
                  <pic:spPr>
                    <a:xfrm>
                      <a:off x="0" y="0"/>
                      <a:ext cx="5976000" cy="3452800"/>
                    </a:xfrm>
                    <a:prstGeom prst="rect"/>
                  </pic:spPr>
                </pic:pic>
              </a:graphicData>
            </a:graphic>
          </wp:inline>
        </w:drawing>
      </w:r>
    </w:p>
    <w:p>
      <w:pPr>
        <w:jc w:val="center"/>
      </w:pPr>
      <w:r>
        <w:rPr>
          <w:i/>
          <w:sz w:val="20"/>
        </w:rPr>
        <w:t>Figure 6. A stack view: several spectra of one core level, offset vertically.</w:t>
      </w:r>
    </w:p>
    <w:p/>
    <w:p>
      <w:pPr>
        <w:jc w:val="center"/>
      </w:pPr>
      <w:r>
        <w:drawing>
          <wp:inline xmlns:a="http://schemas.openxmlformats.org/drawingml/2006/main" xmlns:pic="http://schemas.openxmlformats.org/drawingml/2006/picture">
            <wp:extent cx="5976000" cy="3984000"/>
            <wp:docPr id="3" name="Picture 3"/>
            <wp:cNvGraphicFramePr>
              <a:graphicFrameLocks noChangeAspect="1"/>
            </wp:cNvGraphicFramePr>
            <a:graphic>
              <a:graphicData uri="http://schemas.openxmlformats.org/drawingml/2006/picture">
                <pic:pic>
                  <pic:nvPicPr>
                    <pic:cNvPr id="0" name="fig_waterfall.png"/>
                    <pic:cNvPicPr/>
                  </pic:nvPicPr>
                  <pic:blipFill>
                    <a:blip r:embed="rId12"/>
                    <a:stretch>
                      <a:fillRect/>
                    </a:stretch>
                  </pic:blipFill>
                  <pic:spPr>
                    <a:xfrm>
                      <a:off x="0" y="0"/>
                      <a:ext cx="5976000" cy="3984000"/>
                    </a:xfrm>
                    <a:prstGeom prst="rect"/>
                  </pic:spPr>
                </pic:pic>
              </a:graphicData>
            </a:graphic>
          </wp:inline>
        </w:drawing>
      </w:r>
    </w:p>
    <w:p>
      <w:pPr>
        <w:jc w:val="center"/>
      </w:pPr>
      <w:r>
        <w:rPr>
          <w:i/>
          <w:sz w:val="20"/>
        </w:rPr>
        <w:t>Figure 7. A Waterfall 3D view of a depth profile.</w:t>
      </w:r>
    </w:p>
    <w:p/>
    <w:p>
      <w:pPr>
        <w:jc w:val="center"/>
      </w:pPr>
      <w:r>
        <w:drawing>
          <wp:inline xmlns:a="http://schemas.openxmlformats.org/drawingml/2006/main" xmlns:pic="http://schemas.openxmlformats.org/drawingml/2006/picture">
            <wp:extent cx="5976000" cy="3452800"/>
            <wp:docPr id="4" name="Picture 4"/>
            <wp:cNvGraphicFramePr>
              <a:graphicFrameLocks noChangeAspect="1"/>
            </wp:cNvGraphicFramePr>
            <a:graphic>
              <a:graphicData uri="http://schemas.openxmlformats.org/drawingml/2006/picture">
                <pic:pic>
                  <pic:nvPicPr>
                    <pic:cNvPr id="0" name="fig_heatmap.png"/>
                    <pic:cNvPicPr/>
                  </pic:nvPicPr>
                  <pic:blipFill>
                    <a:blip r:embed="rId13"/>
                    <a:stretch>
                      <a:fillRect/>
                    </a:stretch>
                  </pic:blipFill>
                  <pic:spPr>
                    <a:xfrm>
                      <a:off x="0" y="0"/>
                      <a:ext cx="5976000" cy="3452800"/>
                    </a:xfrm>
                    <a:prstGeom prst="rect"/>
                  </pic:spPr>
                </pic:pic>
              </a:graphicData>
            </a:graphic>
          </wp:inline>
        </w:drawing>
      </w:r>
    </w:p>
    <w:p>
      <w:pPr>
        <w:jc w:val="center"/>
      </w:pPr>
      <w:r>
        <w:rPr>
          <w:i/>
          <w:sz w:val="20"/>
        </w:rPr>
        <w:t>Figure 8.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 Pages turn by whole rows of panels, and the last page always reaches the last panel. In a report, with Panels on Auto, a set Columns and Shape fill each page with as many rows of that shape as fit.</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9.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10.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11.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5" name="Picture 5"/>
            <wp:cNvGraphicFramePr>
              <a:graphicFrameLocks noChangeAspect="1"/>
            </wp:cNvGraphicFramePr>
            <a:graphic>
              <a:graphicData uri="http://schemas.openxmlformats.org/drawingml/2006/picture">
                <pic:pic>
                  <pic:nvPicPr>
                    <pic:cNvPr id="0" name="fig_theme_compare.png"/>
                    <pic:cNvPicPr/>
                  </pic:nvPicPr>
                  <pic:blipFill>
                    <a:blip r:embed="rId14"/>
                    <a:stretch>
                      <a:fillRect/>
                    </a:stretch>
                  </pic:blipFill>
                  <pic:spPr>
                    <a:xfrm>
                      <a:off x="0" y="0"/>
                      <a:ext cx="5976000" cy="2609772"/>
                    </a:xfrm>
                    <a:prstGeom prst="rect"/>
                  </pic:spPr>
                </pic:pic>
              </a:graphicData>
            </a:graphic>
          </wp:inline>
        </w:drawing>
      </w:r>
    </w:p>
    <w:p>
      <w:pPr>
        <w:jc w:val="center"/>
      </w:pPr>
      <w:r>
        <w:rPr>
          <w:i/>
          <w:sz w:val="20"/>
        </w:rPr>
        <w:t>Figure 12.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and choose Save, then Save this panel as image…, to save just that panel.</w:t>
      </w:r>
    </w:p>
    <w:p>
      <w:r>
        <w:t>The size dialog has a Size preset (single column 85 mm, 1.5 columns, double column 180 mm, A4 portrait or landscape, slide 16:9, square) that fills in the width and height, and Fit height to the panel grid, which sets the height from the width you entered, the columns and the panel shape (it needs a Shape other than Auto). The result is an estimate: adjust the height by hand if you want the panels tighter or looser.</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13.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14.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15.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REELS analysis</w:t>
            </w:r>
          </w:p>
        </w:tc>
        <w:tc>
          <w:tcPr>
            <w:tcW w:type="dxa" w:w="7030"/>
          </w:tcPr>
          <w:p>
            <w:r>
              <w:t>After the Quantification: the π / (σ+π) intensity ratio of each REELS spectrum you measured (peak positions, areas, ratio, sp² fraction), with the windows, the references and the problems marked †.</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Timing or REELS analysis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16. The Report generator dialog: sections, order and options.</w:t>
      </w:r>
    </w:p>
    <w:p/>
    <w:p>
      <w:pPr>
        <w:jc w:val="center"/>
      </w:pPr>
      <w:r>
        <w:drawing>
          <wp:inline xmlns:a="http://schemas.openxmlformats.org/drawingml/2006/main" xmlns:pic="http://schemas.openxmlformats.org/drawingml/2006/picture">
            <wp:extent cx="3240000" cy="4582286"/>
            <wp:docPr id="6" name="Picture 6"/>
            <wp:cNvGraphicFramePr>
              <a:graphicFrameLocks noChangeAspect="1"/>
            </wp:cNvGraphicFramePr>
            <a:graphic>
              <a:graphicData uri="http://schemas.openxmlformats.org/drawingml/2006/picture">
                <pic:pic>
                  <pic:nvPicPr>
                    <pic:cNvPr id="0" name="fig_cover.png"/>
                    <pic:cNvPicPr/>
                  </pic:nvPicPr>
                  <pic:blipFill>
                    <a:blip r:embed="rId15"/>
                    <a:stretch>
                      <a:fillRect/>
                    </a:stretch>
                  </pic:blipFill>
                  <pic:spPr>
                    <a:xfrm>
                      <a:off x="0" y="0"/>
                      <a:ext cx="3240000" cy="4582286"/>
                    </a:xfrm>
                    <a:prstGeom prst="rect"/>
                  </pic:spPr>
                </pic:pic>
              </a:graphicData>
            </a:graphic>
          </wp:inline>
        </w:drawing>
      </w:r>
    </w:p>
    <w:p>
      <w:pPr>
        <w:jc w:val="center"/>
      </w:pPr>
      <w:r>
        <w:rPr>
          <w:i/>
          <w:sz w:val="20"/>
        </w:rPr>
        <w:t>Figure 17.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7" name="Picture 7"/>
            <wp:cNvGraphicFramePr>
              <a:graphicFrameLocks noChangeAspect="1"/>
            </wp:cNvGraphicFramePr>
            <a:graphic>
              <a:graphicData uri="http://schemas.openxmlformats.org/drawingml/2006/picture">
                <pic:pic>
                  <pic:nvPicPr>
                    <pic:cNvPr id="0" name="fig_report_page.png"/>
                    <pic:cNvPicPr/>
                  </pic:nvPicPr>
                  <pic:blipFill>
                    <a:blip r:embed="rId16"/>
                    <a:stretch>
                      <a:fillRect/>
                    </a:stretch>
                  </pic:blipFill>
                  <pic:spPr>
                    <a:xfrm>
                      <a:off x="0" y="0"/>
                      <a:ext cx="5976000" cy="8449708"/>
                    </a:xfrm>
                    <a:prstGeom prst="rect"/>
                  </pic:spPr>
                </pic:pic>
              </a:graphicData>
            </a:graphic>
          </wp:inline>
        </w:drawing>
      </w:r>
    </w:p>
    <w:p>
      <w:pPr>
        <w:jc w:val="center"/>
      </w:pPr>
      <w:r>
        <w:rPr>
          <w:i/>
          <w:sz w:val="20"/>
        </w:rPr>
        <w:t>Figure 18.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8" name="Picture 8"/>
            <wp:cNvGraphicFramePr>
              <a:graphicFrameLocks noChangeAspect="1"/>
            </wp:cNvGraphicFramePr>
            <a:graphic>
              <a:graphicData uri="http://schemas.openxmlformats.org/drawingml/2006/picture">
                <pic:pic>
                  <pic:nvPicPr>
                    <pic:cNvPr id="0" name="fig_quant_table.png"/>
                    <pic:cNvPicPr/>
                  </pic:nvPicPr>
                  <pic:blipFill>
                    <a:blip r:embed="rId17"/>
                    <a:stretch>
                      <a:fillRect/>
                    </a:stretch>
                  </pic:blipFill>
                  <pic:spPr>
                    <a:xfrm>
                      <a:off x="0" y="0"/>
                      <a:ext cx="5976000" cy="4772059"/>
                    </a:xfrm>
                    <a:prstGeom prst="rect"/>
                  </pic:spPr>
                </pic:pic>
              </a:graphicData>
            </a:graphic>
          </wp:inline>
        </w:drawing>
      </w:r>
    </w:p>
    <w:p>
      <w:pPr>
        <w:jc w:val="center"/>
      </w:pPr>
      <w:r>
        <w:rPr>
          <w:i/>
          <w:sz w:val="20"/>
        </w:rPr>
        <w:t>Figure 19.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 A REELS section adds reels/reels_pi_sigma_ratio.csv, the π / (σ+π) table of the REELS ratios you measured (see the REELS chapter), and the README explains it.</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20.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p>
      <w:r>
        <w:t>The Spacing tab has three sliders: Gap across and Gap down (the space between panels, as a fraction of a panel) and Page margin (the space round the panels, as a fraction of the page). Each reads “auto” at 0, which keeps the automatic fit to the axis labels; a small value can cut labels off, so move them until the labels still fit. They apply to the plot, saved images, the PDF and the slides, and are saved with the style.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21.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9" name="Picture 9"/>
            <wp:cNvGraphicFramePr>
              <a:graphicFrameLocks noChangeAspect="1"/>
            </wp:cNvGraphicFramePr>
            <a:graphic>
              <a:graphicData uri="http://schemas.openxmlformats.org/drawingml/2006/picture">
                <pic:pic>
                  <pic:nvPicPr>
                    <pic:cNvPr id="0" name="fig_fitstack.png"/>
                    <pic:cNvPicPr/>
                  </pic:nvPicPr>
                  <pic:blipFill>
                    <a:blip r:embed="rId18"/>
                    <a:stretch>
                      <a:fillRect/>
                    </a:stretch>
                  </pic:blipFill>
                  <pic:spPr>
                    <a:xfrm>
                      <a:off x="0" y="0"/>
                      <a:ext cx="5976000" cy="2933673"/>
                    </a:xfrm>
                    <a:prstGeom prst="rect"/>
                  </pic:spPr>
                </pic:pic>
              </a:graphicData>
            </a:graphic>
          </wp:inline>
        </w:drawing>
      </w:r>
    </w:p>
    <w:p>
      <w:pPr>
        <w:jc w:val="center"/>
      </w:pPr>
      <w:r>
        <w:rPr>
          <w:i/>
          <w:sz w:val="20"/>
        </w:rPr>
        <w:t>Figure 22.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casafit.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is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An ISS spectrum with candidate elements marked at their predicted scattered-ion energies.</w:t>
      </w:r>
    </w:p>
    <w:p/>
    <w:p>
      <w:pPr>
        <w:pStyle w:val="Heading2"/>
      </w:pPr>
      <w:r>
        <w:t>REELS energy scale and the energy-loss axis</w:t>
      </w:r>
    </w:p>
    <w:p>
      <w:r>
        <w:t>The elastic peak of a REELS spectrum should lie at the primary beam energy, but the energy scale of the spectrometer, the work functions and charging move it a few eV: the spectra of one project had it at 1004.2–1004.4 eV for a 1000 eV beam. The REELS energy scale tab of ISS / REELS… moves it. Move the elastic peak to the primary energy finds the spectrum’s own elastic peak (the maximum, refined by a parabola through it and its neighbours) and shifts every kinetic energy of that spectrum by the difference, so the peak sits at the primary energy; Do every spectrum in the list does each spectrum with its own peak, and Remove undoes it. The primary energy is the one the file records (the XPSView reader keeps it as Primary beam energy); when the file does not state it, enter it, and the calibration is marked as entered. Nothing is assumed.</w:t>
      </w:r>
    </w:p>
    <w:p>
      <w:r>
        <w:t>The shift is stored per spectrum with the workbook and written to its metadata (REELS energy calibration); the data in the file are never changed. Results already measured keep their loss values: the elastic peak stored with a band gap, plasmon, loss fit or π / (σ+π) ratio moves with the energy scale, and measuring again on the calibrated spectrum gives the same ratio.</w:t>
      </w:r>
    </w:p>
    <w:p>
      <w:r>
        <w:t>The REELS axis box beside the ISS axis box chooses the x axis of REELS spectra. Energy loss, the default, plots the energy lost from the elastic peak: 0 eV at the peak, increasing to the right, titled Energy loss (eV). Kinetic plots the (calibrated) kinetic energy as before. Spectra of other techniques on the same page keep their own axis, a saved figure remembers the choice (a figure saved before it existed was drawn on the kinetic axis and stays so), and the cursor read-out gives the loss and the kinetic energy. The overlays of the band gap, plasmon energy, loss-region fit and π / (σ+π) ratio are drawn on it. The loss is measured from the spectrum’s elastic peak (the one stored with its REELS results, else the calibrated or refined one). The offline HTML browser has no loss axis; it shows the calibrated kinetic energies.</w:t>
      </w:r>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2" name="Picture 12"/>
            <wp:cNvGraphicFramePr>
              <a:graphicFrameLocks noChangeAspect="1"/>
            </wp:cNvGraphicFramePr>
            <a:graphic>
              <a:graphicData uri="http://schemas.openxmlformats.org/drawingml/2006/picture">
                <pic:pic>
                  <pic:nvPicPr>
                    <pic:cNvPr id="0" name="fig_reels.png"/>
                    <pic:cNvPicPr/>
                  </pic:nvPicPr>
                  <pic:blipFill>
                    <a:blip r:embed="rId21"/>
                    <a:stretch>
                      <a:fillRect/>
                    </a:stretch>
                  </pic:blipFill>
                  <pic:spPr>
                    <a:xfrm>
                      <a:off x="0" y="0"/>
                      <a:ext cx="5976000" cy="3452800"/>
                    </a:xfrm>
                    <a:prstGeom prst="rect"/>
                  </pic:spPr>
                </pic:pic>
              </a:graphicData>
            </a:graphic>
          </wp:inline>
        </w:drawing>
      </w:r>
    </w:p>
    <w:p>
      <w:pPr>
        <w:jc w:val="center"/>
      </w:pPr>
      <w:r>
        <w:rPr>
          <w:i/>
          <w:sz w:val="20"/>
        </w:rPr>
        <w:t>Figure 25. The REELS band-gap construction: elastic peak, tangent and baseline.</w:t>
      </w:r>
    </w:p>
    <w:p/>
    <w:p>
      <w:pPr>
        <w:pStyle w:val="Heading2"/>
      </w:pPr>
      <w:r>
        <w:t>REELS plasmon energy</w:t>
      </w:r>
    </w:p>
    <w:p>
      <w:r>
        <w:t>Below the band-gap controls, the Plasmon energy group measures the energy of a loss peak. Choose the feature (π + σ, with a default loss window of 15–45 eV, π, with 3–12 eV, or your own window), the background and the method, then press Measure. The window is in eV of energy loss from the elastic peak and is never set for you.</w:t>
      </w:r>
    </w:p>
    <w:p>
      <w:r>
        <w:t>The Gaussian method follows Filippi and Calliari (Surf. Interface Anal. 38, 595, 2006): a background is taken from the two ends of the window, Linear or Shirley, and the centre of the least-squares Gaussian through the data above 90 % of the peak height is the energy. A Shirley background needs the high-loss end of the window to be the higher one and is refused otherwise. The second-derivative method takes the maximum of the negated second derivative of the smoothed spectrum (the smoothing width is yours to set) and needs no background. Choosing both stores the Gaussian value and shows the other beside it.</w:t>
      </w:r>
    </w:p>
    <w:p>
      <w:r>
        <w:t>The number depends on the background, so the method is stored and written with it. For graphite at 1 keV the paper finds 27.1 eV with a linear background, 26.2 eV with a Shirley one and 26.9 eV by the second derivative; the literature spans 26–28 eV. The result is drawn on the plot (the window shaded, the background dashed, the energy labelled), saved in the workbook and added to the spectrum’s metadata as REELS plasmon energy and REELS plasmon method. It is kept separately from the band gap, so clearing one leaves the other.</w:t>
      </w:r>
    </w:p>
    <w:p>
      <w:pPr>
        <w:jc w:val="center"/>
      </w:pPr>
      <w:r>
        <w:drawing>
          <wp:inline xmlns:a="http://schemas.openxmlformats.org/drawingml/2006/main" xmlns:pic="http://schemas.openxmlformats.org/drawingml/2006/picture">
            <wp:extent cx="5976000" cy="3452800"/>
            <wp:docPr id="13" name="Picture 13"/>
            <wp:cNvGraphicFramePr>
              <a:graphicFrameLocks noChangeAspect="1"/>
            </wp:cNvGraphicFramePr>
            <a:graphic>
              <a:graphicData uri="http://schemas.openxmlformats.org/drawingml/2006/picture">
                <pic:pic>
                  <pic:nvPicPr>
                    <pic:cNvPr id="0" name="fig_plasmon.png"/>
                    <pic:cNvPicPr/>
                  </pic:nvPicPr>
                  <pic:blipFill>
                    <a:blip r:embed="rId22"/>
                    <a:stretch>
                      <a:fillRect/>
                    </a:stretch>
                  </pic:blipFill>
                  <pic:spPr>
                    <a:xfrm>
                      <a:off x="0" y="0"/>
                      <a:ext cx="5976000" cy="3452800"/>
                    </a:xfrm>
                    <a:prstGeom prst="rect"/>
                  </pic:spPr>
                </pic:pic>
              </a:graphicData>
            </a:graphic>
          </wp:inline>
        </w:drawing>
      </w:r>
    </w:p>
    <w:p>
      <w:pPr>
        <w:jc w:val="center"/>
      </w:pPr>
      <w:r>
        <w:rPr>
          <w:i/>
          <w:sz w:val="20"/>
        </w:rPr>
        <w:t>Figure 26. A REELS plasmon energy: the window (shaded), the Shirley background (dashed) and the energy found.</w:t>
      </w:r>
    </w:p>
    <w:p/>
    <w:p>
      <w:r>
        <w:t>A mass density can be calculated from a bulk plasmon energy for amorphous carbon (4 valence electrons, effective mass 0.87), which gives 2.046 g/cm³ at 25.5 eV as Yang et al. (Phys. Chem. Chem. Phys. 23, 25335, 2021) report. The dialog does not offer it: a raw REELS peak lies above the bulk-loss peak because of surface excitation and multiple scattering (27.0 eV would give 2.294 g/cm³), so it overstates the density.</w:t>
      </w:r>
    </w:p>
    <w:p>
      <w:pPr>
        <w:pStyle w:val="Heading2"/>
      </w:pPr>
      <w:r>
        <w:t>REELS loss peaks and layers</w:t>
      </w:r>
    </w:p>
    <w:p>
      <w:r>
        <w:t>The REELS loss peaks / layers tab fits the π + σ loss region with the Gaussians of Stobinski et al. (J. Electron Spectrosc. Relat. Phenom. 195, 145, 2014) and, from their ratio, estimates how many graphene layers the electrons probed.</w:t>
      </w:r>
    </w:p>
    <w:tbl>
      <w:tblPr>
        <w:tblStyle w:val="TableGrid"/>
        <w:tblW w:type="auto" w:w="0"/>
        <w:tblLayout w:type="fixed"/>
        <w:tblLook w:firstColumn="1" w:firstRow="1" w:lastColumn="0" w:lastRow="0" w:noHBand="0" w:noVBand="1" w:val="04A0"/>
      </w:tblPr>
      <w:tblGrid>
        <w:gridCol w:w="4706"/>
        <w:gridCol w:w="4706"/>
      </w:tblGrid>
      <w:tr>
        <w:tc>
          <w:tcPr>
            <w:tcW w:type="dxa" w:w="3969"/>
            <w:shd w:val="clear" w:color="auto" w:fill="2C3E50"/>
          </w:tcPr>
          <w:p>
            <w:r/>
            <w:r>
              <w:rPr>
                <w:b/>
                <w:color w:val="FFFFFF"/>
              </w:rPr>
              <w:t>Component</w:t>
            </w:r>
          </w:p>
        </w:tc>
        <w:tc>
          <w:tcPr>
            <w:tcW w:type="dxa" w:w="2835"/>
            <w:shd w:val="clear" w:color="auto" w:fill="2C3E50"/>
          </w:tcPr>
          <w:p>
            <w:r/>
            <w:r>
              <w:rPr>
                <w:b/>
                <w:color w:val="FFFFFF"/>
              </w:rPr>
              <w:t>Starting loss (eV)</w:t>
            </w:r>
          </w:p>
        </w:tc>
      </w:tr>
      <w:tr>
        <w:tc>
          <w:tcPr>
            <w:tcW w:type="dxa" w:w="3969"/>
          </w:tcPr>
          <w:p>
            <w:r>
              <w:t>π</w:t>
            </w:r>
          </w:p>
        </w:tc>
        <w:tc>
          <w:tcPr>
            <w:tcW w:type="dxa" w:w="2835"/>
          </w:tcPr>
          <w:p>
            <w:r>
              <w:t>6.0</w:t>
            </w:r>
          </w:p>
        </w:tc>
      </w:tr>
      <w:tr>
        <w:tc>
          <w:tcPr>
            <w:tcW w:type="dxa" w:w="3969"/>
          </w:tcPr>
          <w:p>
            <w:r>
              <w:t>interband</w:t>
            </w:r>
          </w:p>
        </w:tc>
        <w:tc>
          <w:tcPr>
            <w:tcW w:type="dxa" w:w="2835"/>
          </w:tcPr>
          <w:p>
            <w:r>
              <w:t>12.5</w:t>
            </w:r>
          </w:p>
        </w:tc>
      </w:tr>
      <w:tr>
        <w:tc>
          <w:tcPr>
            <w:tcW w:type="dxa" w:w="3969"/>
          </w:tcPr>
          <w:p>
            <w:r>
              <w:t>C sp² surface</w:t>
            </w:r>
          </w:p>
        </w:tc>
        <w:tc>
          <w:tcPr>
            <w:tcW w:type="dxa" w:w="2835"/>
          </w:tcPr>
          <w:p>
            <w:r>
              <w:t>19.5</w:t>
            </w:r>
          </w:p>
        </w:tc>
      </w:tr>
      <w:tr>
        <w:tc>
          <w:tcPr>
            <w:tcW w:type="dxa" w:w="3969"/>
          </w:tcPr>
          <w:p>
            <w:r>
              <w:t>C sp³ surface</w:t>
            </w:r>
          </w:p>
        </w:tc>
        <w:tc>
          <w:tcPr>
            <w:tcW w:type="dxa" w:w="2835"/>
          </w:tcPr>
          <w:p>
            <w:r>
              <w:t>23.0</w:t>
            </w:r>
          </w:p>
        </w:tc>
      </w:tr>
      <w:tr>
        <w:tc>
          <w:tcPr>
            <w:tcW w:type="dxa" w:w="3969"/>
          </w:tcPr>
          <w:p>
            <w:r>
              <w:t>C sp² bulk</w:t>
            </w:r>
          </w:p>
        </w:tc>
        <w:tc>
          <w:tcPr>
            <w:tcW w:type="dxa" w:w="2835"/>
          </w:tcPr>
          <w:p>
            <w:r>
              <w:t>27.0</w:t>
            </w:r>
          </w:p>
        </w:tc>
      </w:tr>
      <w:tr>
        <w:tc>
          <w:tcPr>
            <w:tcW w:type="dxa" w:w="3969"/>
          </w:tcPr>
          <w:p>
            <w:r>
              <w:t>C sp³ bulk</w:t>
            </w:r>
          </w:p>
        </w:tc>
        <w:tc>
          <w:tcPr>
            <w:tcW w:type="dxa" w:w="2835"/>
          </w:tcPr>
          <w:p>
            <w:r>
              <w:t>33.8</w:t>
            </w:r>
          </w:p>
        </w:tc>
      </w:tr>
      <w:tr>
        <w:tc>
          <w:tcPr>
            <w:tcW w:type="dxa" w:w="3969"/>
          </w:tcPr>
          <w:p>
            <w:r>
              <w:t>σ → σ*</w:t>
            </w:r>
          </w:p>
        </w:tc>
        <w:tc>
          <w:tcPr>
            <w:tcW w:type="dxa" w:w="2835"/>
          </w:tcPr>
          <w:p>
            <w:r>
              <w:t>35.0 and 42.0</w:t>
            </w:r>
          </w:p>
        </w:tc>
      </w:tr>
    </w:tbl>
    <w:p/>
    <w:p>
      <w:r>
        <w:t>These energies are an assignment taken from the literature, so they are only starting values: each position may move by the tolerance you set (1 eV by default; 0 holds it). The π peak has a width of its own and the other components share one. The areas are found by non-negative least squares, so none is negative. The background is taken from the ends of the loss window; the paper does not say which it used, so Linear is only a default. The table lists each component’s position, width and share, and the residual as a fraction of the data range.</w:t>
      </w:r>
    </w:p>
    <w:p>
      <w:r>
        <w:t>R is the area of the C sp² bulk component divided by that of the C sp² surface component. Neighbouring Gaussians overlap and trade area, so treat R as good to about 10 %, not as a precise number. A fit with no sp² surface area gives no R.</w:t>
      </w:r>
    </w:p>
    <w:p>
      <w:r>
        <w:t>Number of layers. The beam geometry and the electron mean free path are not recorded in the instrument files, so nothing is assumed: enter the mean free path λ (nm) and the angles of the incident beam and of the emitted electrons to the surface normal. The button λ from TPP-2M at the elastic peak fills in the TPP-2M value for the average matrix at the elastic-peak energy; it is not specific to carbon and gives 4.1 nm at 2 keV, whereas the 6.5 nm information depth of Stobinski et al. at 2 keV, 0° in and 35° out corresponds to 3.1 nm. The layer distance (0.335 nm), the R of graphite (4.2) and the information-depth percentage (99) can also be changed.</w:t>
      </w:r>
    </w:p>
    <w:p>
      <w:r>
        <w:t>The estimate takes one layer to have R = 0 and graphite R = 4.2, with the bulk signal growing as 1 − exp(−z / (λ cos α_out)) below the first layer, and graphite being the thickness the information depth reaches. That closed form is a reading of the curve in Fig. 7 of their paper, which they do not write as an equation. With their geometry it gives 7.9 and 4.1 layers for their R of 2.72 and 1.55; they state 8 and 4. An R at or above the graphite value gives “N layers or more”. It is a calibration to one graphite reference and one model, so quote it with the geometry used.</w:t>
      </w:r>
    </w:p>
    <w:p>
      <w:r>
        <w:t>The fit is drawn on the plot (the two sp² components filled, the sum over the background, R in the corner), stored in the workbook and added to the metadata: REELS loss fit, REELS π loss, REELS C sp² surface loss, REELS sp² bulk / sp² surface (R) and, once a geometry is entered, REELS layers (estimate). A refit keeps the geometry you entered.</w:t>
      </w:r>
    </w:p>
    <w:p>
      <w:pPr>
        <w:jc w:val="center"/>
      </w:pPr>
      <w:r>
        <w:drawing>
          <wp:inline xmlns:a="http://schemas.openxmlformats.org/drawingml/2006/main" xmlns:pic="http://schemas.openxmlformats.org/drawingml/2006/picture">
            <wp:extent cx="5976000" cy="3452800"/>
            <wp:docPr id="14" name="Picture 14"/>
            <wp:cNvGraphicFramePr>
              <a:graphicFrameLocks noChangeAspect="1"/>
            </wp:cNvGraphicFramePr>
            <a:graphic>
              <a:graphicData uri="http://schemas.openxmlformats.org/drawingml/2006/picture">
                <pic:pic>
                  <pic:nvPicPr>
                    <pic:cNvPr id="0" name="fig_lossfit.png"/>
                    <pic:cNvPicPr/>
                  </pic:nvPicPr>
                  <pic:blipFill>
                    <a:blip r:embed="rId23"/>
                    <a:stretch>
                      <a:fillRect/>
                    </a:stretch>
                  </pic:blipFill>
                  <pic:spPr>
                    <a:xfrm>
                      <a:off x="0" y="0"/>
                      <a:ext cx="5976000" cy="3452800"/>
                    </a:xfrm>
                    <a:prstGeom prst="rect"/>
                  </pic:spPr>
                </pic:pic>
              </a:graphicData>
            </a:graphic>
          </wp:inline>
        </w:drawing>
      </w:r>
    </w:p>
    <w:p>
      <w:pPr>
        <w:jc w:val="center"/>
      </w:pPr>
      <w:r>
        <w:rPr>
          <w:i/>
          <w:sz w:val="20"/>
        </w:rPr>
        <w:t>Figure 27. A REELS loss region fitted with the Gaussians of Stobinski et al.: the two sp² components that make R are filled.</w:t>
      </w:r>
    </w:p>
    <w:p/>
    <w:p>
      <w:pPr>
        <w:pStyle w:val="Heading2"/>
      </w:pPr>
      <w:r>
        <w:t>REELS π / (σ+π) ratio and an sp² fraction</w:t>
      </w:r>
    </w:p>
    <w:p>
      <w:r>
        <w:t>The REELS π / (σ+π) ratio tab measures the area of the π loss over the area of the σ + π loss, the quantity the HarwellXPS REELS analysis reports. The windows start as that analysis uses them: π 3.5–8.0 eV and σ + π 10.0–35.0 eV of energy loss, two separate windows. Each area is taken above a straight line between the window’s first and last points; each end of the line is the mean of 3 channels centred on that end point (so the channel just outside the window counts), and the area is the trapezoid sum. The loss zero is each spectrum’s own elastic peak, found as the maximum refined by a parabola. Windows and end-point channels can be changed and are stored with the result. The areas and ratios agree with those stored in an XPSView project for six REELS spectra to about one part in a million.</w:t>
      </w:r>
    </w:p>
    <w:p>
      <w:r>
        <w:t>Measure this spectrum measures the one selected; Measure every spectrum in the list measures every ticked spectrum with the same windows, each at its own elastic peak, and lists the areas, the ratio and the sp² fraction in a table. How much do the windows matter? moves each window limit by ±0.5 eV and shows how the ratio changes.</w:t>
      </w:r>
    </w:p>
    <w:p>
      <w:r>
        <w:t>The ratio is not an sp² percentage. It depends on the windows, the beam energy and the geometry, so on its own it compares spectra measured together. For a fraction, measure HOPG, which is all sp², and diamond, which has no π component, in the same way. Select the HOPG spectrum and press Use this spectrum as HOPG (= 1); do the same for diamond with Use this spectrum as diamond (= 0). Both buttons measure the spectrum again with the windows shown. The sp² fraction of any other spectrum is then (R − R_diamond) / (R_HOPG − R_diamond), with the diamond term 0 if no diamond is stored. One HOPG and one diamond are kept for the workbook.</w:t>
      </w:r>
    </w:p>
    <w:p>
      <w:r>
        <w:t>Nothing is assumed about the reference. It must come from your own spectra, or you can type a HOPG ratio with a note of its source; a typed number is marked as typed and carries no windows, so it is used without checking them. A reference measured with other windows or end-point channels than a spectrum is not used for it, and the dialog and the metadata say so. A difference of more than 1 % between the elastic-peak energies of a spectrum and its reference is noted, because it means the beam energy was not the same; the geometry cannot be checked, so keep it the same.</w:t>
      </w:r>
    </w:p>
    <w:p>
      <w:r>
        <w:t>A negative π area (no peak above the background, as expected for diamond within the noise), a σ + π area that is not positive, which leaves no ratio, and a fraction outside 0–1.15 are flagged and never clipped. The result is drawn on the plot (both windows shaded, each background dashed, the ratio and the fraction), saved in the workbook and added to the metadata as REELS π / (σ+π) ratio, windows and notes, and REELS sp² fraction.</w:t>
      </w:r>
    </w:p>
    <w:p>
      <w:pPr>
        <w:jc w:val="center"/>
      </w:pPr>
      <w:r>
        <w:drawing>
          <wp:inline xmlns:a="http://schemas.openxmlformats.org/drawingml/2006/main" xmlns:pic="http://schemas.openxmlformats.org/drawingml/2006/picture">
            <wp:extent cx="5976000" cy="3452800"/>
            <wp:docPr id="15" name="Picture 15"/>
            <wp:cNvGraphicFramePr>
              <a:graphicFrameLocks noChangeAspect="1"/>
            </wp:cNvGraphicFramePr>
            <a:graphic>
              <a:graphicData uri="http://schemas.openxmlformats.org/drawingml/2006/picture">
                <pic:pic>
                  <pic:nvPicPr>
                    <pic:cNvPr id="0" name="fig_piratio.png"/>
                    <pic:cNvPicPr/>
                  </pic:nvPicPr>
                  <pic:blipFill>
                    <a:blip r:embed="rId24"/>
                    <a:stretch>
                      <a:fillRect/>
                    </a:stretch>
                  </pic:blipFill>
                  <pic:spPr>
                    <a:xfrm>
                      <a:off x="0" y="0"/>
                      <a:ext cx="5976000" cy="3452800"/>
                    </a:xfrm>
                    <a:prstGeom prst="rect"/>
                  </pic:spPr>
                </pic:pic>
              </a:graphicData>
            </a:graphic>
          </wp:inline>
        </w:drawing>
      </w:r>
    </w:p>
    <w:p>
      <w:pPr>
        <w:jc w:val="center"/>
      </w:pPr>
      <w:r>
        <w:rPr>
          <w:i/>
          <w:sz w:val="20"/>
        </w:rPr>
        <w:t>Figure 28. The π / (σ+π) ratio: the two windows, the straight background under each, the ratio and the sp² fraction against a HOPG reference.</w:t>
      </w:r>
    </w:p>
    <w:p/>
    <w:p>
      <w:r>
        <w:t>Peak positions and warnings. Each result also records where the π and the σ + π peak lie (the maximum of the curve above its straight line, refined by a parabola through it and its neighbours) and two warnings that HarwellXPS gives: the curve dips more than 20 % of its peak height below the line, which means the straight line may be in the wrong place, and the maximum sits on the edge of its window, so the window rather than the feature sets the position. They reproduce HarwellXPS’s own warnings on its six REELS spectra.</w:t>
      </w:r>
    </w:p>
    <w:p>
      <w:r>
        <w:t>The table, the CSV and the report. Every spectrum with a measured ratio is listed in one table: file, sample, spectrum, elastic peak, the two peak positions, the two areas, the ratio, the sp² fraction, the windows and end-point channels, the HOPG and diamond ratios used and the notes. File → Export REELS ratios → CSV… and the Save the table (CSV)… button in the dialog write it as a CSV in the layout of HarwellXPS’s reels_pi_sigma_ratio.csv with those columns added; a value that is not there is blank, never zero, and nothing is clipped. The hand-over package can include the same CSV.</w:t>
      </w:r>
    </w:p>
    <w:p>
      <w:r>
        <w:t>Repeat groups. Spectra of samples that repeat one another (several locations on one sample, a spot measured again) can be grouped, and the table then gives the mean, the sample standard deviation (n − 1) and n of the ratio, the sp² fraction and the two peak positions for each group. The groups are the same ones as the Quantification tab’s Groups…; a REELS-only sample has no quantification, so the Repeat groups… button of the ratio tab opens the same editor, which lists the samples that have a ratio (marked REELS) and can suggest groups from their names. The statistics use the values in the table and nothing is re-measured; n counts spectra, so a sample with two REELS spectra contributes two values. A group measured with different windows or end-point channels has no statistics, because its ratios cannot be compared, and a spectrum flagged in the table is counted and named. A standard deviation needs two spectra.</w:t>
      </w:r>
    </w:p>
    <w:p>
      <w:r>
        <w:t>The groups appear as one line each under the dialog’s table, as a Repeat groups subsection of the REELS analysis section in the PDF, the slides (a slide per group) and Word, in reels/reels_pi_sigma_ratio_repeat_groups.csv in the hand-over package, and in a second file written beside the table by File → Export REELS ratios → CSV….</w:t>
      </w:r>
    </w:p>
    <w:p>
      <w:r>
        <w:t>The elastic peak. Every spectrum uses its own elastic peak as the loss zero. The Elastic box of the dialog shows the peak stored with the selected spectrum, or is empty when it has none, and Measure then finds that spectrum’s own maximum; it never carries over the value of another spectrum. Measure every spectrum in the list keeps a peak you chose for a spectrum and otherwise uses its own maximum.</w:t>
      </w:r>
    </w:p>
    <w:p>
      <w:r>
        <w:t>A REELS analysis section in the Report generator puts the table into the PDF, the slides and the Word document, after the Quantification. A † marks a sample with a problem, and under the table come the windows, the references, the reminder that the ratio is not an sp² percentage, and one line for each kind of problem naming the spectra it applies to. The section appears only once a ratio has been measured, is on in the Everything and Customer report presets, and is off in a report saved before it existed.</w:t>
      </w:r>
    </w:p>
    <w:p>
      <w:r>
        <w:t>Not included: published reference values for HOPG or other carbons. The XPSView data lists graphite 0.145 and amorphous carbon 0.134 from a paper whose citation is not known, so no value is built in.</w:t>
      </w:r>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Al 2p: Al at 72.5 eV and Al2O3 at 75.0 eV, as spin-orbit doublets; another level: its main line, moved to the measured peak; Add offers the level’s states from the chemical-state table or your own). Each position may move ±0.5 eV (±0.8 eV for the Al states;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fit window is the background limits and the range the peaks are fitted to. The spectrum shows all the data with the window shaded and its two edges labelled. Drag the window or either edge on the spectrum, or type the limits in the Fit tab, and the peaks refit to the data inside it; untick Refit when the window moves to move it without refitting (the maps are still redrawn from the present peak shapes). A refit takes a few seconds on a large map. End avg is the number of channels at each end of the window that set the Shirley background step, and Reset returns to the automatic window. A window with too few channels for the components is refused, and one that reaches a part of the spectrum the model does not describe (such as a rising background beyond the peaks) shows up as a large reduced chi-square.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A state that is strong in only a few pixels is found because the shapes are also refined on the pixels where it is strongest, and the background can only rise towards high binding energy, so it cannot take the intensity of a small peak on the low side. If one map holds different forms of a state in different places, the whole-map fit cannot describe it: the table says so (reduced chi-square far above 1), and the answer is to draw an area on one form and use Fit on that area. The fit deliberately considers only the elemental and the fully oxidised state (Si and SiO2 for Si 2p) and ignores suboxides: image data are too noisy to separate intermediate states, so a feature between the two is taken up by the nearer component or shows in the residual map.</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29.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Help → Reset settings to defaults… puts every setting back to its default after a warning. It clears the theme and window layout, the view, plot and report choices, your saved plot styles and report presets, the recent files, the places you gave for CasaXPS and KherveFitting, the choices you asked the program to remember and the splash and display options. It cannot be undone, and it does not touch your data files, your workbooks (each keeps its own saved look and annotations) or the camera-calibration seed. The defaults apply the next time the program starts, so the program offers to close; until then nothing you change is saved.</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