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1.3.0  ·  30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KherveFitting and Thermo Avantage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p>
      <w:pPr>
        <w:pStyle w:val="Heading2"/>
      </w:pPr>
      <w:r>
        <w:t>Portable Windows build (no Python needed)</w:t>
      </w:r>
    </w:p>
    <w:p>
      <w:r>
        <w:t>Each release on the project’s GitHub page carries SpectraDeck-&lt;version&gt;-win64.zip. Unzip it anywhere and double-click SpectraDeck.exe: the Python runtime and every library are inside, and nothing is installed. Settings are kept in your user folder as usual; put an empty file called portable.txt next to the exe to keep them in a data folder beside it instead, so a USB stick carries its own settings. The exe is not code-signed, so Windows may say “Windows protected your PC”: choose More info, then Run anyway.</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“Forget my choice for duplicate files” brings the question back. A folder’s own index-only .dset, which holds no spectra, is skipped.</w:t>
      </w:r>
    </w:p>
    <w:p>
      <w:r>
        <w:t>File → Close all files unloads every file and resets the workbook. It does not ask for confirmation and cannot be undone, so save first (Ctrl+S) if you want to keep your ticks and annotations.</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pPr>
        <w:pStyle w:val="Heading2"/>
      </w:pPr>
      <w:r>
        <w:t>What kind of run a spectrum belongs to</w:t>
      </w:r>
    </w:p>
    <w:p>
      <w:r>
        <w:t>Details shows a Block type row where the instrument file says what kind of measurement a spectrum belongs to. It is only what the file records, never a guess about purpose, and it changes nothing about how the spectrum is named or grouped. A Kratos ESCApe file writes each run behind a class name, so its spectra are labelled acquisition sequence, depth profile, angle-resolved, etch or repeat-sequence run. For Thermo Avantage the levels of one file are a depth profile when they have etch times, an angle-resolved series when they are stage tilts, and otherwise an iteration series (the same scan repeated in succession); a file of several analysis points is a multi-point scan.</w:t>
      </w:r>
    </w:p>
    <w:p>
      <w:r>
        <w:t>A Kratos .experiment is split by these runs. Each run gets its own sample, read from the run’s own analysis-location record; depth-profile levels are numbered within their run and the etch times come from the run’s own duration record, not an assumed step; a sample measured in several runs becomes one sample per run (“&lt;sample&gt; – Depth profile 2”, “– Sequence 1”), so plots, levels and quantification do not pool them. Notes, shifts and markers you entered before the split are carried over to the new samples. Spectra written before a file’s first run marker stay unlabelled, and a .kal or .dset has no run structure and is not split.</w:t>
      </w:r>
    </w:p>
    <w:p>
      <w:pPr>
        <w:pStyle w:val="Heading2"/>
      </w:pPr>
      <w:r>
        <w:t>XPSView and HarwellXPS sessions (.xpsv)</w:t>
      </w:r>
    </w:p>
    <w:p>
      <w:r>
        <w:t>A .xpsv session opens like any other file: its samples, spectra, pictures and CasaXPS fits appear in the tree, and everything the application does with spectra works on them. Only the experiment inside the session is read (report sections, figures and workflow are not), and nothing is written back. What the reader corrects, because the file does it differently: a charge correction CasaXPS had applied is undone on the stored axis and kept as the spectrum’s calibration, so fit positions stay where CasaXPS had them; a photon energy that was edited by hand is replaced by the value the other spectra of the same source store, with a warning; the stored per-sweep and summed dwell times are told apart; and sample names that repeat (a spot sequence, its locations and a depth profile of one sample) are made unique. A spectrum acquired with an ion beam (ISS, REELS) is kept on a kinetic-energy axis with no photon energy. XPSView keeps one sweep count for all levels of a depth profile, so each level is given that count and one warning says the true figure needs the instrument file.</w:t>
      </w:r>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 or Range — the intensity at a low- and a high-binding-energy point, the lower of the two becoming 0 and the higher 1 (the data's own ends until you click a panel to move the nearer end point; right-click to reset).</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Fit (one trace with its CasaXPS fit forced on, Chapter 20); or Fit stack (up to eight traces, each with its own fit, offset like a stack).</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 Black (single colour) draws every trace in one colour (black; the theme's text colour on a dark plot) — pair it with the Data points preset for black points.</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the menu has four sections. Spectrum holds View, Normalise, Offset, Z axis and Reverse order, which act on that panel alone, so one page can hold a waterfall, a stack and a fitted spectrum. Fit and peaks holds Fit layers, Other possible lines and Identify peaks…, Layout holds the order and shape of the panels (below) and Save holds the image and figure commands. “Use the page’s view”, in Spectrum,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Columns, panel shape and the page layout</w:t>
      </w:r>
    </w:p>
    <w:p>
      <w:r>
        <w:t>Two boxes beside Panels shape the grid. Columns (Auto, 1 to 4) sets how many panels sit side by side; Shape (Portrait 2:3, Portrait 3:4, Square or Landscape 4:3) gives every panel that proportion, so two columns of portrait spectra are Columns 2 and Shape Portrait 3:4. Auto leaves both to the program. Both are also in the right-click menu, under Layout, and they apply to the plot, Save plot image…, the PDF, slides and Word figure pages and the data browser page.</w:t>
      </w:r>
    </w:p>
    <w:p>
      <w:r>
        <w:t>For a page that is not a plain grid, give a position its own shape and size: right-click a panel and choose Layout, then Shape of this position or Size of this position (Tall, Wide or Large, which take two rows, two columns or both). The layout belongs to the positions on the page, not to the panels: a wide survey above two high-resolution regions stays that way when you move another panel to the first position, and that panel takes on the wide format. Use Move panel (or drag a panel's heading strip onto another) to change who sits where; Reset page layout returns to the plain grid. The same layout repeats on every page of a long set and is saved in the workbook and in each saved figure; the data browser page follows Columns and Shape but not a position layout.</w:t>
      </w:r>
    </w:p>
    <w:p>
      <w:pPr>
        <w:jc w:val="center"/>
      </w:pPr>
      <w:r>
        <w:drawing>
          <wp:inline xmlns:a="http://schemas.openxmlformats.org/drawingml/2006/main" xmlns:pic="http://schemas.openxmlformats.org/drawingml/2006/picture">
            <wp:extent cx="5976000" cy="4108500"/>
            <wp:docPr id="1" name="Picture 1"/>
            <wp:cNvGraphicFramePr>
              <a:graphicFrameLocks noChangeAspect="1"/>
            </wp:cNvGraphicFramePr>
            <a:graphic>
              <a:graphicData uri="http://schemas.openxmlformats.org/drawingml/2006/picture">
                <pic:pic>
                  <pic:nvPicPr>
                    <pic:cNvPr id="0" name="fig_layout.png"/>
                    <pic:cNvPicPr/>
                  </pic:nvPicPr>
                  <pic:blipFill>
                    <a:blip r:embed="rId10"/>
                    <a:stretch>
                      <a:fillRect/>
                    </a:stretch>
                  </pic:blipFill>
                  <pic:spPr>
                    <a:xfrm>
                      <a:off x="0" y="0"/>
                      <a:ext cx="5976000" cy="4108500"/>
                    </a:xfrm>
                    <a:prstGeom prst="rect"/>
                  </pic:spPr>
                </pic:pic>
              </a:graphicData>
            </a:graphic>
          </wp:inline>
        </w:drawing>
      </w:r>
    </w:p>
    <w:p>
      <w:pPr>
        <w:jc w:val="center"/>
      </w:pPr>
      <w:r>
        <w:rPr>
          <w:i/>
          <w:sz w:val="20"/>
        </w:rPr>
        <w:t>Figure 5. A page layout: the first position is Wide, so the survey spans both columns above the Al 2p and O 1s panels.</w:t>
      </w:r>
    </w:p>
    <w:p/>
    <w:p>
      <w:r>
        <w:t>Layout ▸ Spacing… opens the Plot style dialog on its Spacing tab, where three sliders set the gap across, the gap down and the page margin (Chapter 17).</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Other possible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2" name="Picture 2"/>
            <wp:cNvGraphicFramePr>
              <a:graphicFrameLocks noChangeAspect="1"/>
            </wp:cNvGraphicFramePr>
            <a:graphic>
              <a:graphicData uri="http://schemas.openxmlformats.org/drawingml/2006/picture">
                <pic:pic>
                  <pic:nvPicPr>
                    <pic:cNvPr id="0" name="fig_stack.png"/>
                    <pic:cNvPicPr/>
                  </pic:nvPicPr>
                  <pic:blipFill>
                    <a:blip r:embed="rId11"/>
                    <a:stretch>
                      <a:fillRect/>
                    </a:stretch>
                  </pic:blipFill>
                  <pic:spPr>
                    <a:xfrm>
                      <a:off x="0" y="0"/>
                      <a:ext cx="5976000" cy="3452800"/>
                    </a:xfrm>
                    <a:prstGeom prst="rect"/>
                  </pic:spPr>
                </pic:pic>
              </a:graphicData>
            </a:graphic>
          </wp:inline>
        </w:drawing>
      </w:r>
    </w:p>
    <w:p>
      <w:pPr>
        <w:jc w:val="center"/>
      </w:pPr>
      <w:r>
        <w:rPr>
          <w:i/>
          <w:sz w:val="20"/>
        </w:rPr>
        <w:t>Figure 6. A stack view: several spectra of one core level, offset vertically.</w:t>
      </w:r>
    </w:p>
    <w:p/>
    <w:p>
      <w:pPr>
        <w:jc w:val="center"/>
      </w:pPr>
      <w:r>
        <w:drawing>
          <wp:inline xmlns:a="http://schemas.openxmlformats.org/drawingml/2006/main" xmlns:pic="http://schemas.openxmlformats.org/drawingml/2006/picture">
            <wp:extent cx="5976000" cy="3984000"/>
            <wp:docPr id="3" name="Picture 3"/>
            <wp:cNvGraphicFramePr>
              <a:graphicFrameLocks noChangeAspect="1"/>
            </wp:cNvGraphicFramePr>
            <a:graphic>
              <a:graphicData uri="http://schemas.openxmlformats.org/drawingml/2006/picture">
                <pic:pic>
                  <pic:nvPicPr>
                    <pic:cNvPr id="0" name="fig_waterfall.png"/>
                    <pic:cNvPicPr/>
                  </pic:nvPicPr>
                  <pic:blipFill>
                    <a:blip r:embed="rId12"/>
                    <a:stretch>
                      <a:fillRect/>
                    </a:stretch>
                  </pic:blipFill>
                  <pic:spPr>
                    <a:xfrm>
                      <a:off x="0" y="0"/>
                      <a:ext cx="5976000" cy="3984000"/>
                    </a:xfrm>
                    <a:prstGeom prst="rect"/>
                  </pic:spPr>
                </pic:pic>
              </a:graphicData>
            </a:graphic>
          </wp:inline>
        </w:drawing>
      </w:r>
    </w:p>
    <w:p>
      <w:pPr>
        <w:jc w:val="center"/>
      </w:pPr>
      <w:r>
        <w:rPr>
          <w:i/>
          <w:sz w:val="20"/>
        </w:rPr>
        <w:t>Figure 7. A Waterfall 3D view of a depth profile.</w:t>
      </w:r>
    </w:p>
    <w:p/>
    <w:p>
      <w:pPr>
        <w:jc w:val="center"/>
      </w:pPr>
      <w:r>
        <w:drawing>
          <wp:inline xmlns:a="http://schemas.openxmlformats.org/drawingml/2006/main" xmlns:pic="http://schemas.openxmlformats.org/drawingml/2006/picture">
            <wp:extent cx="5976000" cy="3452800"/>
            <wp:docPr id="4" name="Picture 4"/>
            <wp:cNvGraphicFramePr>
              <a:graphicFrameLocks noChangeAspect="1"/>
            </wp:cNvGraphicFramePr>
            <a:graphic>
              <a:graphicData uri="http://schemas.openxmlformats.org/drawingml/2006/picture">
                <pic:pic>
                  <pic:nvPicPr>
                    <pic:cNvPr id="0" name="fig_heatmap.png"/>
                    <pic:cNvPicPr/>
                  </pic:nvPicPr>
                  <pic:blipFill>
                    <a:blip r:embed="rId13"/>
                    <a:stretch>
                      <a:fillRect/>
                    </a:stretch>
                  </pic:blipFill>
                  <pic:spPr>
                    <a:xfrm>
                      <a:off x="0" y="0"/>
                      <a:ext cx="5976000" cy="3452800"/>
                    </a:xfrm>
                    <a:prstGeom prst="rect"/>
                  </pic:spPr>
                </pic:pic>
              </a:graphicData>
            </a:graphic>
          </wp:inline>
        </w:drawing>
      </w:r>
    </w:p>
    <w:p>
      <w:pPr>
        <w:jc w:val="center"/>
      </w:pPr>
      <w:r>
        <w:rPr>
          <w:i/>
          <w:sz w:val="20"/>
        </w:rPr>
        <w:t>Figure 8.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 Pages turn by whole rows of panels, and the last page always reaches the last panel. In a report, with Panels on Auto, a set Columns and Shape fill each page with as many rows of that shape as fit.</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9. The Details panel for a selected spectrum.</w:t>
      </w:r>
    </w:p>
    <w:p/>
    <w:p>
      <w:pPr>
        <w:pStyle w:val="Heading2"/>
      </w:pPr>
      <w:r>
        <w:t>Quantification tab</w:t>
      </w:r>
    </w:p>
    <w:p>
      <w:r>
        <w:t>When a ticked region carries a peak fit (CasaXPS, KherveFitting or Avantage),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fitted from more than one line (Pt 4f and Pt 4d, or Ti 2p and Ti 3p) counts from one only, so it is not counted twice: its standard line where there is one (Pt 4f rather than Pt 4d), otherwise the line with the highest sensitivity factor. Tick another line of the element and the first is unticked for you, so switching from Pt 4f to Pt 4d is one click; untick a region to leave it out.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10.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Repeat groups</w:t>
      </w:r>
    </w:p>
    <w:p>
      <w:r>
        <w:t>Samples that repeat one another (several locations on one sample, or a spot measured again) can be put in a repeat group. The Quantification tab then shows, after the samples, “Group: &lt;name&gt; (n samples)” with the mean, the sample standard deviation (n − 1) and n of the atomic percent of each region and of each chemical state, next to the individual values. Nothing is requantified: each member is read as its own finished composition, so a region counted once, your ticks and CasaXPS’s own numbers all apply. A state a member lacks is left out of that member and shown in bold; a depth profile and a member with nothing quantified are left out with a note. A group is your statement: Groups… opens the editor (new, rename, kind = locations, repeats or samples, a member checklist, and Suggest from names, which proposes groups from sample labels and never overwrites yours; a survey and its high-resolution regions are grouped apart, as they are quantified apart). Renaming a sample takes it out of its group. Export CSV in that view writes every group in the layout of XPSView’s quantification_repeat_groups.csv.</w:t>
      </w:r>
    </w:p>
    <w:p>
      <w:r>
        <w:t>Groups are saved in the workbook and appear in the PDF, slides and Word report (a “Repeat groups” section, one table each, with a column per member up to four, else the individual values are left to the CSV), in the interactive data browser (read-only: groups are made in the application, not on the page, and the page’s own ticks apply) and in the hand-over ZIP, whose Quantification section writes quantification.csv (one row per fitted region and per chemical state, each sample and level its own total) and quantification_repeat_groups.csv.</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11.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r>
        <w:t>The rows of view controls above the plot (group, normalise, offset, view, energy, colour, fit and style) fold away when you want the height back: choose View → Show view options, press Ctrl+Shift+H, or double-click the header above them. A one-line summary of the current view stays in their place while they are folded. The choice is remembered between sessions; it is layout, so it is not part of a saved figure.</w:t>
      </w:r>
    </w:p>
    <w:p>
      <w:pPr>
        <w:jc w:val="center"/>
      </w:pPr>
      <w:r>
        <w:drawing>
          <wp:inline xmlns:a="http://schemas.openxmlformats.org/drawingml/2006/main" xmlns:pic="http://schemas.openxmlformats.org/drawingml/2006/picture">
            <wp:extent cx="5976000" cy="2609772"/>
            <wp:docPr id="5" name="Picture 5"/>
            <wp:cNvGraphicFramePr>
              <a:graphicFrameLocks noChangeAspect="1"/>
            </wp:cNvGraphicFramePr>
            <a:graphic>
              <a:graphicData uri="http://schemas.openxmlformats.org/drawingml/2006/picture">
                <pic:pic>
                  <pic:nvPicPr>
                    <pic:cNvPr id="0" name="fig_theme_compare.png"/>
                    <pic:cNvPicPr/>
                  </pic:nvPicPr>
                  <pic:blipFill>
                    <a:blip r:embed="rId14"/>
                    <a:stretch>
                      <a:fillRect/>
                    </a:stretch>
                  </pic:blipFill>
                  <pic:spPr>
                    <a:xfrm>
                      <a:off x="0" y="0"/>
                      <a:ext cx="5976000" cy="2609772"/>
                    </a:xfrm>
                    <a:prstGeom prst="rect"/>
                  </pic:spPr>
                </pic:pic>
              </a:graphicData>
            </a:graphic>
          </wp:inline>
        </w:drawing>
      </w:r>
    </w:p>
    <w:p>
      <w:pPr>
        <w:jc w:val="center"/>
      </w:pPr>
      <w:r>
        <w:rPr>
          <w:i/>
          <w:sz w:val="20"/>
        </w:rPr>
        <w:t>Figure 12.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JPG, SVG or PDF, at any size and resolution. Right-click a panel and choose Save, then Save this panel as image…, to save just that panel.</w:t>
      </w:r>
    </w:p>
    <w:p>
      <w:r>
        <w:t>The size dialog has a Size preset (single column 85 mm, 1.5 columns, double column 180 mm, A4 portrait or landscape, slide 16:9, square) that fills in the width and height, and Fit height to the panel grid, which sets the height from the width you entered, the columns and the panel shape (it needs a Shape other than Auto). The result is an estimate: adjust the height by hand if you want the panels tighter or looser.</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Two VAMAS options in the Export dialog are for CasaXPS users. “Restore the transmission function as CasaXPS does for Avantage data” (only for K-Alpha, NEXSA and HYPULSE files; other instruments’ files are unchanged) writes counts and transmission the way CasaXPS’s own import of Avantage data does. “Write CasaXPS’s escape-depth correction” adds the escape-depth type CasaXPS uses in its quantification (none, KE exponent, EAL, IMFP, CH film, TPP-2M or Layer) with its exponent or overlayer thickness, so CasaXPS applies that mean-free-path correction when it reads the file; left unticked, none is written. VAMAS files also carry the acquisition date, the work function and the X-ray beam width where the source file recorded them.</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13.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14.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15.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REELS analysis</w:t>
            </w:r>
          </w:p>
        </w:tc>
        <w:tc>
          <w:tcPr>
            <w:tcW w:type="dxa" w:w="7030"/>
          </w:tcPr>
          <w:p>
            <w:r>
              <w:t>After the Quantification: the π / (σ+π) intensity ratio of each REELS spectrum you measured (peak positions, areas, ratio, sp² fraction), with the windows, the references and the problems marked †.</w:t>
            </w:r>
          </w:p>
        </w:tc>
      </w:tr>
      <w:tr>
        <w:tc>
          <w:tcPr>
            <w:tcW w:type="dxa" w:w="2381"/>
          </w:tcPr>
          <w:p>
            <w:r>
              <w:t>Figures</w:t>
            </w:r>
          </w:p>
        </w:tc>
        <w:tc>
          <w:tcPr>
            <w:tcW w:type="dxa" w:w="7030"/>
          </w:tcPr>
          <w:p>
            <w:r>
              <w:t>One page (slide) per saved figure, drawn with its caption.</w:t>
            </w:r>
          </w:p>
        </w:tc>
      </w:tr>
      <w:tr>
        <w:tc>
          <w:tcPr>
            <w:tcW w:type="dxa" w:w="2381"/>
          </w:tcPr>
          <w:p>
            <w:r>
              <w:t>Camera pictures, SnapMaps and image maps</w:t>
            </w:r>
          </w:p>
        </w:tc>
        <w:tc>
          <w:tcPr>
            <w:tcW w:type="dxa" w:w="7030"/>
          </w:tcPr>
          <w:p>
            <w:r>
              <w:t>Sample-view photos, mosaics, element-map pages and Kratos image maps.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and the font of the PDF's text (slides and Word keep Calibri).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Timing or REELS analysis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16. The Report generator dialog: sections, order and options.</w:t>
      </w:r>
    </w:p>
    <w:p/>
    <w:p>
      <w:pPr>
        <w:jc w:val="center"/>
      </w:pPr>
      <w:r>
        <w:drawing>
          <wp:inline xmlns:a="http://schemas.openxmlformats.org/drawingml/2006/main" xmlns:pic="http://schemas.openxmlformats.org/drawingml/2006/picture">
            <wp:extent cx="3240000" cy="4582286"/>
            <wp:docPr id="6" name="Picture 6"/>
            <wp:cNvGraphicFramePr>
              <a:graphicFrameLocks noChangeAspect="1"/>
            </wp:cNvGraphicFramePr>
            <a:graphic>
              <a:graphicData uri="http://schemas.openxmlformats.org/drawingml/2006/picture">
                <pic:pic>
                  <pic:nvPicPr>
                    <pic:cNvPr id="0" name="fig_cover.png"/>
                    <pic:cNvPicPr/>
                  </pic:nvPicPr>
                  <pic:blipFill>
                    <a:blip r:embed="rId15"/>
                    <a:stretch>
                      <a:fillRect/>
                    </a:stretch>
                  </pic:blipFill>
                  <pic:spPr>
                    <a:xfrm>
                      <a:off x="0" y="0"/>
                      <a:ext cx="3240000" cy="4582286"/>
                    </a:xfrm>
                    <a:prstGeom prst="rect"/>
                  </pic:spPr>
                </pic:pic>
              </a:graphicData>
            </a:graphic>
          </wp:inline>
        </w:drawing>
      </w:r>
    </w:p>
    <w:p>
      <w:pPr>
        <w:jc w:val="center"/>
      </w:pPr>
      <w:r>
        <w:rPr>
          <w:i/>
          <w:sz w:val="20"/>
        </w:rPr>
        <w:t>Figure 17.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fitted from several lines counts from one (its standard line, else the one with the highest sensitivity factor), the page says which, and a line you choose in the Quantification tab replaces it. No transmission correction is applied in reports, except inside Avantage’s own numbers (Chapter 22).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 With the Report generator’s mosaic option on, SnapMap sites of one file that lie side by side (their footprints overlap or are within 5 % of a map’s width of each other) also get a “SnapMap mosaic” page: one mosaic per core level found in at least two of those sites, laid out by their stage positions with one energy window and one colour range, the tiles outlined and named. A site left out in the generator is left out of its mosaic. Kratos imaging maps get image-map pages: up to twelve images of a stage position to a page, each on its own colour range with a scale bar marked approximate.</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7" name="Picture 7"/>
            <wp:cNvGraphicFramePr>
              <a:graphicFrameLocks noChangeAspect="1"/>
            </wp:cNvGraphicFramePr>
            <a:graphic>
              <a:graphicData uri="http://schemas.openxmlformats.org/drawingml/2006/picture">
                <pic:pic>
                  <pic:nvPicPr>
                    <pic:cNvPr id="0" name="fig_report_page.png"/>
                    <pic:cNvPicPr/>
                  </pic:nvPicPr>
                  <pic:blipFill>
                    <a:blip r:embed="rId16"/>
                    <a:stretch>
                      <a:fillRect/>
                    </a:stretch>
                  </pic:blipFill>
                  <pic:spPr>
                    <a:xfrm>
                      <a:off x="0" y="0"/>
                      <a:ext cx="5976000" cy="8449708"/>
                    </a:xfrm>
                    <a:prstGeom prst="rect"/>
                  </pic:spPr>
                </pic:pic>
              </a:graphicData>
            </a:graphic>
          </wp:inline>
        </w:drawing>
      </w:r>
    </w:p>
    <w:p>
      <w:pPr>
        <w:jc w:val="center"/>
      </w:pPr>
      <w:r>
        <w:rPr>
          <w:i/>
          <w:sz w:val="20"/>
        </w:rPr>
        <w:t>Figure 18.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8" name="Picture 8"/>
            <wp:cNvGraphicFramePr>
              <a:graphicFrameLocks noChangeAspect="1"/>
            </wp:cNvGraphicFramePr>
            <a:graphic>
              <a:graphicData uri="http://schemas.openxmlformats.org/drawingml/2006/picture">
                <pic:pic>
                  <pic:nvPicPr>
                    <pic:cNvPr id="0" name="fig_quant_table.png"/>
                    <pic:cNvPicPr/>
                  </pic:nvPicPr>
                  <pic:blipFill>
                    <a:blip r:embed="rId17"/>
                    <a:stretch>
                      <a:fillRect/>
                    </a:stretch>
                  </pic:blipFill>
                  <pic:spPr>
                    <a:xfrm>
                      <a:off x="0" y="0"/>
                      <a:ext cx="5976000" cy="4772059"/>
                    </a:xfrm>
                    <a:prstGeom prst="rect"/>
                  </pic:spPr>
                </pic:pic>
              </a:graphicData>
            </a:graphic>
          </wp:inline>
        </w:drawing>
      </w:r>
    </w:p>
    <w:p>
      <w:pPr>
        <w:jc w:val="center"/>
      </w:pPr>
      <w:r>
        <w:rPr>
          <w:i/>
          <w:sz w:val="20"/>
        </w:rPr>
        <w:t>Figure 19.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 A Quantification section adds quantification/quantification.csv (the table of the Quantification tab: one row per fitted region and per chemical state, each sample and depth level its own total, UTF-8 with a BOM) and, where repeat groups exist, quantification_repeat_groups.csv; CasaXPS’s own Quant_*.txt files stay under metadata/. A REELS section adds reels/reels_pi_sigma_ratio.csv, the π / (σ+π) table of the REELS ratios you measured (see the REELS chapter), and the README explains it.</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one-line-per-element default and CasaXPS’s own percentages); the page starts from the regions you ticked or unticked in the Quantification tab, and the reader can change them. Fits are drawn on single-spectrum panels (components, envelope, background and a residual band) with a per-component table; components are coloured by their CasaXPS INDEX, a “Merge INDEX groups” box draws each group as one outline, and a “Fits on stacks” box draws each trace's own fit on a stack of up to eight spectra (the table and residual stay with the one-spectrum panel).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20. The interactive HTML data browser, opened in a web browser.</w:t>
      </w:r>
    </w:p>
    <w:p/>
    <w:p>
      <w:r>
        <w:br w:type="page"/>
      </w:r>
    </w:p>
    <w:p>
      <w:pPr>
        <w:pStyle w:val="Heading1"/>
      </w:pPr>
      <w:r>
        <w:t>17. Plot style</w:t>
      </w:r>
    </w:p>
    <w:p>
      <w:r>
        <w:t>View → Plot style… (or the Style… button under the plot controls) opens one dialog for how plots look: font (IBM Plex Sans, Source Sans 3, Inter, IBM Plex Serif, STIX Two Text and IBM Plex Mono are bundled; any installed font also works)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p>
      <w:r>
        <w:t>The Spacing tab has three sliders: Gap across and Gap down (the space between panels, as a fraction of a panel) and Page margin (the space round the panels, as a fraction of the page). Each reads “auto” at 0, which keeps the automatic fit to the axis labels; a small value can cut labels off, so move them until the labels still fit. They apply to the plot, saved images, the PDF and the slides, and are saved with the style.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21.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pPr>
        <w:pStyle w:val="Heading2"/>
      </w:pPr>
      <w:r>
        <w:t>Colours, merged groups and stacked fits</w:t>
      </w:r>
    </w:p>
    <w:p>
      <w:r>
        <w:t>Components are coloured by their CasaXPS INDEX, the number CasaXPS gives a chemical-state group. INDEX 0 is the same colour in every region, file, report and theme, and components that share an INDEX are one chemical state: one colour and one legend entry, whatever group name CasaXPS gave them (most files name every group after the region). A component with no INDEX group is its own state and gets a colour of its own; with more groups than the palette has colours, colours repeat and the legend tells them apart (the status bar says so).</w:t>
      </w:r>
    </w:p>
    <w:p>
      <w:r>
        <w:t>A state built from several peaks, such as a doublet or a shake-up structure, can be drawn as one component: tick Merge INDEX groups in the Fit row (or right-click a panel, Fit layers, Merge INDEX groups, for that panel alone). Each INDEX group is then drawn as the outline of the sum of its peaks. Only the drawing changes: the fit table, the areas, the quantification and the exports still list every peak, and components with no INDEX group are never merged.</w:t>
      </w:r>
    </w:p>
    <w:p>
      <w:r>
        <w:t>To compare fits across a depth profile, or several refits of the same region, choose View, Fit stack. Each trace is drawn with its own fit, offset and normalised like its data, up to eight at a time (the Traces slider moves the window along a longer group, and a report shows the first window); one legend names the chemical states of the whole panel. A spectrum without a fit is drawn plain and the status bar says how many have none. The data are drawn in a single colour so they do not clash with the state colours, unless you pick a colour scale. The offline data browser has the same through its Fits on stacks box.</w:t>
      </w:r>
    </w:p>
    <w:p>
      <w:pPr>
        <w:jc w:val="center"/>
      </w:pPr>
      <w:r>
        <w:drawing>
          <wp:inline xmlns:a="http://schemas.openxmlformats.org/drawingml/2006/main" xmlns:pic="http://schemas.openxmlformats.org/drawingml/2006/picture">
            <wp:extent cx="5976000" cy="2933673"/>
            <wp:docPr id="9" name="Picture 9"/>
            <wp:cNvGraphicFramePr>
              <a:graphicFrameLocks noChangeAspect="1"/>
            </wp:cNvGraphicFramePr>
            <a:graphic>
              <a:graphicData uri="http://schemas.openxmlformats.org/drawingml/2006/picture">
                <pic:pic>
                  <pic:nvPicPr>
                    <pic:cNvPr id="0" name="fig_fitstack.png"/>
                    <pic:cNvPicPr/>
                  </pic:nvPicPr>
                  <pic:blipFill>
                    <a:blip r:embed="rId18"/>
                    <a:stretch>
                      <a:fillRect/>
                    </a:stretch>
                  </pic:blipFill>
                  <pic:spPr>
                    <a:xfrm>
                      <a:off x="0" y="0"/>
                      <a:ext cx="5976000" cy="2933673"/>
                    </a:xfrm>
                    <a:prstGeom prst="rect"/>
                  </pic:spPr>
                </pic:pic>
              </a:graphicData>
            </a:graphic>
          </wp:inline>
        </w:drawing>
      </w:r>
    </w:p>
    <w:p>
      <w:pPr>
        <w:jc w:val="center"/>
      </w:pPr>
      <w:r>
        <w:rPr>
          <w:i/>
          <w:sz w:val="20"/>
        </w:rPr>
        <w:t>Figure 22. A Fit stack of three depth levels. Left: every peak, coloured by its INDEX. Right: Merge INDEX groups draws the two O-C=O peaks (one INDEX) as one outline.</w:t>
      </w:r>
    </w:p>
    <w:p/>
    <w:p>
      <w:pPr>
        <w:pStyle w:val="Heading2"/>
      </w:pPr>
      <w:r>
        <w:t>Peak shapes and backgrounds</w:t>
      </w:r>
    </w:p>
    <w:p>
      <w:r>
        <w:t>CasaXPS’s own line shapes are drawn from the tables the program itself builds, not approximations: GL and SGL (with the T(k) tail), LA, LF, DS, H, F, E, A, TLA, LS, LSF, QF, QSF, QA, QS and DS with a cut-off, with the PHI / SL tails and the GL(m,n) kernel. Each was compared with CasaXPS’s exported component curves (0.02–1.3 % of the peak height, using the stated area as it is), and the fit of a real file is drawn within about 1–2 % of its data range. A component's Position is the shape’s centre, as in CasaXPS. A shape this application cannot reproduce keeps its real name and is flagged as approximate rather than drawn as something else, and a component with impossible parameters is left out of the envelope with a note.</w:t>
      </w:r>
    </w:p>
    <w:p>
      <w:r>
        <w:t>Backgrounds: Linear, Shirley (with the start and end offsets of the region), the Tougaard family (U 2 and U 4 Tougaard, the preset U Poly, U Si, U SiO2, U Ge and U Al, U 3 Tougaard with its own C, D and T0, W Tougaard, and the plain Tougaard whose scale CasaXPS sets from the data) and Smart. Min Limits, Step Down, Poly Regression and Spline Shirley are not reproduced: such a fit shows its components but no envelope.</w:t>
      </w:r>
    </w:p>
    <w:p>
      <w:pPr>
        <w:pStyle w:val="Heading2"/>
      </w:pPr>
      <w:r>
        <w:t>Goodness of fit</w:t>
      </w:r>
    </w:p>
    <w:p>
      <w:r>
        <w:t>Three boxes in the Fit row choose which fit statistics are shown, each on its own: RMS (the residual as a share of the data range), Reduced χ² (the Poisson-weighted reduced chi-square) and Residual StDev, CasaXPS’s own statistic (the root-mean-square of the residual in units of the counting noise, about 1 when the fit explains the data to counting statistics). RMS and Reduced χ² are on by default, Residual StDev is off. The plot writes RMS and Residual StDev under the fit; the fit tables of the reports and the fit header of the HTML page show whichever are ticked. They need the dwell time and the number of scans, and a figure or workbook saved before the Residual StDev box existed keeps showing RMS and Reduced χ² as it did.</w:t>
      </w:r>
    </w:p>
    <w:p>
      <w:r>
        <w:t>A scan fitted with several regions of the same name that touch, such as a piecewise Shirley background, is treated as one fit: its background is stitched together and every component is drawn across the whole span, instead of the narrower regions being taken for duplicates.</w:t>
      </w:r>
    </w:p>
    <w:p>
      <w:r>
        <w:t>CasaXPS's own binding-energy charge correction is carried over automatically and appears in Details (“BE calibration (CasaXPS)”) and in the report's calibration statement.</w:t>
      </w:r>
    </w:p>
    <w:p>
      <w:r>
        <w:t>GL and SGL peak shapes, with or without a T(k) tail, are computed exactly. The other shapes follow CasaXPS’s own tables, which were read from the program and checked against its exported curves, agreeing to between 0.02 % and 1.3 % of the peak height: LA, LF, Doniach-Sunjic (DS), H, F, E, the asymmetric Gelius shapes A(a,b,n)GL / SGL, TLA, LS, LSF, QA, QS, QF, QSF, GL(m,n) and the PHI and SL tails. Backgrounds are Shirley, linear and the Tougaard cross sections; the two-parameter (U 2) Tougaard is exact, the U Poly one was checked against a real fit, and the others (U Si, U SiO2, U Ge, U Al, U 4, plain and W Tougaard) are reconstructions. The St Offset and End Offset of a CasaXPS region are applied to the background. Where a shape or background cannot be reproduced (the K(...) suffixes and the shapes SS, TP, THG, PGL, IRP, IRS, VS, VGT, CS, SLA, LD and RG;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Which transmission function a CasaXPS file holds</w:t>
      </w:r>
    </w:p>
    <w:p>
      <w:r>
        <w:t>A CasaXPS VAMAS export of Avantage data carries a Transmission column, and its comment text does not always say which function that is. Details names it, judged from the numbers themselves: Avantage’s polynomial, CasaXPS’s recalculated VG function (the same form with new coefficients), or a measured transmission file, which is not in the export and cannot be rebuilt here, so its column is used as written. A column that matches none is not given a name. The Quantification tab says which function “Divide out the transmission function” divides by.</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(the export carries the charge-corrected axis, so a file with a CasaXPS calibration is matched across that shift and the box names it); the export can also simply be opened together with its .vms, dropped with it, or sit in the same folder;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casafit.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r>
        <w:t>Thermo ISS files record the ion, the beam energy, Avantage’s calibrated beam energy and the scattering angle, and the dialog fills them in (the calibrated energy is the one the peaks fit). Kratos files do not, so the dialog offers He⁺, 1000 eV and 135° (the Axis Ultra geometry) but states nothing in a report until you choose Use for this file.</w:t>
      </w:r>
    </w:p>
    <w:p>
      <w:r>
        <w:t>The ISS axis box beside Energy chooses the x axis of ion scattering spectra: Kinetic energy (the default) or the energy ratio E/E₀, as ISS tables are usually shown. The ratio needs the beam energy, from the file or saved with Use for this file; a Kratos spectrum with none stays on kinetic energy and says so. XPS spectra on the same page keep their own Binding / Kinetic choice, and the offline HTML browser has the same ISS axis box.</w:t>
      </w:r>
    </w:p>
    <w:p>
      <w:pPr>
        <w:jc w:val="center"/>
      </w:pPr>
      <w:r>
        <w:drawing>
          <wp:inline xmlns:a="http://schemas.openxmlformats.org/drawingml/2006/main" xmlns:pic="http://schemas.openxmlformats.org/drawingml/2006/picture">
            <wp:extent cx="5976000" cy="3452800"/>
            <wp:docPr id="11" name="Picture 11"/>
            <wp:cNvGraphicFramePr>
              <a:graphicFrameLocks noChangeAspect="1"/>
            </wp:cNvGraphicFramePr>
            <a:graphic>
              <a:graphicData uri="http://schemas.openxmlformats.org/drawingml/2006/picture">
                <pic:pic>
                  <pic:nvPicPr>
                    <pic:cNvPr id="0" name="fig_iss.png"/>
                    <pic:cNvPicPr/>
                  </pic:nvPicPr>
                  <pic:blipFill>
                    <a:blip r:embed="rId20"/>
                    <a:stretch>
                      <a:fillRect/>
                    </a:stretch>
                  </pic:blipFill>
                  <pic:spPr>
                    <a:xfrm>
                      <a:off x="0" y="0"/>
                      <a:ext cx="5976000" cy="3452800"/>
                    </a:xfrm>
                    <a:prstGeom prst="rect"/>
                  </pic:spPr>
                </pic:pic>
              </a:graphicData>
            </a:graphic>
          </wp:inline>
        </w:drawing>
      </w:r>
    </w:p>
    <w:p>
      <w:pPr>
        <w:jc w:val="center"/>
      </w:pPr>
      <w:r>
        <w:rPr>
          <w:i/>
          <w:sz w:val="20"/>
        </w:rPr>
        <w:t>Figure 24.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2" name="Picture 12"/>
            <wp:cNvGraphicFramePr>
              <a:graphicFrameLocks noChangeAspect="1"/>
            </wp:cNvGraphicFramePr>
            <a:graphic>
              <a:graphicData uri="http://schemas.openxmlformats.org/drawingml/2006/picture">
                <pic:pic>
                  <pic:nvPicPr>
                    <pic:cNvPr id="0" name="fig_reels.png"/>
                    <pic:cNvPicPr/>
                  </pic:nvPicPr>
                  <pic:blipFill>
                    <a:blip r:embed="rId21"/>
                    <a:stretch>
                      <a:fillRect/>
                    </a:stretch>
                  </pic:blipFill>
                  <pic:spPr>
                    <a:xfrm>
                      <a:off x="0" y="0"/>
                      <a:ext cx="5976000" cy="3452800"/>
                    </a:xfrm>
                    <a:prstGeom prst="rect"/>
                  </pic:spPr>
                </pic:pic>
              </a:graphicData>
            </a:graphic>
          </wp:inline>
        </w:drawing>
      </w:r>
    </w:p>
    <w:p>
      <w:pPr>
        <w:jc w:val="center"/>
      </w:pPr>
      <w:r>
        <w:rPr>
          <w:i/>
          <w:sz w:val="20"/>
        </w:rPr>
        <w:t>Figure 25. The REELS band-gap construction: elastic peak, tangent and baseline.</w:t>
      </w:r>
    </w:p>
    <w:p/>
    <w:p>
      <w:pPr>
        <w:pStyle w:val="Heading2"/>
      </w:pPr>
      <w:r>
        <w:t>REELS plasmon energy</w:t>
      </w:r>
    </w:p>
    <w:p>
      <w:r>
        <w:t>Below the band-gap controls, the Plasmon energy group measures the energy of a loss peak. Choose the feature (π + σ, with a default loss window of 15–45 eV, π, with 3–12 eV, or your own window), the background and the method, then press Measure. The window is in eV of energy loss from the elastic peak and is never set for you.</w:t>
      </w:r>
    </w:p>
    <w:p>
      <w:r>
        <w:t>The Gaussian method follows Filippi and Calliari (Surf. Interface Anal. 38, 595, 2006): a background is taken from the two ends of the window, Linear or Shirley, and the centre of the least-squares Gaussian through the data above 90 % of the peak height is the energy. A Shirley background needs the high-loss end of the window to be the higher one and is refused otherwise. The second-derivative method takes the maximum of the negated second derivative of the smoothed spectrum (the smoothing width is yours to set) and needs no background. Choosing both stores the Gaussian value and shows the other beside it.</w:t>
      </w:r>
    </w:p>
    <w:p>
      <w:r>
        <w:t>The number depends on the background, so the method is stored and written with it. For graphite at 1 keV the paper finds 27.1 eV with a linear background, 26.2 eV with a Shirley one and 26.9 eV by the second derivative; the literature spans 26–28 eV. The result is drawn on the plot (the window shaded, the background dashed, the energy labelled), saved in the workbook and added to the spectrum’s metadata as REELS plasmon energy and REELS plasmon method. It is kept separately from the band gap, so clearing one leaves the other.</w:t>
      </w:r>
    </w:p>
    <w:p>
      <w:pPr>
        <w:jc w:val="center"/>
      </w:pPr>
      <w:r>
        <w:drawing>
          <wp:inline xmlns:a="http://schemas.openxmlformats.org/drawingml/2006/main" xmlns:pic="http://schemas.openxmlformats.org/drawingml/2006/picture">
            <wp:extent cx="5976000" cy="3452800"/>
            <wp:docPr id="13" name="Picture 13"/>
            <wp:cNvGraphicFramePr>
              <a:graphicFrameLocks noChangeAspect="1"/>
            </wp:cNvGraphicFramePr>
            <a:graphic>
              <a:graphicData uri="http://schemas.openxmlformats.org/drawingml/2006/picture">
                <pic:pic>
                  <pic:nvPicPr>
                    <pic:cNvPr id="0" name="fig_plasmon.png"/>
                    <pic:cNvPicPr/>
                  </pic:nvPicPr>
                  <pic:blipFill>
                    <a:blip r:embed="rId22"/>
                    <a:stretch>
                      <a:fillRect/>
                    </a:stretch>
                  </pic:blipFill>
                  <pic:spPr>
                    <a:xfrm>
                      <a:off x="0" y="0"/>
                      <a:ext cx="5976000" cy="3452800"/>
                    </a:xfrm>
                    <a:prstGeom prst="rect"/>
                  </pic:spPr>
                </pic:pic>
              </a:graphicData>
            </a:graphic>
          </wp:inline>
        </w:drawing>
      </w:r>
    </w:p>
    <w:p>
      <w:pPr>
        <w:jc w:val="center"/>
      </w:pPr>
      <w:r>
        <w:rPr>
          <w:i/>
          <w:sz w:val="20"/>
        </w:rPr>
        <w:t>Figure 26. A REELS plasmon energy: the window (shaded), the Shirley background (dashed) and the energy found.</w:t>
      </w:r>
    </w:p>
    <w:p/>
    <w:p>
      <w:r>
        <w:t>A mass density can be calculated from a bulk plasmon energy for amorphous carbon (4 valence electrons, effective mass 0.87), which gives 2.046 g/cm³ at 25.5 eV as Yang et al. (Phys. Chem. Chem. Phys. 23, 25335, 2021) report. The dialog does not offer it: a raw REELS peak lies above the bulk-loss peak because of surface excitation and multiple scattering (27.0 eV would give 2.294 g/cm³), so it overstates the density.</w:t>
      </w:r>
    </w:p>
    <w:p>
      <w:pPr>
        <w:pStyle w:val="Heading2"/>
      </w:pPr>
      <w:r>
        <w:t>REELS loss peaks and layers</w:t>
      </w:r>
    </w:p>
    <w:p>
      <w:r>
        <w:t>The REELS loss peaks / layers tab fits the π + σ loss region with the Gaussians of Stobinski et al. (J. Electron Spectrosc. Relat. Phenom. 195, 145, 2014) and, from their ratio, estimates how many graphene layers the electrons probed.</w:t>
      </w:r>
    </w:p>
    <w:tbl>
      <w:tblPr>
        <w:tblStyle w:val="TableGrid"/>
        <w:tblW w:type="auto" w:w="0"/>
        <w:tblLayout w:type="fixed"/>
        <w:tblLook w:firstColumn="1" w:firstRow="1" w:lastColumn="0" w:lastRow="0" w:noHBand="0" w:noVBand="1" w:val="04A0"/>
      </w:tblPr>
      <w:tblGrid>
        <w:gridCol w:w="4706"/>
        <w:gridCol w:w="4706"/>
      </w:tblGrid>
      <w:tr>
        <w:tc>
          <w:tcPr>
            <w:tcW w:type="dxa" w:w="3969"/>
            <w:shd w:val="clear" w:color="auto" w:fill="2C3E50"/>
          </w:tcPr>
          <w:p>
            <w:r/>
            <w:r>
              <w:rPr>
                <w:b/>
                <w:color w:val="FFFFFF"/>
              </w:rPr>
              <w:t>Component</w:t>
            </w:r>
          </w:p>
        </w:tc>
        <w:tc>
          <w:tcPr>
            <w:tcW w:type="dxa" w:w="2835"/>
            <w:shd w:val="clear" w:color="auto" w:fill="2C3E50"/>
          </w:tcPr>
          <w:p>
            <w:r/>
            <w:r>
              <w:rPr>
                <w:b/>
                <w:color w:val="FFFFFF"/>
              </w:rPr>
              <w:t>Starting loss (eV)</w:t>
            </w:r>
          </w:p>
        </w:tc>
      </w:tr>
      <w:tr>
        <w:tc>
          <w:tcPr>
            <w:tcW w:type="dxa" w:w="3969"/>
          </w:tcPr>
          <w:p>
            <w:r>
              <w:t>π</w:t>
            </w:r>
          </w:p>
        </w:tc>
        <w:tc>
          <w:tcPr>
            <w:tcW w:type="dxa" w:w="2835"/>
          </w:tcPr>
          <w:p>
            <w:r>
              <w:t>6.0</w:t>
            </w:r>
          </w:p>
        </w:tc>
      </w:tr>
      <w:tr>
        <w:tc>
          <w:tcPr>
            <w:tcW w:type="dxa" w:w="3969"/>
          </w:tcPr>
          <w:p>
            <w:r>
              <w:t>interband</w:t>
            </w:r>
          </w:p>
        </w:tc>
        <w:tc>
          <w:tcPr>
            <w:tcW w:type="dxa" w:w="2835"/>
          </w:tcPr>
          <w:p>
            <w:r>
              <w:t>12.5</w:t>
            </w:r>
          </w:p>
        </w:tc>
      </w:tr>
      <w:tr>
        <w:tc>
          <w:tcPr>
            <w:tcW w:type="dxa" w:w="3969"/>
          </w:tcPr>
          <w:p>
            <w:r>
              <w:t>C sp² surface</w:t>
            </w:r>
          </w:p>
        </w:tc>
        <w:tc>
          <w:tcPr>
            <w:tcW w:type="dxa" w:w="2835"/>
          </w:tcPr>
          <w:p>
            <w:r>
              <w:t>19.5</w:t>
            </w:r>
          </w:p>
        </w:tc>
      </w:tr>
      <w:tr>
        <w:tc>
          <w:tcPr>
            <w:tcW w:type="dxa" w:w="3969"/>
          </w:tcPr>
          <w:p>
            <w:r>
              <w:t>C sp³ surface</w:t>
            </w:r>
          </w:p>
        </w:tc>
        <w:tc>
          <w:tcPr>
            <w:tcW w:type="dxa" w:w="2835"/>
          </w:tcPr>
          <w:p>
            <w:r>
              <w:t>23.0</w:t>
            </w:r>
          </w:p>
        </w:tc>
      </w:tr>
      <w:tr>
        <w:tc>
          <w:tcPr>
            <w:tcW w:type="dxa" w:w="3969"/>
          </w:tcPr>
          <w:p>
            <w:r>
              <w:t>C sp² bulk</w:t>
            </w:r>
          </w:p>
        </w:tc>
        <w:tc>
          <w:tcPr>
            <w:tcW w:type="dxa" w:w="2835"/>
          </w:tcPr>
          <w:p>
            <w:r>
              <w:t>27.0</w:t>
            </w:r>
          </w:p>
        </w:tc>
      </w:tr>
      <w:tr>
        <w:tc>
          <w:tcPr>
            <w:tcW w:type="dxa" w:w="3969"/>
          </w:tcPr>
          <w:p>
            <w:r>
              <w:t>C sp³ bulk</w:t>
            </w:r>
          </w:p>
        </w:tc>
        <w:tc>
          <w:tcPr>
            <w:tcW w:type="dxa" w:w="2835"/>
          </w:tcPr>
          <w:p>
            <w:r>
              <w:t>33.8</w:t>
            </w:r>
          </w:p>
        </w:tc>
      </w:tr>
      <w:tr>
        <w:tc>
          <w:tcPr>
            <w:tcW w:type="dxa" w:w="3969"/>
          </w:tcPr>
          <w:p>
            <w:r>
              <w:t>σ → σ*</w:t>
            </w:r>
          </w:p>
        </w:tc>
        <w:tc>
          <w:tcPr>
            <w:tcW w:type="dxa" w:w="2835"/>
          </w:tcPr>
          <w:p>
            <w:r>
              <w:t>35.0 and 42.0</w:t>
            </w:r>
          </w:p>
        </w:tc>
      </w:tr>
    </w:tbl>
    <w:p/>
    <w:p>
      <w:r>
        <w:t>These energies are an assignment taken from the literature, so they are only starting values: each position may move by the tolerance you set (1 eV by default; 0 holds it). The π peak has a width of its own and the other components share one. The areas are found by non-negative least squares, so none is negative. The background is taken from the ends of the loss window; the paper does not say which it used, so Linear is only a default. The table lists each component’s position, width and share, and the residual as a fraction of the data range.</w:t>
      </w:r>
    </w:p>
    <w:p>
      <w:r>
        <w:t>R is the area of the C sp² bulk component divided by that of the C sp² surface component. Neighbouring Gaussians overlap and trade area, so treat R as good to about 10 %, not as a precise number. A fit with no sp² surface area gives no R.</w:t>
      </w:r>
    </w:p>
    <w:p>
      <w:r>
        <w:t>Number of layers. The beam geometry and the electron mean free path are not recorded in the instrument files, so nothing is assumed: enter the mean free path λ (nm) and the angles of the incident beam and of the emitted electrons to the surface normal. The button λ from TPP-2M at the elastic peak fills in the TPP-2M value for the average matrix at the elastic-peak energy; it is not specific to carbon and gives 4.1 nm at 2 keV, whereas the 6.5 nm information depth of Stobinski et al. at 2 keV, 0° in and 35° out corresponds to 3.1 nm. The layer distance (0.335 nm), the R of graphite (4.2) and the information-depth percentage (99) can also be changed.</w:t>
      </w:r>
    </w:p>
    <w:p>
      <w:r>
        <w:t>The estimate takes one layer to have R = 0 and graphite R = 4.2, with the bulk signal growing as 1 − exp(−z / (λ cos α_out)) below the first layer, and graphite being the thickness the information depth reaches. That closed form is a reading of the curve in Fig. 7 of their paper, which they do not write as an equation. With their geometry it gives 7.9 and 4.1 layers for their R of 2.72 and 1.55; they state 8 and 4. An R at or above the graphite value gives “N layers or more”. It is a calibration to one graphite reference and one model, so quote it with the geometry used.</w:t>
      </w:r>
    </w:p>
    <w:p>
      <w:r>
        <w:t>The fit is drawn on the plot (the two sp² components filled, the sum over the background, R in the corner), stored in the workbook and added to the metadata: REELS loss fit, REELS π loss, REELS C sp² surface loss, REELS sp² bulk / sp² surface (R) and, once a geometry is entered, REELS layers (estimate). A refit keeps the geometry you entered.</w:t>
      </w:r>
    </w:p>
    <w:p>
      <w:pPr>
        <w:jc w:val="center"/>
      </w:pPr>
      <w:r>
        <w:drawing>
          <wp:inline xmlns:a="http://schemas.openxmlformats.org/drawingml/2006/main" xmlns:pic="http://schemas.openxmlformats.org/drawingml/2006/picture">
            <wp:extent cx="5976000" cy="3452800"/>
            <wp:docPr id="14" name="Picture 14"/>
            <wp:cNvGraphicFramePr>
              <a:graphicFrameLocks noChangeAspect="1"/>
            </wp:cNvGraphicFramePr>
            <a:graphic>
              <a:graphicData uri="http://schemas.openxmlformats.org/drawingml/2006/picture">
                <pic:pic>
                  <pic:nvPicPr>
                    <pic:cNvPr id="0" name="fig_lossfit.png"/>
                    <pic:cNvPicPr/>
                  </pic:nvPicPr>
                  <pic:blipFill>
                    <a:blip r:embed="rId23"/>
                    <a:stretch>
                      <a:fillRect/>
                    </a:stretch>
                  </pic:blipFill>
                  <pic:spPr>
                    <a:xfrm>
                      <a:off x="0" y="0"/>
                      <a:ext cx="5976000" cy="3452800"/>
                    </a:xfrm>
                    <a:prstGeom prst="rect"/>
                  </pic:spPr>
                </pic:pic>
              </a:graphicData>
            </a:graphic>
          </wp:inline>
        </w:drawing>
      </w:r>
    </w:p>
    <w:p>
      <w:pPr>
        <w:jc w:val="center"/>
      </w:pPr>
      <w:r>
        <w:rPr>
          <w:i/>
          <w:sz w:val="20"/>
        </w:rPr>
        <w:t>Figure 27. A REELS loss region fitted with the Gaussians of Stobinski et al.: the two sp² components that make R are filled.</w:t>
      </w:r>
    </w:p>
    <w:p/>
    <w:p>
      <w:pPr>
        <w:pStyle w:val="Heading2"/>
      </w:pPr>
      <w:r>
        <w:t>REELS π / (σ+π) ratio and an sp² fraction</w:t>
      </w:r>
    </w:p>
    <w:p>
      <w:r>
        <w:t>The REELS π / (σ+π) ratio tab measures the area of the π loss over the area of the σ + π loss, the quantity the HarwellXPS REELS analysis reports. The windows start as that analysis uses them: π 3.5–8.0 eV and σ + π 10.0–35.0 eV of energy loss, two separate windows. Each area is taken above a straight line between the window’s first and last points; each end of the line is the mean of 3 channels centred on that end point (so the channel just outside the window counts), and the area is the trapezoid sum. The loss zero is each spectrum’s own elastic peak, found as the maximum refined by a parabola. Windows and end-point channels can be changed and are stored with the result. The areas and ratios agree with those stored in an XPSView project for six REELS spectra to about one part in a million.</w:t>
      </w:r>
    </w:p>
    <w:p>
      <w:r>
        <w:t>Measure this spectrum measures the one selected; Measure every spectrum in the list measures every ticked spectrum with the same windows, each at its own elastic peak, and lists the areas, the ratio and the sp² fraction in a table. How much do the windows matter? moves each window limit by ±0.5 eV and shows how the ratio changes.</w:t>
      </w:r>
    </w:p>
    <w:p>
      <w:r>
        <w:t>The ratio is not an sp² percentage. It depends on the windows, the beam energy and the geometry, so on its own it compares spectra measured together. For a fraction, measure HOPG, which is all sp², and diamond, which has no π component, in the same way. Select the HOPG spectrum and press Use this spectrum as HOPG (= 1); do the same for diamond with Use this spectrum as diamond (= 0). Both buttons measure the spectrum again with the windows shown. The sp² fraction of any other spectrum is then (R − R_diamond) / (R_HOPG − R_diamond), with the diamond term 0 if no diamond is stored. One HOPG and one diamond are kept for the workbook.</w:t>
      </w:r>
    </w:p>
    <w:p>
      <w:r>
        <w:t>Nothing is assumed about the reference. It must come from your own spectra, or you can type a HOPG ratio with a note of its source; a typed number is marked as typed and carries no windows, so it is used without checking them. A reference measured with other windows or end-point channels than a spectrum is not used for it, and the dialog and the metadata say so. A difference of more than 1 % between the elastic-peak energies of a spectrum and its reference is noted, because it means the beam energy was not the same; the geometry cannot be checked, so keep it the same.</w:t>
      </w:r>
    </w:p>
    <w:p>
      <w:r>
        <w:t>A negative π area (no peak above the background, as expected for diamond within the noise), a σ + π area that is not positive, which leaves no ratio, and a fraction outside 0–1.15 are flagged and never clipped. The result is drawn on the plot (both windows shaded, each background dashed, the ratio and the fraction), saved in the workbook and added to the metadata as REELS π / (σ+π) ratio, windows and notes, and REELS sp² fraction.</w:t>
      </w:r>
    </w:p>
    <w:p>
      <w:pPr>
        <w:jc w:val="center"/>
      </w:pPr>
      <w:r>
        <w:drawing>
          <wp:inline xmlns:a="http://schemas.openxmlformats.org/drawingml/2006/main" xmlns:pic="http://schemas.openxmlformats.org/drawingml/2006/picture">
            <wp:extent cx="5976000" cy="3452800"/>
            <wp:docPr id="15" name="Picture 15"/>
            <wp:cNvGraphicFramePr>
              <a:graphicFrameLocks noChangeAspect="1"/>
            </wp:cNvGraphicFramePr>
            <a:graphic>
              <a:graphicData uri="http://schemas.openxmlformats.org/drawingml/2006/picture">
                <pic:pic>
                  <pic:nvPicPr>
                    <pic:cNvPr id="0" name="fig_piratio.png"/>
                    <pic:cNvPicPr/>
                  </pic:nvPicPr>
                  <pic:blipFill>
                    <a:blip r:embed="rId24"/>
                    <a:stretch>
                      <a:fillRect/>
                    </a:stretch>
                  </pic:blipFill>
                  <pic:spPr>
                    <a:xfrm>
                      <a:off x="0" y="0"/>
                      <a:ext cx="5976000" cy="3452800"/>
                    </a:xfrm>
                    <a:prstGeom prst="rect"/>
                  </pic:spPr>
                </pic:pic>
              </a:graphicData>
            </a:graphic>
          </wp:inline>
        </w:drawing>
      </w:r>
    </w:p>
    <w:p>
      <w:pPr>
        <w:jc w:val="center"/>
      </w:pPr>
      <w:r>
        <w:rPr>
          <w:i/>
          <w:sz w:val="20"/>
        </w:rPr>
        <w:t>Figure 28. The π / (σ+π) ratio: the two windows, the straight background under each, the ratio and the sp² fraction against a HOPG reference.</w:t>
      </w:r>
    </w:p>
    <w:p/>
    <w:p>
      <w:r>
        <w:t>Peak positions and warnings. Each result also records where the π and the σ + π peak lie (the maximum of the curve above its straight line, refined by a parabola through it and its neighbours) and two warnings that HarwellXPS gives: the curve dips more than 20 % of its peak height below the line, which means the straight line may be in the wrong place, and the maximum sits on the edge of its window, so the window rather than the feature sets the position. They reproduce HarwellXPS’s own warnings on its six REELS spectra.</w:t>
      </w:r>
    </w:p>
    <w:p>
      <w:r>
        <w:t>The table, the CSV and the report. Every spectrum with a measured ratio is listed in one table: file, sample, spectrum, elastic peak, the two peak positions, the two areas, the ratio, the sp² fraction, the windows and end-point channels, the HOPG and diamond ratios used and the notes. File → Export REELS ratios → CSV… and the Save the table (CSV)… button in the dialog write it as a CSV in the layout of HarwellXPS’s reels_pi_sigma_ratio.csv with those columns added; a value that is not there is blank, never zero, and nothing is clipped. The hand-over package can include the same CSV.</w:t>
      </w:r>
    </w:p>
    <w:p>
      <w:r>
        <w:t>A REELS analysis section in the Report generator puts the table into the PDF, the slides and the Word document, after the Quantification. A † marks a sample with a problem, and under the table come the windows, the references, the reminder that the ratio is not an sp² percentage, and one line for each kind of problem naming the spectra it applies to. The section appears only once a ratio has been measured, is on in the Everything and Customer report presets, and is off in a report saved before it existed.</w:t>
      </w:r>
    </w:p>
    <w:p>
      <w:r>
        <w:t>Not included: published reference values for HOPG or other carbons. The XPSView data lists graphite 0.145 and amorphous carbon 0.134 from a paper whose citation is not known, so no value is built in.</w:t>
      </w:r>
    </w:p>
    <w:p>
      <w:r>
        <w:br w:type="page"/>
      </w:r>
    </w:p>
    <w:p>
      <w:pPr>
        <w:pStyle w:val="Heading1"/>
      </w:pPr>
      <w:r>
        <w:t>22. Avantage experiments, projects,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p>
      <w:r>
        <w:t>The window can be resized and has a zoom / pan toolbar. A drag or click on the map adds an area (a rectangle or an ellipse, up to six, each in its own colour); a table lists each area's pixels, size, mean counts per pixel and mean relative to the whole map for the energy window on show, and can be saved as CSV. The View box switches between the single map, an element grid, an RGB composite (three elements as red, green and blue, each on its own range) and a ratio map (first element over the second, blank where the second is mostly noise); only elements on the same pixels combine, and nothing is corrected for sensitivity, so a composite shows where an element is, not how much.</w:t>
      </w:r>
    </w:p>
    <w:p>
      <w:r>
        <w:t>Mosaic lays other SnapMaps of the same core level beside the current one by their stage positions, with one energy window and one colour range for all; where maps overlap the mean is shown and where none reaches the canvas is blank. Only the stage positions are used: there is no rotation or image registration.</w:t>
      </w:r>
    </w:p>
    <w:p>
      <w:r>
        <w:t>Save writes a picture (PNG, PDF or SVG, drawn for paper) with the map and spectrum or the map alone. Save as a figure for the report stores the view in the workbook's figures, so it appears in the PDF report, the slides, Word, the data browser page and the hand-over ZIP; Recall in the Figures dialog reopens the viewer on it.</w:t>
      </w:r>
    </w:p>
    <w:p>
      <w:r>
        <w:t>Fit components splits one core level into its chemical states, for example Si 2p into elemental Si and Si oxide. The Fit tab starts the components from the tables (Si 2p: Si at 99.4 eV and SiO2 at 103.4 eV, Al 2p: Al at 72.5 eV and Al2O3 at 75.0 eV, as spin-orbit doublets; another level: its main line, moved to the measured peak; Add offers the level’s states from the chemical-state table or your own). Each position may move ±0.5 eV (±0.8 eV for the Al states; changeable per component) and a position or width that reaches its limit is reported. Fit spectrum refines the positions and widths on the mean spectrum of the whole map or of one of your areas; the maps are then computed from those shapes for every pixel at once.</w:t>
      </w:r>
    </w:p>
    <w:p>
      <w:r>
        <w:t>The fit window is the background limits and the range the peaks are fitted to. The spectrum shows all the data with the window shaded and its two edges labelled. Drag the window or either edge on the spectrum, or type the limits in the Fit tab, and the peaks refit to the data inside it; untick Refit when the window moves to move it without refitting (the maps are still redrawn from the present peak shapes). A refit takes a few seconds on a large map. End avg is the number of channels at each end of the window that set the Shirley background step, and Reset returns to the automatic window. A window with too few channels for the components is refused, and one that reaches a part of the spectrum the model does not describe (such as a rising background beyond the peaks) shows up as a large reduced chi-square.</w:t>
      </w:r>
    </w:p>
    <w:p>
      <w:r>
        <w:t>The view shows one map per component (counts summed over the component, not a rate and not corrected for sensitivity, so it is not an atomic percent), the fraction map of the components you choose (the oxide by default; blank where there is too little signal), the reduced chi-square map, which shows where the model fails, and the fit over the spectrum with each component’s share. The results table gives each component’s position, width and area with uncertainties, and your areas report the mean fraction inside them. The reduced chi-square is scaled by the noise of the map (Avantage SnapMap values are scaled counts), so about 1 means the model explains the data to the noise. A level with several states (C 1s, O 1s) needs more components than the one it starts with. A state that is strong in only a few pixels is found because the shapes are also refined on the pixels where it is strongest, and the background can only rise towards high binding energy, so it cannot take the intensity of a small peak on the low side. If one map holds different forms of a state in different places, the whole-map fit cannot describe it: the table says so (reduced chi-square far above 1), and the answer is to draw an area on one form and use Fit on that area. The fit deliberately considers only the elemental and the fully oxidised state (Si and SiO2 for Si 2p) and ignores suboxides: image data are too noisy to separate intermediate states, so a feature between the two is taken up by the nearer component or shows in the residual map.</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29. The SnapMap viewer: the element map and the selected area's spectrum.</w:t>
      </w:r>
    </w:p>
    <w:p/>
    <w:p>
      <w:pPr>
        <w:pStyle w:val="Heading2"/>
      </w:pPr>
      <w:r>
        <w:t>Kratos imaging maps</w:t>
      </w:r>
    </w:p>
    <w:p>
      <w:r>
        <w:t>Stigmatic images from a Kratos .kal or .dset (one single-energy image per object) are rows marked “(Map)” in the tree, with the binding energy and the image size. They have no spectrum and so no tick box. Double-click one (or press Enter) to open the image viewer: it steps through the maps of the same stage position (a focus series) or the same energy, with a slider and filters, colour choices, a shared colour range and smoothing (for the picture only), an area, and a plot of the mean counts or the sharpness against stage height, time or frame number. Saving writes the picture, the pixel values or the table. The field of view is not stored in the file: a measured value is used and every scale bar says approx. The images also have their own tab in the HTML data browser and their own pages in the reports.</w:t>
      </w:r>
    </w:p>
    <w:p>
      <w:pPr>
        <w:pStyle w:val="Heading2"/>
      </w:pPr>
      <w:r>
        <w:t>Avantage projects (.vgp)</w:t>
      </w:r>
    </w:p>
    <w:p>
      <w:r>
        <w:t>An Avantage project holds a session’s peak fits. Open the .vgp file, or the folder that holds just one, and the spectra it uses (its .DATA folder of .VGD files) load together, named after the project, with the project’s fitted peaks and backgrounds drawn through the same Fit row, Quantification tab, reports and exports as a CasaXPS fit. The fit is read, never refitted. Peaks follow Avantage’s Gaussian/Lorentzian shape (product or sum, told from the stored areas) with its tail, and the background is Linear, Shirley or Avantage’s Smart background, a Shirley that never rises above the data. A fit that does not describe its spectrum says so on the plot, and a file with two traces takes the fit on the trace it matches.</w:t>
      </w:r>
    </w:p>
    <w:p>
      <w:r>
        <w:t>Quantification uses Avantage’s own numbers, which this application reproduces to the digits printed in Avantage’s Peak Table (checked on S 2p, Te 3d, Mn 2p and C 1s fits). Each peak’s area (Avantage’s Area (P)) is divided by its sensitivity factor from the library the project names (ALTHERMO1 is Thermo’s adjusted Scofield set for a monochromated Al source), by the transmission function at the peak (unless the file says it was already removed, which gives TXFN 1.00) and by an energy term: the TPP-2M mean free path for ALTHERMO1, a power of the kinetic energy (KE^0.6) for the Scofield libraries. A peak typed in by hand, such as a satellite, carries Avantage’s default factor of 1 and is counted as Avantage counts it.</w:t>
      </w:r>
    </w:p>
    <w:p>
      <w:r>
        <w:t>Details lists what each fit constrained under “Peak constraints (Avantage)”: a peak’s position tied to another’s with an offset and limits, its height or FWHM as a ratio of another’s, and FWHM limits. A doublet’s “area ratio” constraint is a height ratio in the file, which is the area ratio only while both peaks have the same width. Constraints are shown, not applied, and a layout the reader does not know is left out rather than guessed.</w:t>
      </w:r>
    </w:p>
    <w:p>
      <w:pPr>
        <w:pStyle w:val="Heading2"/>
      </w:pPr>
      <w:r>
        <w:t>Older and converted Avantage files</w:t>
      </w:r>
    </w:p>
    <w:p>
      <w:r>
        <w:t>Files from older Avantage versions, such as the sample data converted from VG Eclipse, read as before and now also give their scan count, the source (“Al Kα, non-monochromated” when the file says so), the Avantage version and the file they were converted from. Their recorded times are not labelled UTC, because those files do not say which zone they use, and the transmission coefficients they hold are neither applied nor claimed, since the file does not say whether the counts already have the function removed. A SnapMap’s scan count, and so its counting time, is read too.</w:t>
      </w:r>
    </w:p>
    <w:p>
      <w:pPr>
        <w:pStyle w:val="Heading2"/>
      </w:pPr>
      <w:r>
        <w:t>Angle-resolved (tilt) series</w:t>
      </w:r>
    </w:p>
    <w:p>
      <w:r>
        <w:t>A series recorded at several stage tilts is recognised: each spectrum shows its Sample tilt, the Z axis of a waterfall or heatmap can be Tilt, the methods text says the spectra are angle-resolved, and the series is not mistaken for a sputter depth profile. The take-off angle and any intensity correction are not inferred.</w:t>
      </w:r>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NEXAFS scans</w:t>
      </w:r>
    </w:p>
    <w:p>
      <w:r>
        <w:t>A NEXAFS scan from a beamline (Diamond B07 / GDA, as a NeXus .nxs file) opens as one spectrum per detector channel, photon energy against current, named by detector. Nothing is guessed: which channel is total electron yield or fluorescence yield is not in the file, so none is assumed, the energy axis is never converted to binding energy, and nothing is normalised until you ask.</w:t>
      </w:r>
    </w:p>
    <w:p>
      <w:pPr>
        <w:pStyle w:val="Heading2"/>
      </w:pPr>
      <w:r>
        <w:t>Ring-current scaling</w:t>
      </w:r>
    </w:p>
    <w:p>
      <w:r>
        <w:t>Tick Ring-current scaling (beside the view controls, or in the View menu) to scale every point to the mean ring current of its scan. It is off by default and saved in the workbook. The ring current’s unit is not recorded, so the signal is scaled to the mean rather than divided by the current (which would claim a unit), and a point whose ring current is zero is left blank. The plot, the exports, the reports and the HTML page all follow.</w:t>
      </w:r>
    </w:p>
    <w:p>
      <w:pPr>
        <w:pStyle w:val="Heading2"/>
      </w:pPr>
      <w:r>
        <w:t>Edge normalisation</w:t>
      </w:r>
    </w:p>
    <w:p>
      <w:r>
        <w:t>Tools → NEXAFS edge step… normalises a spectrum to its absorption edge, with two methods. Edge step is the usual one: a line (or a constant or a parabola) is fitted over a pre-edge window and subtracted, and the result is divided by the step at the edge energy E0 taken from a fit over a post-edge window, so the edge step becomes 1. Min–max follows a spreadsheet processing template: the pre-edge line is subtracted and the spectrum is scaled so its lowest point is 0 and its highest 1.</w:t>
      </w:r>
    </w:p>
    <w:p>
      <w:r>
        <w:t>The dialog proposes windows (the first few eV of the scan for the pre-edge, the last tenth for the post-edge, the steepest rise for E0) and shows them as “Not saved yet” until you choose Use for this spectrum, or Use for all listed, which applies the same energies to every listed spectrum they fit and names the others. A choice that cannot be applied (a window with too few points or outside the data, a pre-edge ending above E0, a zero step) is explained and the spectrum is left as it was. Each choice is saved per spectrum in the workbook and applied wherever the spectrum is drawn or exported; the metadata rows “Edge normalisation” and “Edge step” and one sentence of the methods text say what was done.</w:t>
      </w:r>
    </w:p>
    <w:p>
      <w:r>
        <w:t>Flatten the post-edge fits a line (or a constant or a parabola) to the normalised data over the post-edge window and removes its slope above E0, so the post-edge sits level at about 1 while the edge step stays 1; nothing below E0 changes. Dividing by the I0 monitor channel is not done, so a raw total-electron-yield spectrum still shows the dip of the beamline monitor at the carbon edge.</w:t>
      </w:r>
    </w:p>
    <w:p>
      <w:r>
        <w:br w:type="page"/>
      </w:r>
    </w:p>
    <w:p>
      <w:pPr>
        <w:pStyle w:val="Heading1"/>
      </w:pPr>
      <w:r>
        <w:t>25.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.nxs and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An Avantage project whose .VGD files have been moved loads the files it can find and names each missing one; keep the .vgp beside its .DATA folder.</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Ctrl+Shift+H</w:t>
            </w:r>
          </w:p>
        </w:tc>
        <w:tc>
          <w:tcPr>
            <w:tcW w:type="dxa" w:w="6576"/>
          </w:tcPr>
          <w:p>
            <w:r>
              <w:t>Fold or show the view options above the plot</w:t>
            </w:r>
          </w:p>
        </w:tc>
      </w:tr>
      <w:tr>
        <w:tc>
          <w:tcPr>
            <w:tcW w:type="dxa" w:w="2835"/>
          </w:tcPr>
          <w:p>
            <w:r>
              <w:t>Ctrl+S</w:t>
            </w:r>
          </w:p>
        </w:tc>
        <w:tc>
          <w:tcPr>
            <w:tcW w:type="dxa" w:w="6576"/>
          </w:tcPr>
          <w:p>
            <w:r>
              <w:t>Save the workbook</w:t>
            </w:r>
          </w:p>
        </w:tc>
      </w:tr>
      <w:tr>
        <w:tc>
          <w:tcPr>
            <w:tcW w:type="dxa" w:w="2835"/>
          </w:tcPr>
          <w:p>
            <w:r>
              <w:t>Ctrl+O / Ctrl+Shift+O</w:t>
            </w:r>
          </w:p>
        </w:tc>
        <w:tc>
          <w:tcPr>
            <w:tcW w:type="dxa" w:w="6576"/>
          </w:tcPr>
          <w:p>
            <w:r>
              <w:t>Open spectra files / a folder</w:t>
            </w:r>
          </w:p>
        </w:tc>
      </w:tr>
      <w:tr>
        <w:tc>
          <w:tcPr>
            <w:tcW w:type="dxa" w:w="2835"/>
          </w:tcPr>
          <w:p>
            <w:r>
              <w:t>Ctrl+E</w:t>
            </w:r>
          </w:p>
        </w:tc>
        <w:tc>
          <w:tcPr>
            <w:tcW w:type="dxa" w:w="6576"/>
          </w:tcPr>
          <w:p>
            <w:r>
              <w:t>Export spectra (choose regions and levels)</w:t>
            </w:r>
          </w:p>
        </w:tc>
      </w:tr>
      <w:tr>
        <w:tc>
          <w:tcPr>
            <w:tcW w:type="dxa" w:w="2835"/>
          </w:tcPr>
          <w:p>
            <w:r>
              <w:t>Ctrl+Q</w:t>
            </w:r>
          </w:p>
        </w:tc>
        <w:tc>
          <w:tcPr>
            <w:tcW w:type="dxa" w:w="6576"/>
          </w:tcPr>
          <w:p>
            <w:r>
              <w:t>Quit</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