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2C3E50"/>
          <w:sz w:val="80"/>
        </w:rPr>
        <w:t>eXPoSe SpectraDeck</w:t>
      </w:r>
    </w:p>
    <w:p>
      <w:pPr>
        <w:jc w:val="center"/>
      </w:pPr>
      <w:r>
        <w:rPr>
          <w:color w:val="808080"/>
          <w:sz w:val="40"/>
        </w:rPr>
        <w:t>User Manual</w:t>
      </w:r>
    </w:p>
    <w:p/>
    <w:p>
      <w:pPr>
        <w:jc w:val="center"/>
      </w:pPr>
      <w:r>
        <w:rPr>
          <w:color w:val="808080"/>
          <w:sz w:val="22"/>
        </w:rPr>
        <w:t>Covers version 1.2.0  ·  28 October 2026</w:t>
      </w:r>
    </w:p>
    <w:p/>
    <w:p/>
    <w:tbl>
      <w:tblPr>
        <w:tblStyle w:val="TableGrid"/>
        <w:tblW w:type="auto" w:w="0"/>
        <w:tblLayout w:type="fixed"/>
        <w:tblLook w:firstColumn="1" w:firstRow="1" w:lastColumn="0" w:lastRow="0" w:noHBand="0" w:noVBand="1" w:val="04A0"/>
      </w:tblPr>
      <w:tblGrid>
        <w:gridCol w:w="9412"/>
      </w:tblGrid>
      <w:tr>
        <w:trPr>
          <w:trHeight w:hRule="atLeast" w:val="3969"/>
        </w:trPr>
        <w:tc>
          <w:tcPr>
            <w:tcW w:type="dxa" w:w="9411"/>
            <w:shd w:val="clear" w:color="auto" w:fill="F2F2F2"/>
          </w:tcPr>
          <w:p>
            <w:pPr>
              <w:jc w:val="center"/>
            </w:pPr>
            <w:r>
              <w:rPr>
                <w:i/>
                <w:color w:val="808080"/>
              </w:rPr>
              <w:t>[ Insert your logo or a hero screenshot of the application here ]</w:t>
            </w:r>
          </w:p>
        </w:tc>
      </w:tr>
    </w:tbl>
    <w:p>
      <w:r>
        <w:br w:type="page"/>
      </w:r>
    </w:p>
    <w:p>
      <w:r>
        <w:rPr>
          <w:b/>
          <w:color w:val="2C3E50"/>
          <w:sz w:val="48"/>
        </w:rPr>
        <w:t>Table of Contents</w:t>
      </w:r>
    </w:p>
    <w:p/>
    <w:p>
      <w:r>
        <w:fldChar w:fldCharType="begin"/>
        <w:instrText xml:space="preserve">TOC \o "1-2" \h \z \u</w:instrText>
        <w:fldChar w:fldCharType="separate"/>
        <w:t>Right-click here and choose “Update Field” (or press F9) to build the table of contents.</w:t>
        <w:fldChar w:fldCharType="end"/>
      </w:r>
    </w:p>
    <w:p>
      <w:r>
        <w:br w:type="page"/>
      </w:r>
    </w:p>
    <w:p>
      <w:pPr>
        <w:pStyle w:val="Heading1"/>
      </w:pPr>
      <w:r>
        <w:t>1. Introduction</w:t>
      </w:r>
    </w:p>
    <w:p>
      <w:r>
        <w:t>eXPoSe SpectraDeck is a desktop application for browsing, plotting and exporting X-ray Photoelectron Spectroscopy (XPS) data from a wide range of instruments and file formats. Open one or several files at once, tick the spectra you want to see, and they are plotted immediately — spectra of the same core level are stacked with a vertical offset on a shared panel, so they are easy to compare. Metadata, camera images and a stage map sit alongside the plot; spectra can be exported to CSV, VAMAS (ISO 14976) or NeXus, and a complete experiment can be turned into a PDF report, a PowerPoint deck, a Word document, a hand-over ZIP, or a self-contained offline HTML browser for a customer or collaborator. CasaXPS, KherveFitting and Thermo Avantage peak fits in your files are displayed, quantified and reported, never edited.</w:t>
      </w:r>
    </w:p>
    <w:p>
      <w:pPr>
        <w:pStyle w:val="Heading2"/>
      </w:pPr>
      <w:r>
        <w:t>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t>Files are recognised by their content, not only by their file extension, so a renamed file still opens correctly. Every format that can be opened can also be exported to CSV, VAMAS or NeXus, which makes the application a converter between instrument formats (for example, Thermo .avg to VAMAS).</w:t>
      </w:r>
    </w:p>
    <w:p>
      <w:r>
        <w:t>Binding energy is calculated as photon energy minus kinetic energy (BE = hν − KE) whenever the photon energy is known, and is not charge-corrected until you apply a calibration (Chapter 11).</w:t>
      </w:r>
    </w:p>
    <w:p>
      <w:r>
        <w:br w:type="page"/>
      </w:r>
    </w:p>
    <w:p>
      <w:pPr>
        <w:pStyle w:val="Heading1"/>
      </w:pPr>
      <w:r>
        <w:t>2. Installation and quick start</w:t>
      </w:r>
    </w:p>
    <w:p>
      <w:pPr>
        <w:pStyle w:val="Heading2"/>
      </w:pPr>
      <w:r>
        <w:t>Windows</w:t>
      </w:r>
    </w:p>
    <w:p>
      <w:pPr>
        <w:pStyle w:val="ListBullet"/>
      </w:pPr>
      <w:r>
        <w:t>Install Python 3.8 or later from python.org and tick “Add python.exe to PATH” during setup.</w:t>
      </w:r>
    </w:p>
    <w:p>
      <w:pPr>
        <w:pStyle w:val="ListBullet"/>
      </w:pPr>
      <w:r>
        <w:t>Double-click run.bat.</w:t>
      </w:r>
    </w:p>
    <w:p>
      <w:pPr>
        <w:pStyle w:val="Heading2"/>
      </w:pPr>
      <w:r>
        <w:t>macOS / Linux</w:t>
      </w:r>
    </w:p>
    <w:p>
      <w:r>
        <w:t>In a terminal, in the application folder:</w:t>
      </w:r>
    </w:p>
    <w:p>
      <w:pPr>
        <w:pStyle w:val="ListBullet"/>
      </w:pPr>
      <w:r>
        <w:t>chmod +x run.sh   (first time only)</w:t>
      </w:r>
    </w:p>
    <w:p>
      <w:pPr>
        <w:pStyle w:val="ListBullet"/>
      </w:pPr>
      <w:r>
        <w:t>./run.sh</w:t>
      </w:r>
    </w:p>
    <w:p>
      <w:r>
        <w:t>On the first launch the application builds an isolated environment in ./.venv and installs the required packages (an internet connection is needed once). Later launches start immediately, and nothing is installed into your system Python. The launcher re-installs automatically if its requirements change.</w:t>
      </w:r>
    </w:p>
    <w:p>
      <w:pPr>
        <w:pStyle w:val="Heading2"/>
      </w:pPr>
      <w:r>
        <w:t>Manual launch</w:t>
      </w:r>
    </w:p>
    <w:p>
      <w:r>
        <w:t>For more control, run the launcher directly: python launch.py (python3 launch.py on macOS/Linux).</w:t>
      </w:r>
    </w:p>
    <w:tbl>
      <w:tblPr>
        <w:tblStyle w:val="TableGrid"/>
        <w:tblW w:type="auto" w:w="0"/>
        <w:tblLayout w:type="fixed"/>
        <w:tblLook w:firstColumn="1" w:firstRow="1" w:lastColumn="0" w:lastRow="0" w:noHBand="0" w:noVBand="1" w:val="04A0"/>
      </w:tblPr>
      <w:tblGrid>
        <w:gridCol w:w="4706"/>
        <w:gridCol w:w="4706"/>
      </w:tblGrid>
      <w:tr>
        <w:tc>
          <w:tcPr>
            <w:tcW w:type="dxa" w:w="1984"/>
            <w:shd w:val="clear" w:color="auto" w:fill="2C3E50"/>
          </w:tcPr>
          <w:p>
            <w:r/>
            <w:r>
              <w:rPr>
                <w:b/>
                <w:color w:val="FFFFFF"/>
              </w:rPr>
              <w:t>Flag</w:t>
            </w:r>
          </w:p>
        </w:tc>
        <w:tc>
          <w:tcPr>
            <w:tcW w:type="dxa" w:w="7427"/>
            <w:shd w:val="clear" w:color="auto" w:fill="2C3E50"/>
          </w:tcPr>
          <w:p>
            <w:r/>
            <w:r>
              <w:rPr>
                <w:b/>
                <w:color w:val="FFFFFF"/>
              </w:rPr>
              <w:t>Effect</w:t>
            </w:r>
          </w:p>
        </w:tc>
      </w:tr>
      <w:tr>
        <w:tc>
          <w:tcPr>
            <w:tcW w:type="dxa" w:w="1984"/>
          </w:tcPr>
          <w:p>
            <w:r>
              <w:t>(no flag)</w:t>
            </w:r>
          </w:p>
        </w:tc>
        <w:tc>
          <w:tcPr>
            <w:tcW w:type="dxa" w:w="7427"/>
          </w:tcPr>
          <w:p>
            <w:r>
              <w:t>Create the environment if needed, then start the application.</w:t>
            </w:r>
          </w:p>
        </w:tc>
      </w:tr>
      <w:tr>
        <w:tc>
          <w:tcPr>
            <w:tcW w:type="dxa" w:w="1984"/>
          </w:tcPr>
          <w:p>
            <w:r>
              <w:t>--setup-only</w:t>
            </w:r>
          </w:p>
        </w:tc>
        <w:tc>
          <w:tcPr>
            <w:tcW w:type="dxa" w:w="7427"/>
          </w:tcPr>
          <w:p>
            <w:r>
              <w:t>Build the environment but do not start the application.</w:t>
            </w:r>
          </w:p>
        </w:tc>
      </w:tr>
      <w:tr>
        <w:tc>
          <w:tcPr>
            <w:tcW w:type="dxa" w:w="1984"/>
          </w:tcPr>
          <w:p>
            <w:r>
              <w:t>--reinstall</w:t>
            </w:r>
          </w:p>
        </w:tc>
        <w:tc>
          <w:tcPr>
            <w:tcW w:type="dxa" w:w="7427"/>
          </w:tcPr>
          <w:p>
            <w:r>
              <w:t>Rebuild the environment from scratch.</w:t>
            </w:r>
          </w:p>
        </w:tc>
      </w:tr>
      <w:tr>
        <w:tc>
          <w:tcPr>
            <w:tcW w:type="dxa" w:w="1984"/>
          </w:tcPr>
          <w:p>
            <w:r>
              <w:t>--check</w:t>
            </w:r>
          </w:p>
        </w:tc>
        <w:tc>
          <w:tcPr>
            <w:tcW w:type="dxa" w:w="7427"/>
          </w:tcPr>
          <w:p>
            <w:r>
              <w:t>Report environment/tkinter/application-file status and exit.</w:t>
            </w:r>
          </w:p>
        </w:tc>
      </w:tr>
    </w:tbl>
    <w:p/>
    <w:p>
      <w:pPr>
        <w:pStyle w:val="Heading2"/>
      </w:pPr>
      <w:r>
        <w:t>Portable Windows build (no Python needed)</w:t>
      </w:r>
    </w:p>
    <w:p>
      <w:r>
        <w:t>Each release on the project’s GitHub page carries SpectraDeck-&lt;version&gt;-win64.zip. Unzip it anywhere and double-click SpectraDeck.exe: the Python runtime and every library are inside, and nothing is installed. Settings are kept in your user folder as usual; put an empty file called portable.txt next to the exe to keep them in a data folder beside it instead, so a USB stick carries its own settings. The exe is not code-signed, so Windows may say “Windows protected your PC”: choose More info, then Run anyway.</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splash screen shown while the application starts. ]</w:t>
            </w:r>
          </w:p>
          <w:p/>
        </w:tc>
      </w:tr>
    </w:tbl>
    <w:p>
      <w:pPr>
        <w:jc w:val="center"/>
      </w:pPr>
      <w:r>
        <w:rPr>
          <w:i/>
          <w:sz w:val="20"/>
        </w:rPr>
        <w:t>Figure 1. The splash screen shown while the application starts.</w:t>
      </w:r>
    </w:p>
    <w:p/>
    <w:p>
      <w:r>
        <w:br w:type="page"/>
      </w:r>
    </w:p>
    <w:p>
      <w:pPr>
        <w:pStyle w:val="Heading1"/>
      </w:pPr>
      <w:r>
        <w:t>3. The workspace window</w:t>
      </w:r>
    </w:p>
    <w:p>
      <w:r>
        <w:t>eXPoSe SpectraDeck is a single window: a file tree on the left, a large plot in the middle, and an information column on the right (a Details panel above an Images / Stage map notebook). Drag any splitter to resize; sizes are remembered between sessions.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workspace window: file tree, plot area and information column. ]</w:t>
            </w:r>
          </w:p>
          <w:p/>
        </w:tc>
      </w:tr>
    </w:tbl>
    <w:p>
      <w:pPr>
        <w:jc w:val="center"/>
      </w:pPr>
      <w:r>
        <w:rPr>
          <w:i/>
          <w:sz w:val="20"/>
        </w:rPr>
        <w:t>Figure 2. The workspace window: file tree, plot area and information column.</w:t>
      </w:r>
    </w:p>
    <w:p/>
    <w:p>
      <w:pPr>
        <w:pStyle w:val="Heading2"/>
      </w:pPr>
      <w:r>
        <w:t>The ribbon</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Tab</w:t>
            </w:r>
          </w:p>
        </w:tc>
        <w:tc>
          <w:tcPr>
            <w:tcW w:type="dxa" w:w="7710"/>
            <w:shd w:val="clear" w:color="auto" w:fill="2C3E50"/>
          </w:tcPr>
          <w:p>
            <w:r/>
            <w:r>
              <w:rPr>
                <w:b/>
                <w:color w:val="FFFFFF"/>
              </w:rPr>
              <w:t>Contains</w:t>
            </w:r>
          </w:p>
        </w:tc>
      </w:tr>
      <w:tr>
        <w:tc>
          <w:tcPr>
            <w:tcW w:type="dxa" w:w="1701"/>
          </w:tcPr>
          <w:p>
            <w:r>
              <w:t>Home</w:t>
            </w:r>
          </w:p>
        </w:tc>
        <w:tc>
          <w:tcPr>
            <w:tcW w:type="dxa" w:w="7710"/>
          </w:tcPr>
          <w:p>
            <w:r>
              <w:t>Open, folder, recent files, workbook, save, export (CSV, VAMAS, NeXus, regions and levels, metadata), save plot image.</w:t>
            </w:r>
          </w:p>
        </w:tc>
      </w:tr>
      <w:tr>
        <w:tc>
          <w:tcPr>
            <w:tcW w:type="dxa" w:w="1701"/>
          </w:tcPr>
          <w:p>
            <w:r>
              <w:t>Analyse</w:t>
            </w:r>
          </w:p>
        </w:tc>
        <w:tc>
          <w:tcPr>
            <w:tcW w:type="dxa" w:w="7710"/>
          </w:tcPr>
          <w:p>
            <w:r>
              <w:t>Calibrate, identify peaks, ISS/REELS, sputter settings, instrument settings (NeXus), SnapMap, rename, notes.</w:t>
            </w:r>
          </w:p>
        </w:tc>
      </w:tr>
      <w:tr>
        <w:tc>
          <w:tcPr>
            <w:tcW w:type="dxa" w:w="1701"/>
          </w:tcPr>
          <w:p>
            <w:r>
              <w:t>Report</w:t>
            </w:r>
          </w:p>
        </w:tc>
        <w:tc>
          <w:tcPr>
            <w:tcW w:type="dxa" w:w="7710"/>
          </w:tcPr>
          <w:p>
            <w:r>
              <w:t>Details, figures, Report generator, report PDF, slides, Word, hand-over ZIP, HTML browser, PDF previews.</w:t>
            </w:r>
          </w:p>
        </w:tc>
      </w:tr>
      <w:tr>
        <w:tc>
          <w:tcPr>
            <w:tcW w:type="dxa" w:w="1701"/>
          </w:tcPr>
          <w:p>
            <w:r>
              <w:t>View</w:t>
            </w:r>
          </w:p>
        </w:tc>
        <w:tc>
          <w:tcPr>
            <w:tcW w:type="dxa" w:w="7710"/>
          </w:tcPr>
          <w:p>
            <w:r>
              <w:t>Theme, plot style, side panels, focus mode, expand/collapse, untick all.</w:t>
            </w:r>
          </w:p>
        </w:tc>
      </w:tr>
    </w:tbl>
    <w:p/>
    <w:p>
      <w:r>
        <w:t>Every ribbon button is a shortcut for a menu command — the menu bar still holds everything — and buttons that need spectra are dimmed until a file is open. Double-click a tab, or use the arrow at the right, to fold the ribbon down to just the tab row and give the plot the height back; the chosen tab and fold state are remembered. Beside About sit small launcher buttons for CasaXPS and KherveFitting (Chapter 4).</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tabbed ribbon: Home, Analyse, Report and View. ]</w:t>
            </w:r>
          </w:p>
          <w:p/>
        </w:tc>
      </w:tr>
    </w:tbl>
    <w:p>
      <w:pPr>
        <w:jc w:val="center"/>
      </w:pPr>
      <w:r>
        <w:rPr>
          <w:i/>
          <w:sz w:val="20"/>
        </w:rPr>
        <w:t>Figure 3. The tabbed ribbon: Home, Analyse, Report and View.</w:t>
      </w:r>
    </w:p>
    <w:p/>
    <w:p>
      <w:pPr>
        <w:pStyle w:val="Heading2"/>
      </w:pPr>
      <w:r>
        <w:t>Splash and About</w:t>
      </w:r>
    </w:p>
    <w:p>
      <w:r>
        <w:t>A splash screen shows while the program starts; click it, or press Esc, to close it early. Help → About shows the version, a link to the project page, the libraries in use, and a Copy version info button for bug reports.</w:t>
      </w:r>
    </w:p>
    <w:p>
      <w:r>
        <w:br w:type="page"/>
      </w:r>
    </w:p>
    <w:p>
      <w:pPr>
        <w:pStyle w:val="Heading1"/>
      </w:pPr>
      <w:r>
        <w:t>4. Opening and organising files</w:t>
      </w:r>
    </w:p>
    <w:p>
      <w:r>
        <w:t>Use Open → Spectra files… to load several files of any supported format, or Open → Folder… to load every recognised file in a folder. Each file becomes a top-level node in the tree. A folder from a Thermo Avantage experiment, or its .VGX file, opens as one experiment instead (see Chapter 22).</w:t>
      </w:r>
    </w:p>
    <w:p>
      <w:r>
        <w:t>If a selection or folder holds the same dataset as both .avg and .vgd (Avantage), or as both .dset and .kal (Kratos Vision2 and its DumpDataset text), you are asked which to import (.avg and .dset are pre-selected). Tick “Remember my choice” to stop being asked about that pair of formats; File → “Forget my choice for duplicate files” brings the question back. A folder’s own index-only .dset, which holds no spectra, is skipped.</w:t>
      </w:r>
    </w:p>
    <w:p>
      <w:r>
        <w:t>File → Close all files unloads every file and resets the workbook. It does not ask for confirmation and cannot be undone, so save first (Ctrl+S) if you want to keep your ticks and annotations.</w:t>
      </w:r>
    </w:p>
    <w:p>
      <w:r>
        <w:t>Every node that holds spectra has a tick box — click it, or press Space. Ticking a sample, region folder or whole file ticks everything beneath it; a partly-ticked parent shows a bar. Filter narrows the tree without losing your ticks. Right-click a row to tick or untick a whole subtree, export from there down, or remove a file. On a single region, “Tick every … region (all samples)” and “Untick every … region (all samples)” act on every region of that name in every loaded file — tick all the C 1s, then untick the odd ones out, to build a report figure. CasaXPS and KherveFitting have a small icon button beside About. If the program is not found automatically, the first click asks you to show where it is and remembers the answer; right-click a button to point at another copy or hide it (Tools → Open / Locate / Show the … button has the same).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file tree with several spectra ticked and their colour swatches. ]</w:t>
            </w:r>
          </w:p>
          <w:p/>
        </w:tc>
      </w:tr>
    </w:tbl>
    <w:p>
      <w:pPr>
        <w:jc w:val="center"/>
      </w:pPr>
      <w:r>
        <w:rPr>
          <w:i/>
          <w:sz w:val="20"/>
        </w:rPr>
        <w:t>Figure 4. The file tree with several spectra ticked and their colour swatches.</w:t>
      </w:r>
    </w:p>
    <w:p/>
    <w:p>
      <w:pPr>
        <w:pStyle w:val="Heading2"/>
      </w:pPr>
      <w:r>
        <w:t>What kind of run a spectrum belongs to</w:t>
      </w:r>
    </w:p>
    <w:p>
      <w:r>
        <w:t>Details shows a Block type row where the instrument file says what kind of measurement a spectrum belongs to. It is only what the file records, never a guess about purpose, and it changes nothing about how the spectrum is named or grouped. A Kratos ESCApe file writes each run behind a class name, so its spectra are labelled acquisition sequence, depth profile, angle-resolved, etch or repeat-sequence run. For Thermo Avantage the levels of one file are a depth profile when they have etch times, an angle-resolved series when they are stage tilts, and otherwise an iteration series (the same scan repeated in succession); a file of several analysis points is a multi-point scan.</w:t>
      </w:r>
    </w:p>
    <w:p>
      <w:r>
        <w:t>A Kratos .experiment is split by these runs. Each run gets its own sample, read from the run’s own analysis-location record; depth-profile levels are numbered within their run and the etch times come from the run’s own duration record, not an assumed step; a sample measured in several runs becomes one sample per run (“&lt;sample&gt; – Depth profile 2”, “– Sequence 1”), so plots, levels and quantification do not pool them. Notes, shifts and markers you entered before the split are carried over to the new samples. Spectra written before a file’s first run marker stay unlabelled, and a .kal or .dset has no run structure and is not split.</w:t>
      </w:r>
    </w:p>
    <w:p>
      <w:pPr>
        <w:pStyle w:val="Heading2"/>
      </w:pPr>
      <w:r>
        <w:t>XPSView and HarwellXPS sessions (.xpsv)</w:t>
      </w:r>
    </w:p>
    <w:p>
      <w:r>
        <w:t>A .xpsv session opens like any other file: its samples, spectra, pictures and CasaXPS fits appear in the tree, and everything the application does with spectra works on them. Only the experiment inside the session is read (report sections, figures and workflow are not), and nothing is written back. What the reader corrects, because the file does it differently: a charge correction CasaXPS had applied is undone on the stored axis and kept as the spectrum’s calibration, so fit positions stay where CasaXPS had them; a photon energy that was edited by hand is replaced by the value the other spectra of the same source store, with a warning; the stored per-sweep and summed dwell times are told apart; and sample names that repeat (a spot sequence, its locations and a depth profile of one sample) are made unique. A spectrum acquired with an ion beam (ISS, REELS) is kept on a kinetic-energy axis with no photon energy. XPSView keeps one sweep count for all levels of a depth profile, so each level is given that count and one warning says the true figure needs the instrument file.</w:t>
      </w:r>
    </w:p>
    <w:p>
      <w:r>
        <w:br w:type="page"/>
      </w:r>
    </w:p>
    <w:p>
      <w:pPr>
        <w:pStyle w:val="Heading1"/>
      </w:pPr>
      <w:r>
        <w:t>5. Plotting spectra</w:t>
      </w:r>
    </w:p>
    <w:p>
      <w:r>
        <w:t>Ticked spectra are plotted at once, and the tree is the legend. Spectra sharing an element name (every C 1s, across samples and files) are drawn on one panel, stacked with a vertical offset; other elements get their own panels. A ticked box in the tree is a swatch in the trace's colour: one colour per file when several files are loaded, otherwise one per sample, and a fading ramp of one hue for long stacks such as depth profiles. Stacked panels have no y-axis ticks — a scale bar gives the intensity scale, and each trace is labelled at its right-hand end. The selected spectrum is drawn heavier than the rest.</w:t>
      </w:r>
    </w:p>
    <w:p>
      <w:pPr>
        <w:pStyle w:val="Heading2"/>
      </w:pPr>
      <w:r>
        <w:t>View controls</w:t>
      </w:r>
    </w:p>
    <w:tbl>
      <w:tblPr>
        <w:tblStyle w:val="TableGrid"/>
        <w:tblW w:type="auto" w:w="0"/>
        <w:tblLayout w:type="fixed"/>
        <w:tblLook w:firstColumn="1" w:firstRow="1" w:lastColumn="0" w:lastRow="0" w:noHBand="0" w:noVBand="1" w:val="04A0"/>
      </w:tblPr>
      <w:tblGrid>
        <w:gridCol w:w="4706"/>
        <w:gridCol w:w="4706"/>
      </w:tblGrid>
      <w:tr>
        <w:tc>
          <w:tcPr>
            <w:tcW w:type="dxa" w:w="1701"/>
            <w:shd w:val="clear" w:color="auto" w:fill="2C3E50"/>
          </w:tcPr>
          <w:p>
            <w:r/>
            <w:r>
              <w:rPr>
                <w:b/>
                <w:color w:val="FFFFFF"/>
              </w:rPr>
              <w:t>Control</w:t>
            </w:r>
          </w:p>
        </w:tc>
        <w:tc>
          <w:tcPr>
            <w:tcW w:type="dxa" w:w="7710"/>
            <w:shd w:val="clear" w:color="auto" w:fill="2C3E50"/>
          </w:tcPr>
          <w:p>
            <w:r/>
            <w:r>
              <w:rPr>
                <w:b/>
                <w:color w:val="FFFFFF"/>
              </w:rPr>
              <w:t>What it does</w:t>
            </w:r>
          </w:p>
        </w:tc>
      </w:tr>
      <w:tr>
        <w:tc>
          <w:tcPr>
            <w:tcW w:type="dxa" w:w="1701"/>
          </w:tcPr>
          <w:p>
            <w:r>
              <w:t>Group by</w:t>
            </w:r>
          </w:p>
        </w:tc>
        <w:tc>
          <w:tcPr>
            <w:tcW w:type="dxa" w:w="7710"/>
          </w:tcPr>
          <w:p>
            <w:r>
              <w:t>Element name; Energy range (spectra whose ranges overlap by at least half share a panel); or Element, per sample / per file.</w:t>
            </w:r>
          </w:p>
        </w:tc>
      </w:tr>
      <w:tr>
        <w:tc>
          <w:tcPr>
            <w:tcW w:type="dxa" w:w="1701"/>
          </w:tcPr>
          <w:p>
            <w:r>
              <w:t>Normalise</w:t>
            </w:r>
          </w:p>
        </w:tc>
        <w:tc>
          <w:tcPr>
            <w:tcW w:type="dxa" w:w="7710"/>
          </w:tcPr>
          <w:p>
            <w:r>
              <w:t>None; Max = 1; Area = 1; or At cursor — click a panel to set an energy, and every spectrum in it is scaled to match there; or Range — the intensity at a low- and a high-binding-energy point, the lower of the two becoming 0 and the higher 1 (the data's own ends until you click a panel to move the nearer end point; right-click to reset).</w:t>
            </w:r>
          </w:p>
        </w:tc>
      </w:tr>
      <w:tr>
        <w:tc>
          <w:tcPr>
            <w:tcW w:type="dxa" w:w="1701"/>
          </w:tcPr>
          <w:p>
            <w:r>
              <w:t>Offset</w:t>
            </w:r>
          </w:p>
        </w:tc>
        <w:tc>
          <w:tcPr>
            <w:tcW w:type="dxa" w:w="7710"/>
          </w:tcPr>
          <w:p>
            <w:r>
              <w:t>The gap between stacked traces (0 overlays them). Reverse stack flips the order.</w:t>
            </w:r>
          </w:p>
        </w:tc>
      </w:tr>
      <w:tr>
        <w:tc>
          <w:tcPr>
            <w:tcW w:type="dxa" w:w="1701"/>
          </w:tcPr>
          <w:p>
            <w:r>
              <w:t>View</w:t>
            </w:r>
          </w:p>
        </w:tc>
        <w:tc>
          <w:tcPr>
            <w:tcW w:type="dxa" w:w="7710"/>
          </w:tcPr>
          <w:p>
            <w:r>
              <w:t>Stack (the default); Waterfall 3D (a rotatable 3-D plot); Heatmap (intensity as colour, with a colour bar); Fit (one trace with its CasaXPS fit forced on, Chapter 20); or Fit stack (up to eight traces, each with its own fit, offset like a stack).</w:t>
            </w:r>
          </w:p>
        </w:tc>
      </w:tr>
      <w:tr>
        <w:tc>
          <w:tcPr>
            <w:tcW w:type="dxa" w:w="1701"/>
          </w:tcPr>
          <w:p>
            <w:r>
              <w:t>Z axis</w:t>
            </w:r>
          </w:p>
        </w:tc>
        <w:tc>
          <w:tcPr>
            <w:tcW w:type="dxa" w:w="7710"/>
          </w:tcPr>
          <w:p>
            <w:r>
              <w:t>What the trace axis shows in a waterfall or heatmap: Auto (etch time, else etch level, else acquisition time, else trace order), or pick one.</w:t>
            </w:r>
          </w:p>
        </w:tc>
      </w:tr>
      <w:tr>
        <w:tc>
          <w:tcPr>
            <w:tcW w:type="dxa" w:w="1701"/>
          </w:tcPr>
          <w:p>
            <w:r>
              <w:t>Colour</w:t>
            </w:r>
          </w:p>
        </w:tc>
        <w:tc>
          <w:tcPr>
            <w:tcW w:type="dxa" w:w="7710"/>
          </w:tcPr>
          <w:p>
            <w:r>
              <w:t>Theme default, or a named scale (Viridis, Plasma, Magma, …) applied to the heatmap and spread across a stack's traces; Reverse flips it. Black (single colour) draws every trace in one colour (black; the theme's text colour on a dark plot) — pair it with the Data points preset for black points.</w:t>
            </w:r>
          </w:p>
        </w:tc>
      </w:tr>
      <w:tr>
        <w:tc>
          <w:tcPr>
            <w:tcW w:type="dxa" w:w="1701"/>
          </w:tcPr>
          <w:p>
            <w:r>
              <w:t>Axes</w:t>
            </w:r>
          </w:p>
        </w:tc>
        <w:tc>
          <w:tcPr>
            <w:tcW w:type="dxa" w:w="7710"/>
          </w:tcPr>
          <w:p>
            <w:r>
              <w:t>Colour of the axis lines, ticks and labels: Theme default, Black, White, or a colour you choose.</w:t>
            </w:r>
          </w:p>
        </w:tc>
      </w:tr>
      <w:tr>
        <w:tc>
          <w:tcPr>
            <w:tcW w:type="dxa" w:w="1701"/>
          </w:tcPr>
          <w:p>
            <w:r>
              <w:t>Energy</w:t>
            </w:r>
          </w:p>
        </w:tc>
        <w:tc>
          <w:tcPr>
            <w:tcW w:type="dxa" w:w="7710"/>
          </w:tcPr>
          <w:p>
            <w:r>
              <w:t>Binding or Kinetic (KE = hν − BE, when the photon energy is known); KE top axis mirrors binding energy along the top as kinetic energy.</w:t>
            </w:r>
          </w:p>
        </w:tc>
      </w:tr>
    </w:tbl>
    <w:p/>
    <w:p>
      <w:pPr>
        <w:pStyle w:val="Heading2"/>
      </w:pPr>
      <w:r>
        <w:t>Different views on one page</w:t>
      </w:r>
    </w:p>
    <w:p>
      <w:r>
        <w:t>The view row sets the default for every panel, but any panel can differ: right-click it and choose View, Normalise, Offset, Z axis, Fit layers or Other possible lines for that panel alone, so one page can hold a waterfall, a stack and a fitted spectrum. Identify peaks… is on the same menu, “Use the page’s view” takes a panel back to the default, and View → Reset panel views clears every override. A panel is identified by its group label, so use “Element, per sample” grouping to give two samples’ C 1s different views. Panel views are saved in the workbook and in each saved figure, so reports show them as you set them.</w:t>
      </w:r>
    </w:p>
    <w:p>
      <w:pPr>
        <w:pStyle w:val="Heading2"/>
      </w:pPr>
      <w:r>
        <w:t>Zooming, and saving what you see as a figure</w:t>
      </w:r>
    </w:p>
    <w:p>
      <w:r>
        <w:t>The magnifier and hand buttons under the plot zoom and pan; the tool stays switched on after a zoom until you press its button again. With it on, a drag still zooms or pans, but a plain click now works as usual: right-click opens the panel menu (so Identify peaks… and Other possible lines can be used on the zoomed view) and, with Identify open, a left click adds the element line at the clicked energy.</w:t>
      </w:r>
    </w:p>
    <w:p>
      <w:r>
        <w:t>To keep what you are looking at, right-click the plot and choose “Save this view as a figure…” (right-click outside the panels, or use Workbook → “Save current view as a figure…”, if you prefer the menu). Give it a name and it appears in Workbook → Figures…, where you can add a caption. A figure remembers the zoom of each panel you had zoomed, so the report, the slides, the Word document and the hand-over images show that energy range; panels you did not zoom keep their full range, and a figure saved before this existed keeps whatever zoom is on screen when you recall it.</w:t>
      </w:r>
    </w:p>
    <w:p>
      <w:pPr>
        <w:jc w:val="center"/>
      </w:pPr>
      <w:r>
        <w:drawing>
          <wp:inline xmlns:a="http://schemas.openxmlformats.org/drawingml/2006/main" xmlns:pic="http://schemas.openxmlformats.org/drawingml/2006/picture">
            <wp:extent cx="5976000" cy="3452800"/>
            <wp:docPr id="1" name="Picture 1"/>
            <wp:cNvGraphicFramePr>
              <a:graphicFrameLocks noChangeAspect="1"/>
            </wp:cNvGraphicFramePr>
            <a:graphic>
              <a:graphicData uri="http://schemas.openxmlformats.org/drawingml/2006/picture">
                <pic:pic>
                  <pic:nvPicPr>
                    <pic:cNvPr id="0" name="fig_stack.png"/>
                    <pic:cNvPicPr/>
                  </pic:nvPicPr>
                  <pic:blipFill>
                    <a:blip r:embed="rId10"/>
                    <a:stretch>
                      <a:fillRect/>
                    </a:stretch>
                  </pic:blipFill>
                  <pic:spPr>
                    <a:xfrm>
                      <a:off x="0" y="0"/>
                      <a:ext cx="5976000" cy="3452800"/>
                    </a:xfrm>
                    <a:prstGeom prst="rect"/>
                  </pic:spPr>
                </pic:pic>
              </a:graphicData>
            </a:graphic>
          </wp:inline>
        </w:drawing>
      </w:r>
    </w:p>
    <w:p>
      <w:pPr>
        <w:jc w:val="center"/>
      </w:pPr>
      <w:r>
        <w:rPr>
          <w:i/>
          <w:sz w:val="20"/>
        </w:rPr>
        <w:t>Figure 5. A stack view: several spectra of one core level, offset vertically.</w:t>
      </w:r>
    </w:p>
    <w:p/>
    <w:p>
      <w:pPr>
        <w:jc w:val="center"/>
      </w:pPr>
      <w:r>
        <w:drawing>
          <wp:inline xmlns:a="http://schemas.openxmlformats.org/drawingml/2006/main" xmlns:pic="http://schemas.openxmlformats.org/drawingml/2006/picture">
            <wp:extent cx="5976000" cy="3984000"/>
            <wp:docPr id="2" name="Picture 2"/>
            <wp:cNvGraphicFramePr>
              <a:graphicFrameLocks noChangeAspect="1"/>
            </wp:cNvGraphicFramePr>
            <a:graphic>
              <a:graphicData uri="http://schemas.openxmlformats.org/drawingml/2006/picture">
                <pic:pic>
                  <pic:nvPicPr>
                    <pic:cNvPr id="0" name="fig_waterfall.png"/>
                    <pic:cNvPicPr/>
                  </pic:nvPicPr>
                  <pic:blipFill>
                    <a:blip r:embed="rId11"/>
                    <a:stretch>
                      <a:fillRect/>
                    </a:stretch>
                  </pic:blipFill>
                  <pic:spPr>
                    <a:xfrm>
                      <a:off x="0" y="0"/>
                      <a:ext cx="5976000" cy="3984000"/>
                    </a:xfrm>
                    <a:prstGeom prst="rect"/>
                  </pic:spPr>
                </pic:pic>
              </a:graphicData>
            </a:graphic>
          </wp:inline>
        </w:drawing>
      </w:r>
    </w:p>
    <w:p>
      <w:pPr>
        <w:jc w:val="center"/>
      </w:pPr>
      <w:r>
        <w:rPr>
          <w:i/>
          <w:sz w:val="20"/>
        </w:rPr>
        <w:t>Figure 6. A Waterfall 3D view of a depth profile.</w:t>
      </w:r>
    </w:p>
    <w:p/>
    <w:p>
      <w:pPr>
        <w:jc w:val="center"/>
      </w:pPr>
      <w:r>
        <w:drawing>
          <wp:inline xmlns:a="http://schemas.openxmlformats.org/drawingml/2006/main" xmlns:pic="http://schemas.openxmlformats.org/drawingml/2006/picture">
            <wp:extent cx="5976000" cy="3452800"/>
            <wp:docPr id="3" name="Picture 3"/>
            <wp:cNvGraphicFramePr>
              <a:graphicFrameLocks noChangeAspect="1"/>
            </wp:cNvGraphicFramePr>
            <a:graphic>
              <a:graphicData uri="http://schemas.openxmlformats.org/drawingml/2006/picture">
                <pic:pic>
                  <pic:nvPicPr>
                    <pic:cNvPr id="0" name="fig_heatmap.png"/>
                    <pic:cNvPicPr/>
                  </pic:nvPicPr>
                  <pic:blipFill>
                    <a:blip r:embed="rId12"/>
                    <a:stretch>
                      <a:fillRect/>
                    </a:stretch>
                  </pic:blipFill>
                  <pic:spPr>
                    <a:xfrm>
                      <a:off x="0" y="0"/>
                      <a:ext cx="5976000" cy="3452800"/>
                    </a:xfrm>
                    <a:prstGeom prst="rect"/>
                  </pic:spPr>
                </pic:pic>
              </a:graphicData>
            </a:graphic>
          </wp:inline>
        </w:drawing>
      </w:r>
    </w:p>
    <w:p>
      <w:pPr>
        <w:jc w:val="center"/>
      </w:pPr>
      <w:r>
        <w:rPr>
          <w:i/>
          <w:sz w:val="20"/>
        </w:rPr>
        <w:t>Figure 7. A Heatmap view of a depth profile, with its colour bar.</w:t>
      </w:r>
    </w:p>
    <w:p/>
    <w:p>
      <w:r>
        <w:br w:type="page"/>
      </w:r>
    </w:p>
    <w:p>
      <w:pPr>
        <w:pStyle w:val="Heading1"/>
      </w:pPr>
      <w:r>
        <w:t>6. Paging, scrolling and playback</w:t>
      </w:r>
    </w:p>
    <w:p>
      <w:r>
        <w:t>Panels per page chooses how many panels are shown at once (Auto, 1, 2, 4, 6, 9, 12 or 16); scroll between pages with the mouse wheel, the scrollbar beside the plot, Page Up / Page Down, Home / End, or the Prev / Next buttons.</w:t>
      </w:r>
    </w:p>
    <w:p>
      <w:r>
        <w:t>Traces per panel is either All or a fixed number. For a long stack (say a 200-level depth profile) each panel then shows a window of that many traces; slide the window with Shift + mouse wheel or the Traces slider under the plot.</w:t>
      </w:r>
    </w:p>
    <w:p>
      <w:r>
        <w:t>The ▶ Play button, or the ◀ / → keys, step through the traces in view — set Traces to 1 to step through a depth profile one level at a time.</w:t>
      </w:r>
    </w:p>
    <w:p>
      <w:r>
        <w:br w:type="page"/>
      </w:r>
    </w:p>
    <w:p>
      <w:pPr>
        <w:pStyle w:val="Heading1"/>
      </w:pPr>
      <w:r>
        <w:t>7. Selecting a spectrum: Details, Images, Stage map and Quantification</w:t>
      </w:r>
    </w:p>
    <w:p>
      <w:r>
        <w:t>Ticking a row plots it; selecting a row (rather than ticking it) fills the Details panel with the sample, acquisition and region information (all of it copyable), and the Images / Stage map tabs, which only appear when the loaded files carry images or stage positions.</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Details panel for a selected spectrum. ]</w:t>
            </w:r>
          </w:p>
          <w:p/>
        </w:tc>
      </w:tr>
    </w:tbl>
    <w:p>
      <w:pPr>
        <w:jc w:val="center"/>
      </w:pPr>
      <w:r>
        <w:rPr>
          <w:i/>
          <w:sz w:val="20"/>
        </w:rPr>
        <w:t>Figure 8. The Details panel for a selected spectrum.</w:t>
      </w:r>
    </w:p>
    <w:p/>
    <w:p>
      <w:pPr>
        <w:pStyle w:val="Heading2"/>
      </w:pPr>
      <w:r>
        <w:t>Quantification tab</w:t>
      </w:r>
    </w:p>
    <w:p>
      <w:r>
        <w:t>When a ticked region carries a peak fit (CasaXPS, KherveFitting or Avantage), a Quantification tab joins the Images and Stage map tabs. It gives atomic percent from the fit areas divided by sensitivity factors (RSF), for the samples you have ticked, using the same code as the PDF, the slides and the HTML page, so the numbers agree everywhere. Nothing is guessed: a region with no RSF or no area is left out and the tab says why.</w:t>
      </w:r>
    </w:p>
    <w:p>
      <w:pPr>
        <w:pStyle w:val="ListBullet"/>
      </w:pPr>
      <w:r>
        <w:t>Sample chooses which sample to show. A survey and the ticked high-resolution regions are never one total: each sample’s survey fits appear as their own “&lt;sample&gt; (survey)” entry.</w:t>
      </w:r>
    </w:p>
    <w:p>
      <w:pPr>
        <w:pStyle w:val="ListBullet"/>
      </w:pPr>
      <w:r>
        <w:t>Each fitted region has a tick box. A region fitted in more than one spectrum is counted once by default (the dedicated scan, not the survey), and an element fitted from more than one line (Pt 4f and Pt 4d, or Ti 2p and Ti 3p) counts from one only, so it is not counted twice: its standard line where there is one (Pt 4f rather than Pt 4d), otherwise the line with the highest sensitivity factor. Tick another line of the element and the first is unticked for you, so switching from Pt 4f to Pt 4d is one click; untick a region to leave it out. Reset ticks returns to the automatic choice. Your ticks are saved in the workbook and followed by the reports and the HTML page.</w:t>
      </w:r>
    </w:p>
    <w:p>
      <w:pPr>
        <w:pStyle w:val="ListBullet"/>
      </w:pPr>
      <w:r>
        <w:t>RSF chooses the sensitivity-factor fallback for a region whose file records none (off by default): the file’s own factor is always used first, then the factors of its components, and only then a reference table (Scofield, Kratos Axis F 1s, or Scofield with a TPP-2M or KE^0.6 mean-free-path correction). A substituted value is always labelled as such, never shown as though the file had recorded it.</w:t>
      </w:r>
    </w:p>
    <w:p>
      <w:pPr>
        <w:pStyle w:val="ListBullet"/>
      </w:pPr>
      <w:r>
        <w:t>Show picks a depth level; a sample with two or more levels opens on a depth profile (by element, by chemical state, or state share).</w:t>
      </w:r>
    </w:p>
    <w:p>
      <w:pPr>
        <w:pStyle w:val="ListBullet"/>
      </w:pPr>
      <w:r>
        <w:t>Divide out the transmission function applies the file’s transmission (only offered when the file has one; off by default).</w:t>
      </w:r>
    </w:p>
    <w:p>
      <w:pPr>
        <w:pStyle w:val="ListBullet"/>
      </w:pPr>
      <w:r>
        <w:t>Use CasaXPS’s own numbers (on by default, available when CasaXPS’s own quantification export, Quant_regions.txt / Quant_survey.txt, was found beside the data) takes the percentages from that export instead of recomputing, renormalised over the regions that count. A region the CasaXPS file has no row for is left out with a note rather than filled with a different calculation. Untick the box to recompute everything.</w:t>
      </w:r>
    </w:p>
    <w:p>
      <w:pPr>
        <w:pStyle w:val="ListBullet"/>
      </w:pPr>
      <w:r>
        <w:t>Export CSV… writes the table with your ticks applied (UTF-8 with a BOM, so Excel shows α and µ correctly). The neighbouring CasaXPS quant tab, shown when such export files were found, lists them exactly as CasaXPS wrote them.</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Quantification tab: regions with tick boxes, RSF and the recomputed or CasaXPS atomic percent. ]</w:t>
            </w:r>
          </w:p>
          <w:p/>
        </w:tc>
      </w:tr>
    </w:tbl>
    <w:p>
      <w:pPr>
        <w:jc w:val="center"/>
      </w:pPr>
      <w:r>
        <w:rPr>
          <w:i/>
          <w:sz w:val="20"/>
        </w:rPr>
        <w:t>Figure 9. The Quantification tab: regions with tick boxes, RSF and the recomputed or CasaXPS atomic percent.</w:t>
      </w:r>
    </w:p>
    <w:p/>
    <w:p>
      <w:r>
        <w:t>Selecting several rows at once (or a whole sample or file) tidies Details: a setting that is the same for all of them, such as photon energy or lens mode, is stated once; settings that differ are grouped by value. The metadata PDF (Chapter 14) does the same for each sample.</w:t>
      </w:r>
    </w:p>
    <w:p>
      <w:pPr>
        <w:pStyle w:val="Heading2"/>
      </w:pPr>
      <w:r>
        <w:t>Repeat groups</w:t>
      </w:r>
    </w:p>
    <w:p>
      <w:r>
        <w:t>Samples that repeat one another (several locations on one sample, or a spot measured again) can be put in a repeat group. The Quantification tab then shows, after the samples, “Group: &lt;name&gt; (n samples)” with the mean, the sample standard deviation (n − 1) and n of the atomic percent of each region and of each chemical state, next to the individual values. Nothing is requantified: each member is read as its own finished composition, so a region counted once, your ticks and CasaXPS’s own numbers all apply. A state a member lacks is left out of that member and shown in bold; a depth profile and a member with nothing quantified are left out with a note. A group is your statement: Groups… opens the editor (new, rename, kind = locations, repeats or samples, a member checklist, and Suggest from names, which proposes groups from sample labels and never overwrites yours; a survey and its high-resolution regions are grouped apart, as they are quantified apart). Renaming a sample takes it out of its group. Export CSV in that view writes every group in the layout of XPSView’s quantification_repeat_groups.csv.</w:t>
      </w:r>
    </w:p>
    <w:p>
      <w:r>
        <w:t>Groups are saved in the workbook and appear in the PDF, slides and Word report (a “Repeat groups” section, one table each, with a column per member up to four, else the individual values are left to the CSV), in the interactive data browser (read-only: groups are made in the application, not on the page, and the page’s own ticks apply) and in the hand-over ZIP, whose Quantification section writes quantification.csv (one row per fitted region and per chemical state, each sample and level its own total) and quantification_repeat_groups.csv.</w:t>
      </w:r>
    </w:p>
    <w:p>
      <w:pPr>
        <w:pStyle w:val="Heading2"/>
      </w:pPr>
      <w:r>
        <w:t>Holder photo calibration</w:t>
      </w:r>
    </w:p>
    <w:p>
      <w:r>
        <w:t>Overlaying analysis positions on a photo needs a one-time Calibrate… step. The calibration panel works live: tick Flip X / Flip Y, nudge the markers with the arrow keys, rotate or spread them, or type exact values (image centre in millimetres, millimetres per pixel, rotation) and watch the markers move onto the samples. The calibration is saved in the workbook, and the last one used seeds new workbooks. Markers carry a halo so their names stay readable over any photo; click a marker, on the photo or on the Stage map, to select that sample in the tree.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calibration panel, with markers placed on the sample photo. ]</w:t>
            </w:r>
          </w:p>
          <w:p/>
        </w:tc>
      </w:tr>
    </w:tbl>
    <w:p>
      <w:pPr>
        <w:jc w:val="center"/>
      </w:pPr>
      <w:r>
        <w:rPr>
          <w:i/>
          <w:sz w:val="20"/>
        </w:rPr>
        <w:t>Figure 10. The calibration panel, with markers placed on the sample photo.</w:t>
      </w:r>
    </w:p>
    <w:p/>
    <w:p>
      <w:r>
        <w:br w:type="page"/>
      </w:r>
    </w:p>
    <w:p>
      <w:pPr>
        <w:pStyle w:val="Heading1"/>
      </w:pPr>
      <w:r>
        <w:t>8. Colour themes and layout</w:t>
      </w:r>
    </w:p>
    <w:p>
      <w:r>
        <w:t>Six colour themes are built in: Light (the default), Dark (the plot sits recessed below the chrome, like an instrument screen), Midnight, Solarized Light, High contrast, and System (the native operating-system look). Change the theme from the Theme box or View → Colour theme; your choice is remembered. Every theme has its own colour-blind-safe data palette and meets WCAG AA text contrast. PDFs always print on white.</w:t>
      </w:r>
    </w:p>
    <w:p>
      <w:r>
        <w:t>The Files and Details buttons in the toolbar show or hide the side panels, and Focus (F11) hides both so the plot fills the window. Hover any control for a short explanation.</w:t>
      </w:r>
    </w:p>
    <w:p>
      <w:r>
        <w:t>The rows of view controls above the plot (group, normalise, offset, view, energy, colour, fit and style) fold away when you want the height back: choose View → Show view options, press Ctrl+Shift+H, or double-click the header above them. A one-line summary of the current view stays in their place while they are folded. The choice is remembered between sessions; it is layout, so it is not part of a saved figure.</w:t>
      </w:r>
    </w:p>
    <w:p>
      <w:pPr>
        <w:jc w:val="center"/>
      </w:pPr>
      <w:r>
        <w:drawing>
          <wp:inline xmlns:a="http://schemas.openxmlformats.org/drawingml/2006/main" xmlns:pic="http://schemas.openxmlformats.org/drawingml/2006/picture">
            <wp:extent cx="5976000" cy="2609772"/>
            <wp:docPr id="4" name="Picture 4"/>
            <wp:cNvGraphicFramePr>
              <a:graphicFrameLocks noChangeAspect="1"/>
            </wp:cNvGraphicFramePr>
            <a:graphic>
              <a:graphicData uri="http://schemas.openxmlformats.org/drawingml/2006/picture">
                <pic:pic>
                  <pic:nvPicPr>
                    <pic:cNvPr id="0" name="fig_theme_compare.png"/>
                    <pic:cNvPicPr/>
                  </pic:nvPicPr>
                  <pic:blipFill>
                    <a:blip r:embed="rId13"/>
                    <a:stretch>
                      <a:fillRect/>
                    </a:stretch>
                  </pic:blipFill>
                  <pic:spPr>
                    <a:xfrm>
                      <a:off x="0" y="0"/>
                      <a:ext cx="5976000" cy="2609772"/>
                    </a:xfrm>
                    <a:prstGeom prst="rect"/>
                  </pic:spPr>
                </pic:pic>
              </a:graphicData>
            </a:graphic>
          </wp:inline>
        </w:drawing>
      </w:r>
    </w:p>
    <w:p>
      <w:pPr>
        <w:jc w:val="center"/>
      </w:pPr>
      <w:r>
        <w:rPr>
          <w:i/>
          <w:sz w:val="20"/>
        </w:rPr>
        <w:t>Figure 11. The same experiment shown in the Light and Dark themes.</w:t>
      </w:r>
    </w:p>
    <w:p/>
    <w:p>
      <w:r>
        <w:br w:type="page"/>
      </w:r>
    </w:p>
    <w:p>
      <w:pPr>
        <w:pStyle w:val="Heading1"/>
      </w:pPr>
      <w:r>
        <w:t>9. PDF preview and saving plot images</w:t>
      </w:r>
    </w:p>
    <w:p>
      <w:r>
        <w:t>Preview spectra and Preview metadata show the PDF inside the application, with page navigation, zoom, Save as…, and Open in viewer. The spectra preview lets you change panels per page, portrait or landscape orientation, and whether to use only the traces currently in view; Save as… writes exactly what you see. Without PyMuPDF installed, the PDF opens in your default viewer instead.</w:t>
      </w:r>
    </w:p>
    <w:p>
      <w:r>
        <w:t>Save plot image… writes the current view as PNG, JPG, SVG or PDF, at any size and resolution. Right-click a panel to save just that panel.</w:t>
      </w:r>
    </w:p>
    <w:p>
      <w:r>
        <w:br w:type="page"/>
      </w:r>
    </w:p>
    <w:p>
      <w:pPr>
        <w:pStyle w:val="Heading1"/>
      </w:pPr>
      <w:r>
        <w:t>10. Exporting spectra</w:t>
      </w:r>
    </w:p>
    <w:p>
      <w:r>
        <w:t>Export → Ticked spectra to CSV / VAMAS / NeXus writes exactly what is currently ticked. Export → Regions and levels… opens a dialog (pre-set to your ticks) for picking individual regions or depth-profile levels. VAMAS output is CasaXPS-compatible: a kinetic-energy abscissa with Intensity and the spectrometer's Transmission function as a corresponding variable (toggle it off in the dialog if you do not want it).</w:t>
      </w:r>
    </w:p>
    <w:p>
      <w:r>
        <w:t>Two VAMAS options in the Export dialog are for CasaXPS users. “Restore the transmission function as CasaXPS does for Avantage data” (only for K-Alpha, NEXSA and HYPULSE files; other instruments’ files are unchanged) writes counts and transmission the way CasaXPS’s own import of Avantage data does. “Write CasaXPS’s escape-depth correction” adds the escape-depth type CasaXPS uses in its quantification (none, KE exponent, EAL, IMFP, CH film, TPP-2M or Layer) with its exponent or overlayer thickness, so CasaXPS applies that mean-free-path correction when it reads the file; left unticked, none is written. VAMAS files also carry the acquisition date, the work function and the X-ray beam width where the source file recorded them.</w:t>
      </w:r>
    </w:p>
    <w:p>
      <w:r>
        <w:t>Export → Metadata to CSV / PDF saves the per-sample acquisition metadata; with several files open, select a row belonging to the file you want first.</w:t>
      </w:r>
    </w:p>
    <w:p>
      <w:pPr>
        <w:pStyle w:val="Heading2"/>
      </w:pPr>
      <w:r>
        <w:t>NeXus (.nxs)</w:t>
      </w:r>
    </w:p>
    <w:p>
      <w:r>
        <w:t>Export → Ticked spectra to NeXus… (also in the File menu, the tree’s “Export from here down”, the Export dialog and the hand-over ZIP) writes an NXxps file, which needs the optional h5py library. There is one entry per spectrum, holding the instrument and source settings, the energy axis, the binding-energy correction, the transmission function and any CasaXPS fit (peaks, background, envelope, residual and reduced chi-square), plus the full metadata as a note. Fields the instrument file never recorded are left out, never invented.</w:t>
      </w:r>
    </w:p>
    <w:p>
      <w:r>
        <w:t>Tools → Instrument settings (NeXus)… (Analyse ▸ Instrument) lets you state, once per file, what instrument files rarely record: X-ray source type, energy-dispersion and collection-column schemes, detector and amplifier type, analyser scan mode, work function, energy resolution, operator and affiliation, and the UTC offset of the recorded times. What you enter wins over what the file says, is kept in the workbook, and lets the .nxs pass strict NXxps validation; a field you leave unset is simply left out.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Instrument settings (NeXus) dialog. ]</w:t>
            </w:r>
          </w:p>
          <w:p/>
        </w:tc>
      </w:tr>
    </w:tbl>
    <w:p>
      <w:pPr>
        <w:jc w:val="center"/>
      </w:pPr>
      <w:r>
        <w:rPr>
          <w:i/>
          <w:sz w:val="20"/>
        </w:rPr>
        <w:t>Figure 12. The Instrument settings (NeXus) dialog.</w:t>
      </w:r>
    </w:p>
    <w:p/>
    <w:p>
      <w:r>
        <w:br w:type="page"/>
      </w:r>
    </w:p>
    <w:p>
      <w:pPr>
        <w:pStyle w:val="Heading1"/>
      </w:pPr>
      <w:r>
        <w:t>11. Editing, calibration and element labels</w:t>
      </w:r>
    </w:p>
    <w:p>
      <w:r>
        <w:t>Nothing in this chapter changes the instrument files: your edits are stored beside the data, in the workbook, and applied when you plot, export or build a report.</w:t>
      </w:r>
    </w:p>
    <w:p>
      <w:pPr>
        <w:pStyle w:val="Heading2"/>
      </w:pPr>
      <w:r>
        <w:t>Rename and notes</w:t>
      </w:r>
    </w:p>
    <w:p>
      <w:r>
        <w:t>Press F2, or right-click a sample or region, to give it a display name; the original name is always kept and shown in Details. Notes… adds free text to a sample or region.</w:t>
      </w:r>
    </w:p>
    <w:p>
      <w:pPr>
        <w:pStyle w:val="Heading2"/>
      </w:pPr>
      <w:r>
        <w:t>Edit metadata</w:t>
      </w:r>
    </w:p>
    <w:p>
      <w:r>
        <w:t>Double-click a value in Details (or right-click it for Edit value, Add field, or Reset) to change it. Edited values carry a pencil mark and flow into the PDF, PowerPoint and CSV exports.</w:t>
      </w:r>
    </w:p>
    <w:p>
      <w:pPr>
        <w:pStyle w:val="Heading2"/>
      </w:pPr>
      <w:r>
        <w:t>Calibrate binding energy</w:t>
      </w:r>
    </w:p>
    <w:p>
      <w:r>
        <w:t>Tools → Calibrate binding energy…: pick a reference spectrum, find the peak (or click it on the plot), choose the reference (C 1s 284.8 eV, Au 4f7/2 83.95 eV, Ag, Cu, a Fermi edge, or your own value), and apply the shift to a region, a sample, or a whole file. Plots, CSV and VAMAS exports use the shifted energies (VAMAS carries the shift through the source energy, so kinetic energies are unchanged), and the report gets a calibration statement automatically. A charge correction already stored by CasaXPS in a VAMAS file is applied for you and shown in Details as “BE calibration (CasaXPS)”; a shift you set yourself takes precedence over it.</w:t>
      </w:r>
    </w:p>
    <w:p>
      <w:pPr>
        <w:pStyle w:val="Heading2"/>
      </w:pPr>
      <w:r>
        <w:t>Identify peaks</w:t>
      </w:r>
    </w:p>
    <w:p>
      <w:r>
        <w:t>Tools → Identify peaks… (or right-click a spectrum → Identify peaks…): click a survey peak to list candidate element lines, add the one you want as a marker, or use Auto-label to label every peak at once. Markers follow binding-energy calibrations and the kinetic-energy axis. Line positions are approximate typical values — chemical shifts of a few eV are normal, so the default search window is ±3 eV.</w:t>
      </w:r>
    </w:p>
    <w:p>
      <w:r>
        <w:t>A spin-orbit doublet is named once by default: a peak near 454 eV offers “Ti 2p”, and one near 84 eV “Au 4f”, whichever component you click. Tick “Show spin-orbit components (2p3/2, 2p1/2)” in the dialog (the interactive HTML page has the same box) to name the components separately; the choice is remembered, and Auto-label follows it. Markers you already placed keep the name they were given. Only lines the photon energy can reach are offered, so a Mg Kα source does not list a level at 1300 eV, while deeper levels appear for Ag Lα and harder sources. The line table is Thermo Avantage’s own library, extended with lanthanide and actinide levels, deep levels and a few elements it lacks, taken from the X-ray Data Booklet table that ships with KherveFitting.</w:t>
      </w:r>
    </w:p>
    <w:p>
      <w:r>
        <w:t>Beneath the element lines the dialog also lists chemical states: literature binding energies for a core level (for example an iron oxide’s Fe 2p3/2 peaks), each with its source shown when you select it. They are suggestions for you to confirm and are never used by Auto-label. A link opens the free NIST XPS Database for anything beyond these curated tables. On a survey that came from CasaXPS, “Label from CasaXPS regions” labels the peaks directly from the regions named in the file, for every ticked survey, instead of from the approximate line table.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Identify peaks dialog, with candidate element lines listed. ]</w:t>
            </w:r>
          </w:p>
          <w:p/>
        </w:tc>
      </w:tr>
    </w:tbl>
    <w:p>
      <w:pPr>
        <w:jc w:val="center"/>
      </w:pPr>
      <w:r>
        <w:rPr>
          <w:i/>
          <w:sz w:val="20"/>
        </w:rPr>
        <w:t>Figure 13. The Identify peaks dialog, with candidate element lines listed.</w:t>
      </w:r>
    </w:p>
    <w:p/>
    <w:p>
      <w:pPr>
        <w:pStyle w:val="Heading2"/>
      </w:pPr>
      <w:r>
        <w:t>Cursor read-out and other comforts</w:t>
      </w:r>
    </w:p>
    <w:p>
      <w:r>
        <w:t>The status bar always shows the binding energy, kinetic energy and intensity under the pointer. Other comforts: File → Open recent, drag files or folders onto the window, a progress box with Cancel when loading many files, and the play/step controls from Chapter 6.</w:t>
      </w:r>
    </w:p>
    <w:p>
      <w:r>
        <w:br w:type="page"/>
      </w:r>
    </w:p>
    <w:p>
      <w:pPr>
        <w:pStyle w:val="Heading1"/>
      </w:pPr>
      <w:r>
        <w:t>12. Experiment workbooks (.xpscontainer)</w:t>
      </w:r>
    </w:p>
    <w:p>
      <w:r>
        <w:t>The Workbook menu saves everything about an experiment in one file that you can reopen at any time (or double-click, or pass on the command line). A workbook holds:</w:t>
      </w:r>
    </w:p>
    <w:p>
      <w:pPr>
        <w:pStyle w:val="ListBullet"/>
      </w:pPr>
      <w:r>
        <w:t>The original data files, byte-for-byte, with SHA-256 hashes as provenance; files are re-read on opening, so reader improvements apply to old workbooks.</w:t>
      </w:r>
    </w:p>
    <w:p>
      <w:pPr>
        <w:pStyle w:val="ListBullet"/>
      </w:pPr>
      <w:r>
        <w:t>The look: what is ticked, the view, grouping, normalisation, energy scale, colour scale, axis colour, panels/traces and any “At cursor” energies.</w:t>
      </w:r>
    </w:p>
    <w:p>
      <w:pPr>
        <w:pStyle w:val="ListBullet"/>
      </w:pPr>
      <w:r>
        <w:t>Details and notes — title, customer, reference, operator, date, a free-text summary and a letterhead logo.</w:t>
      </w:r>
    </w:p>
    <w:p>
      <w:pPr>
        <w:pStyle w:val="ListBullet"/>
      </w:pPr>
      <w:r>
        <w:t>Figures — any number of named looks with captions.</w:t>
      </w:r>
    </w:p>
    <w:p>
      <w:pPr>
        <w:pStyle w:val="ListBullet"/>
      </w:pPr>
      <w:r>
        <w:t>A snapshot of the acquisition metadata and a preview image.</w:t>
      </w:r>
    </w:p>
    <w:p>
      <w:pPr>
        <w:pStyle w:val="ListBullet"/>
      </w:pPr>
      <w:r>
        <w:t>Your annotations: display names, notes, metadata edits, energy shifts, peak markers, sputter and instrument settings, and the ticks you made in the Quantification tab.</w:t>
      </w:r>
    </w:p>
    <w:p>
      <w:pPr>
        <w:pStyle w:val="ListBullet"/>
      </w:pPr>
      <w:r>
        <w:t>The Report generator’s choice (sections, order, options, cover), and any CasaXPS CSV export you imported (stored verbatim and matched to the fits again on opening).</w:t>
      </w:r>
    </w:p>
    <w:p>
      <w:pPr>
        <w:pStyle w:val="ListBullet"/>
      </w:pPr>
      <w:r>
        <w:t>Optionally, the parsed results (Workbook → “Store the parsed results in the workbook”, on by default). They are advisory only: opening always re-reads the original files. Their one use is Workbook → “Data browser from a saved workbook…”, which writes the HTML browser without loading any instrument file (saved figures, holder photo, camera pictures and SnapMaps are not in that page).</w:t>
      </w:r>
    </w:p>
    <w:p>
      <w:r>
        <w:t>Save with Ctrl+S; the title bar shows an asterisk for unsaved changes, and closing the application asks whether to save. The file is a ZIP archive of JSON and the original files, so it can be inspected with any zip tool and never runs code.</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Workbook Details dialog. ]</w:t>
            </w:r>
          </w:p>
          <w:p/>
        </w:tc>
      </w:tr>
    </w:tbl>
    <w:p>
      <w:pPr>
        <w:jc w:val="center"/>
      </w:pPr>
      <w:r>
        <w:rPr>
          <w:i/>
          <w:sz w:val="20"/>
        </w:rPr>
        <w:t>Figure 14. The Workbook Details dialog.</w:t>
      </w:r>
    </w:p>
    <w:p/>
    <w:p>
      <w:r>
        <w:t>Metadata layout: settings that are the same for every region (photon energy, lens mode, …) are stated once at the top, settings constant within a sample sit on that sample's line, and the rest is a compact scan table. A depth profile collapses to one row (e.g. “levels 0–60, etch 0–1800 s, 30 s steps”) only where that reproduces every level exactly; otherwise a per-level table is used.</w:t>
      </w:r>
    </w:p>
    <w:p>
      <w:r>
        <w:br w:type="page"/>
      </w:r>
    </w:p>
    <w:p>
      <w:pPr>
        <w:pStyle w:val="Heading1"/>
      </w:pPr>
      <w:r>
        <w:t>13. The Report generator</w:t>
      </w:r>
    </w:p>
    <w:p>
      <w:r>
        <w:t>Workbook → Report generator… (or Report ▸ Generator on the ribbon) is where you say what a report contains and in what order. The same choice is used for the PDF report, the PowerPoint deck, the previews and the hand-over package; it is remembered and saved with the workbook.</w:t>
      </w:r>
    </w:p>
    <w:tbl>
      <w:tblPr>
        <w:tblStyle w:val="TableGrid"/>
        <w:tblW w:type="auto" w:w="0"/>
        <w:tblLayout w:type="fixed"/>
        <w:tblLook w:firstColumn="1" w:firstRow="1" w:lastColumn="0" w:lastRow="0" w:noHBand="0" w:noVBand="1" w:val="04A0"/>
      </w:tblPr>
      <w:tblGrid>
        <w:gridCol w:w="4706"/>
        <w:gridCol w:w="4706"/>
      </w:tblGrid>
      <w:tr>
        <w:tc>
          <w:tcPr>
            <w:tcW w:type="dxa" w:w="2381"/>
            <w:shd w:val="clear" w:color="auto" w:fill="2C3E50"/>
          </w:tcPr>
          <w:p>
            <w:r/>
            <w:r>
              <w:rPr>
                <w:b/>
                <w:color w:val="FFFFFF"/>
              </w:rPr>
              <w:t>Section</w:t>
            </w:r>
          </w:p>
        </w:tc>
        <w:tc>
          <w:tcPr>
            <w:tcW w:type="dxa" w:w="7030"/>
            <w:shd w:val="clear" w:color="auto" w:fill="2C3E50"/>
          </w:tcPr>
          <w:p>
            <w:r/>
            <w:r>
              <w:rPr>
                <w:b/>
                <w:color w:val="FFFFFF"/>
              </w:rPr>
              <w:t>Contents</w:t>
            </w:r>
          </w:p>
        </w:tc>
      </w:tr>
      <w:tr>
        <w:tc>
          <w:tcPr>
            <w:tcW w:type="dxa" w:w="2381"/>
          </w:tcPr>
          <w:p>
            <w:r>
              <w:t>Cover page</w:t>
            </w:r>
          </w:p>
        </w:tc>
        <w:tc>
          <w:tcPr>
            <w:tcW w:type="dxa" w:w="7030"/>
          </w:tcPr>
          <w:p>
            <w:r>
              <w:t>Logo, title, customer, reference, operator, date, and a cover picture.</w:t>
            </w:r>
          </w:p>
        </w:tc>
      </w:tr>
      <w:tr>
        <w:tc>
          <w:tcPr>
            <w:tcW w:type="dxa" w:w="2381"/>
          </w:tcPr>
          <w:p>
            <w:r>
              <w:t>Contents</w:t>
            </w:r>
          </w:p>
        </w:tc>
        <w:tc>
          <w:tcPr>
            <w:tcW w:type="dxa" w:w="7030"/>
          </w:tcPr>
          <w:p>
            <w:r>
              <w:t>The sections and their real page (slide) numbers; the PDF also gets bookmarks.</w:t>
            </w:r>
          </w:p>
        </w:tc>
      </w:tr>
      <w:tr>
        <w:tc>
          <w:tcPr>
            <w:tcW w:type="dxa" w:w="2381"/>
          </w:tcPr>
          <w:p>
            <w:r>
              <w:t>At a glance</w:t>
            </w:r>
          </w:p>
        </w:tc>
        <w:tc>
          <w:tcPr>
            <w:tcW w:type="dxa" w:w="7030"/>
          </w:tcPr>
          <w:p>
            <w:r>
              <w:t>Right after the Contents: files, samples and spectra, format, instrument, operator, dates, counting time, the elements quantified and what else is in the report. A line is written only when the files record it.</w:t>
            </w:r>
          </w:p>
        </w:tc>
      </w:tr>
      <w:tr>
        <w:tc>
          <w:tcPr>
            <w:tcW w:type="dxa" w:w="2381"/>
          </w:tcPr>
          <w:p>
            <w:r>
              <w:t>Summary</w:t>
            </w:r>
          </w:p>
        </w:tc>
        <w:tc>
          <w:tcPr>
            <w:tcW w:type="dxa" w:w="7030"/>
          </w:tcPr>
          <w:p>
            <w:r>
              <w:t>A short written overview of the experiment.</w:t>
            </w:r>
          </w:p>
        </w:tc>
      </w:tr>
      <w:tr>
        <w:tc>
          <w:tcPr>
            <w:tcW w:type="dxa" w:w="2381"/>
          </w:tcPr>
          <w:p>
            <w:r>
              <w:t>Quantification</w:t>
            </w:r>
          </w:p>
        </w:tc>
        <w:tc>
          <w:tcPr>
            <w:tcW w:type="dxa" w:w="7030"/>
          </w:tcPr>
          <w:p>
            <w:r>
              <w:t>Atomic percent from CasaXPS fits, by sample and by depth level.</w:t>
            </w:r>
          </w:p>
        </w:tc>
      </w:tr>
      <w:tr>
        <w:tc>
          <w:tcPr>
            <w:tcW w:type="dxa" w:w="2381"/>
          </w:tcPr>
          <w:p>
            <w:r>
              <w:t>Figures</w:t>
            </w:r>
          </w:p>
        </w:tc>
        <w:tc>
          <w:tcPr>
            <w:tcW w:type="dxa" w:w="7030"/>
          </w:tcPr>
          <w:p>
            <w:r>
              <w:t>One page (slide) per saved figure, drawn with its caption.</w:t>
            </w:r>
          </w:p>
        </w:tc>
      </w:tr>
      <w:tr>
        <w:tc>
          <w:tcPr>
            <w:tcW w:type="dxa" w:w="2381"/>
          </w:tcPr>
          <w:p>
            <w:r>
              <w:t>Camera pictures, SnapMaps and image maps</w:t>
            </w:r>
          </w:p>
        </w:tc>
        <w:tc>
          <w:tcPr>
            <w:tcW w:type="dxa" w:w="7030"/>
          </w:tcPr>
          <w:p>
            <w:r>
              <w:t>Sample-view photos, mosaics, element-map pages and Kratos image maps.</w:t>
            </w:r>
          </w:p>
        </w:tc>
      </w:tr>
      <w:tr>
        <w:tc>
          <w:tcPr>
            <w:tcW w:type="dxa" w:w="2381"/>
          </w:tcPr>
          <w:p>
            <w:r>
              <w:t>Methods</w:t>
            </w:r>
          </w:p>
        </w:tc>
        <w:tc>
          <w:tcPr>
            <w:tcW w:type="dxa" w:w="7030"/>
          </w:tcPr>
          <w:p>
            <w:r>
              <w:t>The automatically written methods paragraph.</w:t>
            </w:r>
          </w:p>
        </w:tc>
      </w:tr>
      <w:tr>
        <w:tc>
          <w:tcPr>
            <w:tcW w:type="dxa" w:w="2381"/>
          </w:tcPr>
          <w:p>
            <w:r>
              <w:t>Timing</w:t>
            </w:r>
          </w:p>
        </w:tc>
        <w:tc>
          <w:tcPr>
            <w:tcW w:type="dxa" w:w="7030"/>
          </w:tcPr>
          <w:p>
            <w:r>
              <w:t>After Methods: first start, last finish, time in use, counting time and what was not counting (moves, settling, sputtering, dead time), plus the counting time of each sample.</w:t>
            </w:r>
          </w:p>
        </w:tc>
      </w:tr>
      <w:tr>
        <w:tc>
          <w:tcPr>
            <w:tcW w:type="dxa" w:w="2381"/>
          </w:tcPr>
          <w:p>
            <w:r>
              <w:t>Energy calibration</w:t>
            </w:r>
          </w:p>
        </w:tc>
        <w:tc>
          <w:tcPr>
            <w:tcW w:type="dxa" w:w="7030"/>
          </w:tcPr>
          <w:p>
            <w:r>
              <w:t>The binding-energy calibration statement.</w:t>
            </w:r>
          </w:p>
        </w:tc>
      </w:tr>
      <w:tr>
        <w:tc>
          <w:tcPr>
            <w:tcW w:type="dxa" w:w="2381"/>
          </w:tcPr>
          <w:p>
            <w:r>
              <w:t>Acquisition metadata</w:t>
            </w:r>
          </w:p>
        </w:tc>
        <w:tc>
          <w:tcPr>
            <w:tcW w:type="dxa" w:w="7030"/>
          </w:tcPr>
          <w:p>
            <w:r>
              <w:t>The tidied acquisition settings of every file.</w:t>
            </w:r>
          </w:p>
        </w:tc>
      </w:tr>
      <w:tr>
        <w:tc>
          <w:tcPr>
            <w:tcW w:type="dxa" w:w="2381"/>
          </w:tcPr>
          <w:p>
            <w:r>
              <w:t>Data files</w:t>
            </w:r>
          </w:p>
        </w:tc>
        <w:tc>
          <w:tcPr>
            <w:tcW w:type="dxa" w:w="7030"/>
          </w:tcPr>
          <w:p>
            <w:r>
              <w:t>A checksummed list of the original files (the audit trail).</w:t>
            </w:r>
          </w:p>
        </w:tc>
      </w:tr>
    </w:tbl>
    <w:p/>
    <w:p>
      <w:pPr>
        <w:pStyle w:val="Heading2"/>
      </w:pPr>
      <w:r>
        <w:t>The cover</w:t>
      </w:r>
    </w:p>
    <w:p>
      <w:r>
        <w:t>The Cover tab offers five designs drawn from one accent colour (spectrum ribbon, band, minimal, your own data, peak map), a picture of your own (or one dropped into assets/covers/), or no picture, in one of six accent colours or a colour you choose, and the font of the PDF's text (slides and Word keep Calibri). Presets never change the cover.</w:t>
      </w:r>
    </w:p>
    <w:p>
      <w:r>
        <w:t>In the PDF the cover is a full page: the design (or your picture, cropped from its middle, never stretched) fills the A4 or Letter page and the title, customer, reference, operator, date and letterhead sit on a clear panel whose position — top, middle or bottom — you choose under “Text position”. The text shrinks to fit, so the cover is always one page, with no footer. “No picture” gives a text-only cover. The slides and the Word document use a banner strip of the same design instead.</w:t>
      </w:r>
    </w:p>
    <w:p>
      <w:pPr>
        <w:pStyle w:val="Heading2"/>
      </w:pPr>
      <w:r>
        <w:t>Options</w:t>
      </w:r>
    </w:p>
    <w:p>
      <w:r>
        <w:t>The Options tab holds three choices that apply to every output: whether the data-files list carries a checksum column, whether a divider page or slide precedes each long section (five or more pages), and whether overlapping camera pictures are also stitched into a mosaic.</w:t>
      </w:r>
    </w:p>
    <w:p>
      <w:pPr>
        <w:pStyle w:val="Heading2"/>
      </w:pPr>
      <w:r>
        <w:t>Presets</w:t>
      </w:r>
    </w:p>
    <w:p>
      <w:r>
        <w:t>Built-in presets (Everything, Customer report, Quick look, Audit trail) and your own saved presets fill in the ticks in one go. Sections with many items (figures, pictures, files, samples) open with a double-click, and All / None ticks every item of the selected section. A report saved before At a glance or Timing existed keeps them switched off, so an old report does not grow pages.</w:t>
      </w:r>
    </w:p>
    <w:p>
      <w:r>
        <w:t>If you changed which regions count in the Quantification tab, the dialog says how many differ from the automatic choice, with a Reset button. Your choice reaches the PDF, the slides, the Word document and the HTML browser; it is saved with the workbook, not in a preset.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Report generator dialog: sections, order and options. ]</w:t>
            </w:r>
          </w:p>
          <w:p/>
        </w:tc>
      </w:tr>
    </w:tbl>
    <w:p>
      <w:pPr>
        <w:jc w:val="center"/>
      </w:pPr>
      <w:r>
        <w:rPr>
          <w:i/>
          <w:sz w:val="20"/>
        </w:rPr>
        <w:t>Figure 15. The Report generator dialog: sections, order and options.</w:t>
      </w:r>
    </w:p>
    <w:p/>
    <w:p>
      <w:pPr>
        <w:jc w:val="center"/>
      </w:pPr>
      <w:r>
        <w:drawing>
          <wp:inline xmlns:a="http://schemas.openxmlformats.org/drawingml/2006/main" xmlns:pic="http://schemas.openxmlformats.org/drawingml/2006/picture">
            <wp:extent cx="3240000" cy="4582286"/>
            <wp:docPr id="5" name="Picture 5"/>
            <wp:cNvGraphicFramePr>
              <a:graphicFrameLocks noChangeAspect="1"/>
            </wp:cNvGraphicFramePr>
            <a:graphic>
              <a:graphicData uri="http://schemas.openxmlformats.org/drawingml/2006/picture">
                <pic:pic>
                  <pic:nvPicPr>
                    <pic:cNvPr id="0" name="fig_cover.png"/>
                    <pic:cNvPicPr/>
                  </pic:nvPicPr>
                  <pic:blipFill>
                    <a:blip r:embed="rId14"/>
                    <a:stretch>
                      <a:fillRect/>
                    </a:stretch>
                  </pic:blipFill>
                  <pic:spPr>
                    <a:xfrm>
                      <a:off x="0" y="0"/>
                      <a:ext cx="3240000" cy="4582286"/>
                    </a:xfrm>
                    <a:prstGeom prst="rect"/>
                  </pic:spPr>
                </pic:pic>
              </a:graphicData>
            </a:graphic>
          </wp:inline>
        </w:drawing>
      </w:r>
    </w:p>
    <w:p>
      <w:pPr>
        <w:jc w:val="center"/>
      </w:pPr>
      <w:r>
        <w:rPr>
          <w:i/>
          <w:sz w:val="20"/>
        </w:rPr>
        <w:t>Figure 16. A cover design as drawn across the PDF's full page (the text panel is laid over the clear part, at the position you choose).</w:t>
      </w:r>
    </w:p>
    <w:p/>
    <w:p>
      <w:r>
        <w:br w:type="page"/>
      </w:r>
    </w:p>
    <w:p>
      <w:pPr>
        <w:pStyle w:val="Heading1"/>
      </w:pPr>
      <w:r>
        <w:t>14. The PDF report, PowerPoint deck and Word document</w:t>
      </w:r>
    </w:p>
    <w:p>
      <w:r>
        <w:t>Workbook → Experiment report — save PDF…, Export PowerPoint… and Export Word document… (also on the Report ribbon) build the same sections in the same order from the one Report generator choice. The Word document is fully editable. Contents lists every section with its real page (or slide) number, and its entries in the PDF are clickable; the PDF also gets bookmarks. The PDF and the slides get a divider page or slide before a long section, the PDF marks its audit sections (metadata, files) with a small “Appendix” label, and every slide is numbered “n of N”.</w:t>
      </w:r>
    </w:p>
    <w:p>
      <w:pPr>
        <w:pStyle w:val="Heading2"/>
      </w:pPr>
      <w:r>
        <w:t>At a glance and Timing</w:t>
      </w:r>
    </w:p>
    <w:p>
      <w:r>
        <w:t>At a glance is a quiet block of single-line facts after the Contents: how many files, samples and spectra, the format, instrument and operator, when it was acquired, the counting time, the elements quantified and what else the report holds. Timing, after Methods, separates the time the instrument was counting from the time it was in use (moves, settling, sputtering, dead time). A line is written only when the files record it: a Kratos file stores when a run started but not when it ended, so its Timing section shows first and last start and the counting time, with a note saying why.</w:t>
      </w:r>
    </w:p>
    <w:p>
      <w:pPr>
        <w:pStyle w:val="Heading2"/>
      </w:pPr>
      <w:r>
        <w:t>Quantification</w:t>
      </w:r>
    </w:p>
    <w:p>
      <w:r>
        <w:t>Atomic percent comes from CasaXPS peak-fit areas and sensitivity factors: one table per sample (with chemical states), or, for a depth profile, a chart and a table by level. A region fitted in more than one spectrum at a level is counted once — the dedicated scan, not the survey — and this is stated on the page. An element fitted from several lines counts from one (its standard line, else the one with the highest sensitivity factor), the page says which, and a line you choose in the Quantification tab replaces it. No transmission correction is applied in reports, except inside Avantage’s own numbers (Chapter 22). Each sample can be ticked separately in the Report generator.</w:t>
      </w:r>
    </w:p>
    <w:p>
      <w:r>
        <w:t>A survey and the high-resolution regions are never added into one total: a sample’s survey gets its own “&lt;sample&gt; (survey)” table. Where CasaXPS’s own quantification files name the sample, the tables show a CasaXPS %At column and use those percentages; a region the CasaXPS file has no row for is left out with a note, and a sample the files do not name is recomputed and says so. A fitted sample also shows CasaXPS’s D-parameter rows where they exist. Table columns that are empty for every row (a survey has no fit RMS or chi-square) are dropped, and a fit legend that names two components alike adds where each peaks, for example “Pt 4f (73.3)” and “Pt 4f (76.6)”. Regions you ticked or unticked in the Quantification tab are followed, and the page says so.</w:t>
      </w:r>
    </w:p>
    <w:p>
      <w:pPr>
        <w:pStyle w:val="Heading2"/>
      </w:pPr>
      <w:r>
        <w:t>Camera pictures, SnapMaps and mosaics</w:t>
      </w:r>
    </w:p>
    <w:p>
      <w:r>
        <w:t>When the loaded files include camera images (an Avantage experiment), overlapping pictures can also be stitched into one large mosaic; a note on the page says how many overlaps were matched. Camera pictures appear six to a report page (three to a slide), each with the analysis points that fall in it and a scale bar; one page or slide is added per SnapMap site, showing the camera picture beside a grid of element maps. With the Report generator’s mosaic option on, SnapMap sites of one file that lie side by side (their footprints overlap or are within 5 % of a map’s width of each other) also get a “SnapMap mosaic” page: one mosaic per core level found in at least two of those sites, laid out by their stage positions with one energy window and one colour range, the tiles outlined and named. A site left out in the generator is left out of its mosaic. Kratos imaging maps get image-map pages: up to twelve images of a stage position to a page, each on its own colour range with a scale bar marked approximate.</w:t>
      </w:r>
    </w:p>
    <w:p>
      <w:pPr>
        <w:pStyle w:val="Heading2"/>
      </w:pPr>
      <w:r>
        <w:t>Methods text</w:t>
      </w:r>
    </w:p>
    <w:p>
      <w:r>
        <w:t>Workbook → Details… has a Methods box holding a paragraph written automatically from what your files record: instrument and source, pass energies, step sizes, dwell times, lens mode, neutraliser, sputtering, depth profiles, dates and the calibration statement. A setting a file does not record is left out, never guessed. Edit the text to use your own wording; Regenerate brings the automatic text back.</w:t>
      </w:r>
    </w:p>
    <w:p>
      <w:pPr>
        <w:jc w:val="center"/>
      </w:pPr>
      <w:r>
        <w:drawing>
          <wp:inline xmlns:a="http://schemas.openxmlformats.org/drawingml/2006/main" xmlns:pic="http://schemas.openxmlformats.org/drawingml/2006/picture">
            <wp:extent cx="5976000" cy="8449708"/>
            <wp:docPr id="6" name="Picture 6"/>
            <wp:cNvGraphicFramePr>
              <a:graphicFrameLocks noChangeAspect="1"/>
            </wp:cNvGraphicFramePr>
            <a:graphic>
              <a:graphicData uri="http://schemas.openxmlformats.org/drawingml/2006/picture">
                <pic:pic>
                  <pic:nvPicPr>
                    <pic:cNvPr id="0" name="fig_report_page.png"/>
                    <pic:cNvPicPr/>
                  </pic:nvPicPr>
                  <pic:blipFill>
                    <a:blip r:embed="rId15"/>
                    <a:stretch>
                      <a:fillRect/>
                    </a:stretch>
                  </pic:blipFill>
                  <pic:spPr>
                    <a:xfrm>
                      <a:off x="0" y="0"/>
                      <a:ext cx="5976000" cy="8449708"/>
                    </a:xfrm>
                    <a:prstGeom prst="rect"/>
                  </pic:spPr>
                </pic:pic>
              </a:graphicData>
            </a:graphic>
          </wp:inline>
        </w:drawing>
      </w:r>
    </w:p>
    <w:p>
      <w:pPr>
        <w:jc w:val="center"/>
      </w:pPr>
      <w:r>
        <w:rPr>
          <w:i/>
          <w:sz w:val="20"/>
        </w:rPr>
        <w:t>Figure 17. A sample page from the PDF report (the acquisition metadata and data-files appendix pages).</w:t>
      </w:r>
    </w:p>
    <w:p/>
    <w:p>
      <w:pPr>
        <w:jc w:val="center"/>
      </w:pPr>
      <w:r>
        <w:drawing>
          <wp:inline xmlns:a="http://schemas.openxmlformats.org/drawingml/2006/main" xmlns:pic="http://schemas.openxmlformats.org/drawingml/2006/picture">
            <wp:extent cx="5976000" cy="4772059"/>
            <wp:docPr id="7" name="Picture 7"/>
            <wp:cNvGraphicFramePr>
              <a:graphicFrameLocks noChangeAspect="1"/>
            </wp:cNvGraphicFramePr>
            <a:graphic>
              <a:graphicData uri="http://schemas.openxmlformats.org/drawingml/2006/picture">
                <pic:pic>
                  <pic:nvPicPr>
                    <pic:cNvPr id="0" name="fig_quant_table.png"/>
                    <pic:cNvPicPr/>
                  </pic:nvPicPr>
                  <pic:blipFill>
                    <a:blip r:embed="rId16"/>
                    <a:stretch>
                      <a:fillRect/>
                    </a:stretch>
                  </pic:blipFill>
                  <pic:spPr>
                    <a:xfrm>
                      <a:off x="0" y="0"/>
                      <a:ext cx="5976000" cy="4772059"/>
                    </a:xfrm>
                    <a:prstGeom prst="rect"/>
                  </pic:spPr>
                </pic:pic>
              </a:graphicData>
            </a:graphic>
          </wp:inline>
        </w:drawing>
      </w:r>
    </w:p>
    <w:p>
      <w:pPr>
        <w:jc w:val="center"/>
      </w:pPr>
      <w:r>
        <w:rPr>
          <w:i/>
          <w:sz w:val="20"/>
        </w:rPr>
        <w:t>Figure 18. A sample quantification table.</w:t>
      </w:r>
    </w:p>
    <w:p/>
    <w:p>
      <w:r>
        <w:br w:type="page"/>
      </w:r>
    </w:p>
    <w:p>
      <w:pPr>
        <w:pStyle w:val="Heading1"/>
      </w:pPr>
      <w:r>
        <w:t>15. Hand-over package (ZIP)</w:t>
      </w:r>
    </w:p>
    <w:p>
      <w:r>
        <w:t>Workbook → Hand-over package (ZIP)… puts a whole experiment into one ZIP file for a customer or collaborator. It contains the report PDF, the methods text, one VAMAS and one CSV file per sample (with your display names and energy shifts applied), the metadata as CSV, a NeXus file per sample when h5py is installed, every saved figure as a PNG, optionally the interactive data browser and the workbook itself, a README.txt listing everything included, and SHA256SUMS.txt (checked with sha256sum -c SHA256SUMS.txt). Tick what you want to include in the dialog. A Quantification section adds quantification/quantification.csv (the table of the Quantification tab: one row per fitted region and per chemical state, each sample and depth level its own total, UTF-8 with a BOM) and, where repeat groups exist, quantification_repeat_groups.csv; CasaXPS’s own Quant_*.txt files stay under metadata/.</w:t>
      </w:r>
    </w:p>
    <w:p>
      <w:r>
        <w:br w:type="page"/>
      </w:r>
    </w:p>
    <w:p>
      <w:pPr>
        <w:pStyle w:val="Heading1"/>
      </w:pPr>
      <w:r>
        <w:t>16. Interactive HTML data browser</w:t>
      </w:r>
    </w:p>
    <w:p>
      <w:r>
        <w:t>Workbook → Interactive data browser (HTML)… writes one self-contained .html file that anyone can open in a modern browser, offline, with nothing to install. It lets the reader filter the sample list, tick spectra to plot them (stacked or overlaid, normalised, binding or kinetic energy, drag to zoom, hover for values), step through depth levels one at a time, read the acquisition metadata, notes and methods, look at your saved figures with their captions, see the holder photo with the analysis positions, and download spectra as CSV. It has light, dark and print styles, and makes no network requests.</w:t>
      </w:r>
    </w:p>
    <w:p>
      <w:r>
        <w:t>For an Avantage experiment it also holds a Camera images tab (each picture with its analysis points and a scale bar) and a SnapMaps tab (the same viewer as in the application: drag the energy window, drag a region for its spectrum, switch element, choose a colour scale, overlay on the camera image, and download the map or spectra as CSV).</w:t>
      </w:r>
    </w:p>
    <w:p>
      <w:r>
        <w:t>Quantification and Depth profile tabs mirror the application’s (the same numbers, including the RSF fallback choice, the one-line-per-element default and CasaXPS’s own percentages); the page starts from the regions you ticked or unticked in the Quantification tab, and the reader can change them. Fits are drawn on single-spectrum panels (components, envelope, background and a residual band) with a per-component table; components are coloured by their CasaXPS INDEX, a “Merge INDEX groups” box draws each group as one outline, and a “Fits on stacks” box draws each trace's own fit on a stack of up to eight spectra (the table and residual stay with the one-spectrum panel). When you imported a CasaXPS CSV export (Chapter 20), a “CasaXPS exported curves” box, ticked by default, switches the plot, tables, quantification and CSVs between CasaXPS’s own curves and the reconstruction. An Identify peaks mode lists the element lines near a clicked peak, and survey peaks can be labelled automatically (off by default, since the line table is approximate). Zoom stays within the data, every panel has a PNG button, and Download everything saves one ZIP with the CSVs, quantification, methods and a README.</w:t>
      </w:r>
    </w:p>
    <w:p>
      <w:r>
        <w:t>Workbook → Data browser from a saved workbook… writes the same page from a saved workbook without reading any instrument file.</w:t>
      </w:r>
    </w:p>
    <w:p>
      <w:r>
        <w:t>A working example, built from two synthetic samples, is included alongside this manual as demo_browser.html — open it in any browser to see the real page before adding your own screenshot below.</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interactive HTML data browser, opened in a web browser. ]</w:t>
            </w:r>
          </w:p>
          <w:p/>
        </w:tc>
      </w:tr>
    </w:tbl>
    <w:p>
      <w:pPr>
        <w:jc w:val="center"/>
      </w:pPr>
      <w:r>
        <w:rPr>
          <w:i/>
          <w:sz w:val="20"/>
        </w:rPr>
        <w:t>Figure 19. The interactive HTML data browser, opened in a web browser.</w:t>
      </w:r>
    </w:p>
    <w:p/>
    <w:p>
      <w:r>
        <w:br w:type="page"/>
      </w:r>
    </w:p>
    <w:p>
      <w:pPr>
        <w:pStyle w:val="Heading1"/>
      </w:pPr>
      <w:r>
        <w:t>17. Plot style</w:t>
      </w:r>
    </w:p>
    <w:p>
      <w:r>
        <w:t>View → Plot style… (or the Style… button under the plot controls) opens one dialog for how plots look: font (IBM Plex Sans, Source Sans 3, Inter, IBM Plex Serif, STIX Two Text and IBM Plex Mono are bundled; any installed font also works) and sizes, line width and style, markers, fill under traces, frame, tick direction and length, grid, panel titles and axis labels, y units, energy and intensity ranges, trace labels, and the size and resolution of saved images.</w:t>
      </w:r>
    </w:p>
    <w:p>
      <w:r>
        <w:t>Changes apply at once and reach the screen, PDFs, slides and Save plot image…. Pick a preset (Journal – compact, Presentation – large, Data points, Filled peaks, …) or save your own. The current style is remembered between sessions, saved in the workbook, and stored with each saved figure, so a figure keeps its own look in the report even after you change the live plot.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Plot style dialog. ]</w:t>
            </w:r>
          </w:p>
          <w:p/>
        </w:tc>
      </w:tr>
    </w:tbl>
    <w:p>
      <w:pPr>
        <w:jc w:val="center"/>
      </w:pPr>
      <w:r>
        <w:rPr>
          <w:i/>
          <w:sz w:val="20"/>
        </w:rPr>
        <w:t>Figure 20. The Plot style dialog.</w:t>
      </w:r>
    </w:p>
    <w:p/>
    <w:p>
      <w:r>
        <w:br w:type="page"/>
      </w:r>
    </w:p>
    <w:p>
      <w:pPr>
        <w:pStyle w:val="Heading1"/>
      </w:pPr>
      <w:r>
        <w:t>18. Sputter settings, depth and fluence</w:t>
      </w:r>
    </w:p>
    <w:p>
      <w:r>
        <w:t>Tools → Sputter settings… holds the ion-gun settings of each depth profile: ion and charge state, energy, current, raster size and etch rate. These are prefilled wherever the file states them; nothing is guessed, so a bare number whose unit is unknown is left for you to fill in.</w:t>
      </w:r>
    </w:p>
    <w:p>
      <w:r>
        <w:t>With these settings recorded, the Z axis of a waterfall or heatmap can show Depth (nm) (etch rate × etch time) or Fluence (ions/cm², from current, time, charge and raster area). Asking for a value that cannot be worked out tells you exactly what to enter and where. The settings are kept per sample in the workbook and appear in the metadata and the methods text.</w:t>
      </w:r>
    </w:p>
    <w:p>
      <w:r>
        <w:br w:type="page"/>
      </w:r>
    </w:p>
    <w:p>
      <w:pPr>
        <w:pStyle w:val="Heading1"/>
      </w:pPr>
      <w:r>
        <w:t>19. VAMAS that keeps its metadata</w:t>
      </w:r>
    </w:p>
    <w:p>
      <w:r>
        <w:t>VAMAS has no fields for most acquisition details, so a file exported from this application carries them in its comments instead: lens mode, aperture, neutraliser, ion gun, dates, stage position, depth level and etch time, sputter settings, your notes and any energy shift. Other software simply shows this as plain text. Reading such a file back into the application restores all of it, while values VAMAS stores exactly (photon energy, pass energy, dwell, step) are never taken from the text. Files without this information read exactly as before.</w:t>
      </w:r>
    </w:p>
    <w:p>
      <w:r>
        <w:br w:type="page"/>
      </w:r>
    </w:p>
    <w:p>
      <w:pPr>
        <w:pStyle w:val="Heading1"/>
      </w:pPr>
      <w:r>
        <w:t>20. CasaXPS fits</w:t>
      </w:r>
    </w:p>
    <w:p>
      <w:r>
        <w:t>A VAMAS file saved from CasaXPS after peak fitting carries the fit in its comments. Opening such a file shows the fit under any panel that holds one spectrum: tick Components, Envelope and/or Background in the Fit row under the plot controls. A depth profile keeps one fit per level.</w:t>
      </w:r>
    </w:p>
    <w:p>
      <w:pPr>
        <w:pStyle w:val="Heading2"/>
      </w:pPr>
      <w:r>
        <w:t>Colours, merged groups and stacked fits</w:t>
      </w:r>
    </w:p>
    <w:p>
      <w:r>
        <w:t>Components are coloured by their CasaXPS INDEX, the number CasaXPS gives a chemical-state group. INDEX 0 is the same colour in every region, file, report and theme, and components that share an INDEX are one chemical state: one colour and one legend entry, whatever group name CasaXPS gave them (most files name every group after the region). A component with no INDEX group is its own state and gets a colour of its own; with more groups than the palette has colours, colours repeat and the legend tells them apart (the status bar says so).</w:t>
      </w:r>
    </w:p>
    <w:p>
      <w:r>
        <w:t>A state built from several peaks, such as a doublet or a shake-up structure, can be drawn as one component: tick Merge INDEX groups in the Fit row (or right-click a panel, Fit layers, Merge INDEX groups, for that panel alone). Each INDEX group is then drawn as the outline of the sum of its peaks. Only the drawing changes: the fit table, the areas, the quantification and the exports still list every peak, and components with no INDEX group are never merged.</w:t>
      </w:r>
    </w:p>
    <w:p>
      <w:r>
        <w:t>To compare fits across a depth profile, or several refits of the same region, choose View, Fit stack. Each trace is drawn with its own fit, offset and normalised like its data, up to eight at a time (the Traces slider moves the window along a longer group, and a report shows the first window); one legend names the chemical states of the whole panel. A spectrum without a fit is drawn plain and the status bar says how many have none. The data are drawn in a single colour so they do not clash with the state colours, unless you pick a colour scale. The offline data browser has the same through its Fits on stacks box.</w:t>
      </w:r>
    </w:p>
    <w:p>
      <w:pPr>
        <w:jc w:val="center"/>
      </w:pPr>
      <w:r>
        <w:drawing>
          <wp:inline xmlns:a="http://schemas.openxmlformats.org/drawingml/2006/main" xmlns:pic="http://schemas.openxmlformats.org/drawingml/2006/picture">
            <wp:extent cx="5976000" cy="2933673"/>
            <wp:docPr id="8" name="Picture 8"/>
            <wp:cNvGraphicFramePr>
              <a:graphicFrameLocks noChangeAspect="1"/>
            </wp:cNvGraphicFramePr>
            <a:graphic>
              <a:graphicData uri="http://schemas.openxmlformats.org/drawingml/2006/picture">
                <pic:pic>
                  <pic:nvPicPr>
                    <pic:cNvPr id="0" name="fig_fitstack.png"/>
                    <pic:cNvPicPr/>
                  </pic:nvPicPr>
                  <pic:blipFill>
                    <a:blip r:embed="rId17"/>
                    <a:stretch>
                      <a:fillRect/>
                    </a:stretch>
                  </pic:blipFill>
                  <pic:spPr>
                    <a:xfrm>
                      <a:off x="0" y="0"/>
                      <a:ext cx="5976000" cy="2933673"/>
                    </a:xfrm>
                    <a:prstGeom prst="rect"/>
                  </pic:spPr>
                </pic:pic>
              </a:graphicData>
            </a:graphic>
          </wp:inline>
        </w:drawing>
      </w:r>
    </w:p>
    <w:p>
      <w:pPr>
        <w:jc w:val="center"/>
      </w:pPr>
      <w:r>
        <w:rPr>
          <w:i/>
          <w:sz w:val="20"/>
        </w:rPr>
        <w:t>Figure 21. A Fit stack of three depth levels. Left: every peak, coloured by its INDEX. Right: Merge INDEX groups draws the two O-C=O peaks (one INDEX) as one outline.</w:t>
      </w:r>
    </w:p>
    <w:p/>
    <w:p>
      <w:pPr>
        <w:pStyle w:val="Heading2"/>
      </w:pPr>
      <w:r>
        <w:t>Peak shapes and backgrounds</w:t>
      </w:r>
    </w:p>
    <w:p>
      <w:r>
        <w:t>CasaXPS’s own line shapes are drawn from the tables the program itself builds, not approximations: GL and SGL (with the T(k) tail), LA, LF, DS, H, F, E, A, TLA, LS, LSF, QF, QSF, QA, QS and DS with a cut-off, with the PHI / SL tails and the GL(m,n) kernel. Each was compared with CasaXPS’s exported component curves (0.02–1.3 % of the peak height, using the stated area as it is), and the fit of a real file is drawn within about 1–2 % of its data range. A component's Position is the shape’s centre, as in CasaXPS. A shape this application cannot reproduce keeps its real name and is flagged as approximate rather than drawn as something else, and a component with impossible parameters is left out of the envelope with a note.</w:t>
      </w:r>
    </w:p>
    <w:p>
      <w:r>
        <w:t>Backgrounds: Linear, Shirley (with the start and end offsets of the region), the Tougaard family (U 2 and U 4 Tougaard, the preset U Poly, U Si, U SiO2, U Ge and U Al, U 3 Tougaard with its own C, D and T0, W Tougaard, and the plain Tougaard whose scale CasaXPS sets from the data) and Smart. Min Limits, Step Down, Poly Regression and Spline Shirley are not reproduced: such a fit shows its components but no envelope.</w:t>
      </w:r>
    </w:p>
    <w:p>
      <w:pPr>
        <w:pStyle w:val="Heading2"/>
      </w:pPr>
      <w:r>
        <w:t>Goodness of fit</w:t>
      </w:r>
    </w:p>
    <w:p>
      <w:r>
        <w:t>Three boxes in the Fit row choose which fit statistics are shown, each on its own: RMS (the residual as a share of the data range), Reduced χ² (the Poisson-weighted reduced chi-square) and Residual StDev, CasaXPS’s own statistic (the root-mean-square of the residual in units of the counting noise, about 1 when the fit explains the data to counting statistics). RMS and Reduced χ² are on by default, Residual StDev is off. The plot writes RMS and Residual StDev under the fit; the fit tables of the reports and the fit header of the HTML page show whichever are ticked. They need the dwell time and the number of scans, and a figure or workbook saved before the Residual StDev box existed keeps showing RMS and Reduced χ² as it did.</w:t>
      </w:r>
    </w:p>
    <w:p>
      <w:r>
        <w:t>A scan fitted with several regions of the same name that touch, such as a piecewise Shirley background, is treated as one fit: its background is stitched together and every component is drawn across the whole span, instead of the narrower regions being taken for duplicates.</w:t>
      </w:r>
    </w:p>
    <w:p>
      <w:r>
        <w:t>CasaXPS's own binding-energy charge correction is carried over automatically and appears in Details (“BE calibration (CasaXPS)”) and in the report's calibration statement.</w:t>
      </w:r>
    </w:p>
    <w:p>
      <w:r>
        <w:t>GL and SGL peak shapes, with or without a T(k) tail, are computed exactly. The other shapes follow CasaXPS’s own tables, which were read from the program and checked against its exported curves, agreeing to between 0.02 % and 1.3 % of the peak height: LA, LF, Doniach-Sunjic (DS), H, F, E, the asymmetric Gelius shapes A(a,b,n)GL / SGL, TLA, LS, LSF, QA, QS, QF, QSF, GL(m,n) and the PHI and SL tails. Backgrounds are Shirley, linear and the Tougaard cross sections; the two-parameter (U 2) Tougaard is exact, the U Poly one was checked against a real fit, and the others (U Si, U SiO2, U Ge, U Al, U 4, plain and W Tougaard) are reconstructions. The St Offset and End Offset of a CasaXPS region are applied to the background. Where a shape or background cannot be reproduced (the K(...) suffixes and the shapes SS, TP, THG, PGL, IRP, IRS, VS, VGT, CS, SLA, LD and RG; E Tougaard; Spline backgrounds), the components are drawn without an envelope and the status bar says so. The fit itself is read-only — fit your data in CasaXPS, then review it here. The fit table also gives each region’s residual and Poisson-weighted reduced chi-square.</w:t>
      </w:r>
    </w:p>
    <w:p>
      <w:pPr>
        <w:pStyle w:val="Heading2"/>
      </w:pPr>
      <w:r>
        <w:t>Which transmission function a CasaXPS file holds</w:t>
      </w:r>
    </w:p>
    <w:p>
      <w:r>
        <w:t>A CasaXPS VAMAS export of Avantage data carries a Transmission column, and its comment text does not always say which function that is. Details names it, judged from the numbers themselves: Avantage’s polynomial, CasaXPS’s recalculated VG function (the same form with new coefficients), or a measured transmission file, which is not in the export and cannot be rebuilt here, so its column is used as written. A column that matches none is not given a name. The Quantification tab says which function “Divide out the transmission function” divides by.</w:t>
      </w:r>
    </w:p>
    <w:p>
      <w:pPr>
        <w:pStyle w:val="Heading2"/>
      </w:pPr>
      <w:r>
        <w:t>Importing a CasaXPS CSV export</w:t>
      </w:r>
    </w:p>
    <w:p>
      <w:r>
        <w:t>To see exactly what CasaXPS drew, rather than a reconstruction, use Tools → Import CasaXPS CSV export… on a CasaXPS “Export All to ASCII” file (either layout). Each exported spectrum is matched to a region that already carries a CasaXPS fit, by comparing the data itself, and its components are lined up by binding-energy position (the export carries the charge-corrected axis, so a file with a CasaXPS calibration is matched across that shift and the box names it); the export can also simply be opened together with its .vms, dropped with it, or sit in the same folder; a region that cannot be matched cleanly is reported and skipped rather than guessed. The CasaXPS curves are then available through the “Use CasaXPS CSV curves” checkbox beside the fit toggles (off until a match exists), and flow into the fit table, areas and CSV exports. The imported file is stored inside the workbook and matched again when you reopen it.</w:t>
      </w:r>
    </w:p>
    <w:p>
      <w:pPr>
        <w:pStyle w:val="Heading2"/>
      </w:pPr>
      <w:r>
        <w:t>KherveFitting projects and peak libraries</w:t>
      </w:r>
    </w:p>
    <w:p>
      <w:r>
        <w:t>A KherveFitting .kfit project opens like any other file and shows its fits, backgrounds and (when its results table has them) sensitivity factors through the same fit toggles and Quantification tab. Tools → Import KherveFitting peak model… opens a standalone Peaks Library .json as a fit-only reference: there is no measured spectrum, so the region shows the model’s own curve and says so. Note that KherveFitting may already have applied a charge correction to the stored energies; it is shown as metadata and never applied twice.</w:t>
      </w:r>
    </w:p>
    <w:p>
      <w:pPr>
        <w:jc w:val="center"/>
      </w:pPr>
      <w:r>
        <w:drawing>
          <wp:inline xmlns:a="http://schemas.openxmlformats.org/drawingml/2006/main" xmlns:pic="http://schemas.openxmlformats.org/drawingml/2006/picture">
            <wp:extent cx="5976000" cy="3452800"/>
            <wp:docPr id="9" name="Picture 9"/>
            <wp:cNvGraphicFramePr>
              <a:graphicFrameLocks noChangeAspect="1"/>
            </wp:cNvGraphicFramePr>
            <a:graphic>
              <a:graphicData uri="http://schemas.openxmlformats.org/drawingml/2006/picture">
                <pic:pic>
                  <pic:nvPicPr>
                    <pic:cNvPr id="0" name="fig_casafit.png"/>
                    <pic:cNvPicPr/>
                  </pic:nvPicPr>
                  <pic:blipFill>
                    <a:blip r:embed="rId18"/>
                    <a:stretch>
                      <a:fillRect/>
                    </a:stretch>
                  </pic:blipFill>
                  <pic:spPr>
                    <a:xfrm>
                      <a:off x="0" y="0"/>
                      <a:ext cx="5976000" cy="3452800"/>
                    </a:xfrm>
                    <a:prstGeom prst="rect"/>
                  </pic:spPr>
                </pic:pic>
              </a:graphicData>
            </a:graphic>
          </wp:inline>
        </w:drawing>
      </w:r>
    </w:p>
    <w:p>
      <w:pPr>
        <w:jc w:val="center"/>
      </w:pPr>
      <w:r>
        <w:rPr>
          <w:i/>
          <w:sz w:val="20"/>
        </w:rPr>
        <w:t>Figure 22. A fitted spectrum with its components, envelope and background shown.</w:t>
      </w:r>
    </w:p>
    <w:p/>
    <w:p>
      <w:r>
        <w:br w:type="page"/>
      </w:r>
    </w:p>
    <w:p>
      <w:pPr>
        <w:pStyle w:val="Heading1"/>
      </w:pPr>
      <w:r>
        <w:t>21. ISS and REELS</w:t>
      </w:r>
    </w:p>
    <w:p>
      <w:r>
        <w:t>Tools → ISS / REELS… works on the one spectrum you have ticked, on whatever energy axis it uses.</w:t>
      </w:r>
    </w:p>
    <w:p>
      <w:pPr>
        <w:pStyle w:val="Heading2"/>
      </w:pPr>
      <w:r>
        <w:t>ISS peaks</w:t>
      </w:r>
    </w:p>
    <w:p>
      <w:r>
        <w:t>Give the ion (H⁺, He⁺, Ne⁺, Ar⁺), the beam energy (read from the file where it is recorded) and the scattering angle for your instrument. Click a peak on the plot and the elements that could scatter the ion to that energy are listed, nearest first, from the single-collision scattering model. Add marker labels the peak, or type the elements you expect and Mark places each at its predicted energy. ISS markers sit at kinetic energy, so a binding-energy calibration never moves them.</w:t>
      </w:r>
    </w:p>
    <w:p>
      <w:r>
        <w:t>Thermo ISS files record the ion, the beam energy, Avantage’s calibrated beam energy and the scattering angle, and the dialog fills them in (the calibrated energy is the one the peaks fit). Kratos files do not, so the dialog offers He⁺, 1000 eV and 135° (the Axis Ultra geometry) but states nothing in a report until you choose Use for this file.</w:t>
      </w:r>
    </w:p>
    <w:p>
      <w:r>
        <w:t>The ISS axis box beside Energy chooses the x axis of ion scattering spectra: Kinetic energy (the default) or the energy ratio E/E₀, as ISS tables are usually shown. The ratio needs the beam energy, from the file or saved with Use for this file; a Kratos spectrum with none stays on kinetic energy and says so. XPS spectra on the same page keep their own Binding / Kinetic choice, and the offline HTML browser has the same ISS axis box.</w:t>
      </w:r>
    </w:p>
    <w:p>
      <w:pPr>
        <w:jc w:val="center"/>
      </w:pPr>
      <w:r>
        <w:drawing>
          <wp:inline xmlns:a="http://schemas.openxmlformats.org/drawingml/2006/main" xmlns:pic="http://schemas.openxmlformats.org/drawingml/2006/picture">
            <wp:extent cx="5976000" cy="3452800"/>
            <wp:docPr id="10" name="Picture 10"/>
            <wp:cNvGraphicFramePr>
              <a:graphicFrameLocks noChangeAspect="1"/>
            </wp:cNvGraphicFramePr>
            <a:graphic>
              <a:graphicData uri="http://schemas.openxmlformats.org/drawingml/2006/picture">
                <pic:pic>
                  <pic:nvPicPr>
                    <pic:cNvPr id="0" name="fig_iss.png"/>
                    <pic:cNvPicPr/>
                  </pic:nvPicPr>
                  <pic:blipFill>
                    <a:blip r:embed="rId19"/>
                    <a:stretch>
                      <a:fillRect/>
                    </a:stretch>
                  </pic:blipFill>
                  <pic:spPr>
                    <a:xfrm>
                      <a:off x="0" y="0"/>
                      <a:ext cx="5976000" cy="3452800"/>
                    </a:xfrm>
                    <a:prstGeom prst="rect"/>
                  </pic:spPr>
                </pic:pic>
              </a:graphicData>
            </a:graphic>
          </wp:inline>
        </w:drawing>
      </w:r>
    </w:p>
    <w:p>
      <w:pPr>
        <w:jc w:val="center"/>
      </w:pPr>
      <w:r>
        <w:rPr>
          <w:i/>
          <w:sz w:val="20"/>
        </w:rPr>
        <w:t>Figure 23. An ISS spectrum with candidate elements marked at their predicted scattered-ion energies.</w:t>
      </w:r>
    </w:p>
    <w:p/>
    <w:p>
      <w:pPr>
        <w:pStyle w:val="Heading2"/>
      </w:pPr>
      <w:r>
        <w:t>REELS band gap</w:t>
      </w:r>
    </w:p>
    <w:p>
      <w:r>
        <w:t>Find the elastic peak (automatically, by typing it, or by clicking it), then click two points on the rising edge of the loss spectrum. The straight line through them meets the baseline at the band gap, which is drawn on the plot and stored in the workbook and the spectrum's metadata. Points that do not give a positive gap are explained rather than stored as a result.</w:t>
      </w:r>
    </w:p>
    <w:p>
      <w:pPr>
        <w:jc w:val="center"/>
      </w:pPr>
      <w:r>
        <w:drawing>
          <wp:inline xmlns:a="http://schemas.openxmlformats.org/drawingml/2006/main" xmlns:pic="http://schemas.openxmlformats.org/drawingml/2006/picture">
            <wp:extent cx="5976000" cy="3452800"/>
            <wp:docPr id="11" name="Picture 11"/>
            <wp:cNvGraphicFramePr>
              <a:graphicFrameLocks noChangeAspect="1"/>
            </wp:cNvGraphicFramePr>
            <a:graphic>
              <a:graphicData uri="http://schemas.openxmlformats.org/drawingml/2006/picture">
                <pic:pic>
                  <pic:nvPicPr>
                    <pic:cNvPr id="0" name="fig_reels.png"/>
                    <pic:cNvPicPr/>
                  </pic:nvPicPr>
                  <pic:blipFill>
                    <a:blip r:embed="rId20"/>
                    <a:stretch>
                      <a:fillRect/>
                    </a:stretch>
                  </pic:blipFill>
                  <pic:spPr>
                    <a:xfrm>
                      <a:off x="0" y="0"/>
                      <a:ext cx="5976000" cy="3452800"/>
                    </a:xfrm>
                    <a:prstGeom prst="rect"/>
                  </pic:spPr>
                </pic:pic>
              </a:graphicData>
            </a:graphic>
          </wp:inline>
        </w:drawing>
      </w:r>
    </w:p>
    <w:p>
      <w:pPr>
        <w:jc w:val="center"/>
      </w:pPr>
      <w:r>
        <w:rPr>
          <w:i/>
          <w:sz w:val="20"/>
        </w:rPr>
        <w:t>Figure 24. The REELS band-gap construction: elastic peak, tangent and baseline.</w:t>
      </w:r>
    </w:p>
    <w:p/>
    <w:p>
      <w:r>
        <w:br w:type="page"/>
      </w:r>
    </w:p>
    <w:p>
      <w:pPr>
        <w:pStyle w:val="Heading1"/>
      </w:pPr>
      <w:r>
        <w:t>22. Avantage experiments, projects, camera images and SnapMaps</w:t>
      </w:r>
    </w:p>
    <w:p>
      <w:r>
        <w:t>Thermo Avantage writes one .VGD file per scan into a folder tree beside its .VGX file. Open → Folder… on that folder (or on the .VGX, or on a single sample folder inside it) loads everything as one experiment, with a progress box you can cancel. The tree runs experiment → sample → analysis point → scan, in the order the .VGX file says they were run.</w:t>
      </w:r>
    </w:p>
    <w:p>
      <w:r>
        <w:t>Camera images: the sample-view pictures Avantage takes at each point carry their own stage calibration, so no manual calibration is needed. Select a point and its picture appears in the Images tab, with the analysis points that fall inside it, the outline of any SnapMap taken there, and a scale bar. Click a point in the picture to select it in the tree.</w:t>
      </w:r>
    </w:p>
    <w:p>
      <w:r>
        <w:t>SnapMaps (a spectrum at every pixel) appear as one region each, marked (SnapMap). Double-click one to open the viewer: drag across the spectrum to choose the energy window (Remove background takes a sloping baseline off first), drag a box or click a pixel on the map to see that area's spectrum, lay the map over the camera picture, and save the picture, the map values, or the spectra. A Smoothing choice (None, Savitzky-Golay, Fourier low-pass or Gauss-Hermite Smooth) with a strength control cleans noisy map spectra for display; the Fourier methods remove the straight line from first to last point before filtering, so a sloping spectrum does not ring at its ends.</w:t>
      </w:r>
    </w:p>
    <w:p>
      <w:r>
        <w:t>The window can be resized and has a zoom / pan toolbar. A drag or click on the map adds an area (a rectangle or an ellipse, up to six, each in its own colour); a table lists each area's pixels, size, mean counts per pixel and mean relative to the whole map for the energy window on show, and can be saved as CSV. The View box switches between the single map, an element grid, an RGB composite (three elements as red, green and blue, each on its own range) and a ratio map (first element over the second, blank where the second is mostly noise); only elements on the same pixels combine, and nothing is corrected for sensitivity, so a composite shows where an element is, not how much.</w:t>
      </w:r>
    </w:p>
    <w:p>
      <w:r>
        <w:t>Mosaic lays other SnapMaps of the same core level beside the current one by their stage positions, with one energy window and one colour range for all; where maps overlap the mean is shown and where none reaches the canvas is blank. Only the stage positions are used: there is no rotation or image registration.</w:t>
      </w:r>
    </w:p>
    <w:p>
      <w:r>
        <w:t>Save writes a picture (PNG, PDF or SVG, drawn for paper) with the map and spectrum or the map alone. Save as a figure for the report stores the view in the workbook's figures, so it appears in the PDF report, the slides, Word, the data browser page and the hand-over ZIP; Recall in the Figures dialog reopens the viewer on it.</w:t>
      </w:r>
    </w:p>
    <w:tbl>
      <w:tblPr>
        <w:tblStyle w:val="TableGrid"/>
        <w:tblW w:type="auto" w:w="0"/>
        <w:tblLayout w:type="fixed"/>
        <w:tblLook w:firstColumn="1" w:firstRow="1" w:lastColumn="0" w:lastRow="0" w:noHBand="0" w:noVBand="1" w:val="04A0"/>
      </w:tblPr>
      <w:tblGrid>
        <w:gridCol w:w="9412"/>
      </w:tblGrid>
      <w:tr>
        <w:trPr>
          <w:trHeight w:hRule="atLeast" w:val="3402"/>
        </w:trPr>
        <w:tc>
          <w:tcPr>
            <w:tcW w:type="dxa" w:w="9411"/>
            <w:shd w:val="clear" w:color="auto" w:fill="F2F2F2"/>
          </w:tcPr>
          <w:p>
            <w:r/>
          </w:p>
          <w:p>
            <w:pPr>
              <w:jc w:val="center"/>
            </w:pPr>
            <w:r>
              <w:rPr>
                <w:i/>
                <w:color w:val="808080"/>
                <w:sz w:val="22"/>
              </w:rPr>
              <w:t>[ Insert screenshot here — The SnapMap viewer: the element map and the selected area's spectrum. ]</w:t>
            </w:r>
          </w:p>
          <w:p/>
        </w:tc>
      </w:tr>
    </w:tbl>
    <w:p>
      <w:pPr>
        <w:jc w:val="center"/>
      </w:pPr>
      <w:r>
        <w:rPr>
          <w:i/>
          <w:sz w:val="20"/>
        </w:rPr>
        <w:t>Figure 25. The SnapMap viewer: the element map and the selected area's spectrum.</w:t>
      </w:r>
    </w:p>
    <w:p/>
    <w:p>
      <w:pPr>
        <w:pStyle w:val="Heading2"/>
      </w:pPr>
      <w:r>
        <w:t>Kratos imaging maps</w:t>
      </w:r>
    </w:p>
    <w:p>
      <w:r>
        <w:t>Stigmatic images from a Kratos .kal or .dset (one single-energy image per object) are rows marked “(Map)” in the tree, with the binding energy and the image size. They have no spectrum and so no tick box. Double-click one (or press Enter) to open the image viewer: it steps through the maps of the same stage position (a focus series) or the same energy, with a slider and filters, colour choices, a shared colour range and smoothing (for the picture only), an area, and a plot of the mean counts or the sharpness against stage height, time or frame number. Saving writes the picture, the pixel values or the table. The field of view is not stored in the file: a measured value is used and every scale bar says approx. The images also have their own tab in the HTML data browser and their own pages in the reports.</w:t>
      </w:r>
    </w:p>
    <w:p>
      <w:pPr>
        <w:pStyle w:val="Heading2"/>
      </w:pPr>
      <w:r>
        <w:t>Avantage projects (.vgp)</w:t>
      </w:r>
    </w:p>
    <w:p>
      <w:r>
        <w:t>An Avantage project holds a session’s peak fits. Open the .vgp file, or the folder that holds just one, and the spectra it uses (its .DATA folder of .VGD files) load together, named after the project, with the project’s fitted peaks and backgrounds drawn through the same Fit row, Quantification tab, reports and exports as a CasaXPS fit. The fit is read, never refitted. Peaks follow Avantage’s Gaussian/Lorentzian shape (product or sum, told from the stored areas) with its tail, and the background is Linear, Shirley or Avantage’s Smart background, a Shirley that never rises above the data. A fit that does not describe its spectrum says so on the plot, and a file with two traces takes the fit on the trace it matches.</w:t>
      </w:r>
    </w:p>
    <w:p>
      <w:r>
        <w:t>Quantification uses Avantage’s own numbers, which this application reproduces to the digits printed in Avantage’s Peak Table (checked on S 2p, Te 3d, Mn 2p and C 1s fits). Each peak’s area (Avantage’s Area (P)) is divided by its sensitivity factor from the library the project names (ALTHERMO1 is Thermo’s adjusted Scofield set for a monochromated Al source), by the transmission function at the peak (unless the file says it was already removed, which gives TXFN 1.00) and by an energy term: the TPP-2M mean free path for ALTHERMO1, a power of the kinetic energy (KE^0.6) for the Scofield libraries. A peak typed in by hand, such as a satellite, carries Avantage’s default factor of 1 and is counted as Avantage counts it.</w:t>
      </w:r>
    </w:p>
    <w:p>
      <w:r>
        <w:t>Details lists what each fit constrained under “Peak constraints (Avantage)”: a peak’s position tied to another’s with an offset and limits, its height or FWHM as a ratio of another’s, and FWHM limits. A doublet’s “area ratio” constraint is a height ratio in the file, which is the area ratio only while both peaks have the same width. Constraints are shown, not applied, and a layout the reader does not know is left out rather than guessed.</w:t>
      </w:r>
    </w:p>
    <w:p>
      <w:pPr>
        <w:pStyle w:val="Heading2"/>
      </w:pPr>
      <w:r>
        <w:t>Older and converted Avantage files</w:t>
      </w:r>
    </w:p>
    <w:p>
      <w:r>
        <w:t>Files from older Avantage versions, such as the sample data converted from VG Eclipse, read as before and now also give their scan count, the source (“Al Kα, non-monochromated” when the file says so), the Avantage version and the file they were converted from. Their recorded times are not labelled UTC, because those files do not say which zone they use, and the transmission coefficients they hold are neither applied nor claimed, since the file does not say whether the counts already have the function removed. A SnapMap’s scan count, and so its counting time, is read too.</w:t>
      </w:r>
    </w:p>
    <w:p>
      <w:pPr>
        <w:pStyle w:val="Heading2"/>
      </w:pPr>
      <w:r>
        <w:t>Angle-resolved (tilt) series</w:t>
      </w:r>
    </w:p>
    <w:p>
      <w:r>
        <w:t>A series recorded at several stage tilts is recognised: each spectrum shows its Sample tilt, the Z axis of a waterfall or heatmap can be Tilt, the methods text says the spectra are angle-resolved, and the series is not mistaken for a sputter depth profile. The take-off angle and any intensity correction are not inferred.</w:t>
      </w:r>
    </w:p>
    <w:p>
      <w:r>
        <w:br w:type="page"/>
      </w:r>
    </w:p>
    <w:p>
      <w:pPr>
        <w:pStyle w:val="Heading1"/>
      </w:pPr>
      <w:r>
        <w:t>23. Depth profiles</w:t>
      </w:r>
    </w:p>
    <w:p>
      <w:r>
        <w:t>Sputter depth profiles are detected automatically, either from a Kratos file's own instrument record or from a repeated region in a VAMAS file with an etch-time variable. Ticking a region folder puts every level on one panel. The export dialog then offers region-type checkboxes and level selection (All, First N, Every Nth, or a range).</w:t>
      </w:r>
    </w:p>
    <w:p>
      <w:r>
        <w:t>Level 0 is the surface at time zero, followed by the cumulative sputter time. Etch level and etch time appear in the metadata CSV/PDF and the Details panel, and are written into each VAMAS block as comment lines.</w:t>
      </w:r>
    </w:p>
    <w:p>
      <w:r>
        <w:br w:type="page"/>
      </w:r>
    </w:p>
    <w:p>
      <w:pPr>
        <w:pStyle w:val="Heading1"/>
      </w:pPr>
      <w:r>
        <w:t>24. NEXAFS scans</w:t>
      </w:r>
    </w:p>
    <w:p>
      <w:r>
        <w:t>A NEXAFS scan from a beamline (Diamond B07 / GDA, as a NeXus .nxs file) opens as one spectrum per detector channel, photon energy against current, named by detector. Nothing is guessed: which channel is total electron yield or fluorescence yield is not in the file, so none is assumed, the energy axis is never converted to binding energy, and nothing is normalised until you ask.</w:t>
      </w:r>
    </w:p>
    <w:p>
      <w:pPr>
        <w:pStyle w:val="Heading2"/>
      </w:pPr>
      <w:r>
        <w:t>Ring-current scaling</w:t>
      </w:r>
    </w:p>
    <w:p>
      <w:r>
        <w:t>Tick Ring-current scaling (beside the view controls, or in the View menu) to scale every point to the mean ring current of its scan. It is off by default and saved in the workbook. The ring current’s unit is not recorded, so the signal is scaled to the mean rather than divided by the current (which would claim a unit), and a point whose ring current is zero is left blank. The plot, the exports, the reports and the HTML page all follow.</w:t>
      </w:r>
    </w:p>
    <w:p>
      <w:pPr>
        <w:pStyle w:val="Heading2"/>
      </w:pPr>
      <w:r>
        <w:t>Edge normalisation</w:t>
      </w:r>
    </w:p>
    <w:p>
      <w:r>
        <w:t>Tools → NEXAFS edge step… normalises a spectrum to its absorption edge, with two methods. Edge step is the usual one: a line (or a constant or a parabola) is fitted over a pre-edge window and subtracted, and the result is divided by the step at the edge energy E0 taken from a fit over a post-edge window, so the edge step becomes 1. Min–max follows a spreadsheet processing template: the pre-edge line is subtracted and the spectrum is scaled so its lowest point is 0 and its highest 1.</w:t>
      </w:r>
    </w:p>
    <w:p>
      <w:r>
        <w:t>The dialog proposes windows (the first few eV of the scan for the pre-edge, the last tenth for the post-edge, the steepest rise for E0) and shows them as “Not saved yet” until you choose Use for this spectrum, or Use for all listed, which applies the same energies to every listed spectrum they fit and names the others. A choice that cannot be applied (a window with too few points or outside the data, a pre-edge ending above E0, a zero step) is explained and the spectrum is left as it was. Each choice is saved per spectrum in the workbook and applied wherever the spectrum is drawn or exported; the metadata rows “Edge normalisation” and “Edge step” and one sentence of the methods text say what was done.</w:t>
      </w:r>
    </w:p>
    <w:p>
      <w:r>
        <w:t>Flatten the post-edge fits a line (or a constant or a parabola) to the normalised data over the post-edge window and removes its slope above E0, so the post-edge sits level at about 1 while the edge step stays 1; nothing below E0 changes. Dividing by the I0 monitor channel is not done, so a raw total-electron-yield spectrum still shows the dip of the beamline monitor at the carbon edge.</w:t>
      </w:r>
    </w:p>
    <w:p>
      <w:r>
        <w:br w:type="page"/>
      </w:r>
    </w:p>
    <w:p>
      <w:pPr>
        <w:pStyle w:val="Heading1"/>
      </w:pPr>
      <w:r>
        <w:t>25. Troubleshooting and notes</w:t>
      </w:r>
    </w:p>
    <w:p>
      <w:pPr>
        <w:pStyle w:val="ListBullet"/>
      </w:pPr>
      <w:r>
        <w:t>tkinter is part of Python but needs an extra OS package on some Linux systems: sudo apt-get install python3-tk (Debian/Ubuntu), or sudo dnf install python3-tkinter (Fedora). The launcher reports whether it is missing.</w:t>
      </w:r>
    </w:p>
    <w:p>
      <w:pPr>
        <w:pStyle w:val="ListBullet"/>
      </w:pPr>
      <w:r>
        <w:t>Settings (theme, panel sizes, view options, plot style and your presets) are saved in ~/.spectradeck_config.json. The holder-photo calibration lives in each workbook; the last one used seeds new workbooks via ~/.spectradeck_calib.json.</w:t>
      </w:r>
    </w:p>
    <w:p>
      <w:pPr>
        <w:pStyle w:val="ListBullet"/>
      </w:pPr>
      <w:r>
        <w:t>Binding energy is photon energy minus kinetic energy and is not charge-corrected, so peaks on a charging sample may sit a few eV off until you calibrate (Chapter 11).</w:t>
      </w:r>
    </w:p>
    <w:p>
      <w:pPr>
        <w:pStyle w:val="ListBullet"/>
      </w:pPr>
      <w:r>
        <w:t>The .experiment, .vgd and .kal readers are reverse-engineered from undocumented formats. They have been checked against vendor exports of the same data, but cross-check anything critical against the vendor's own software.</w:t>
      </w:r>
    </w:p>
    <w:p>
      <w:pPr>
        <w:pStyle w:val="ListBullet"/>
      </w:pPr>
      <w:r>
        <w:t>If a .experiment file was transferred as text rather than binary it can be silently corrupted; the application detects this and refuses to export noise.</w:t>
      </w:r>
    </w:p>
    <w:p>
      <w:pPr>
        <w:pStyle w:val="ListBullet"/>
      </w:pPr>
      <w:r>
        <w:t>Some libraries are optional and a feature that needs a missing one says so instead of failing: h5py (NeXus export, .nxs and .kfit files), PyMuPDF (the in-app PDF preview), python-pptx (the slides), Pillow (icons, camera pictures and cover pictures) and matplotlib (plots).</w:t>
      </w:r>
    </w:p>
    <w:p>
      <w:pPr>
        <w:pStyle w:val="ListBullet"/>
      </w:pPr>
      <w:r>
        <w:t>A Kratos file records when each run started but not when it ended, so the report’s Timing section is shorter for Kratos data; it is left out rather than estimated.</w:t>
      </w:r>
    </w:p>
    <w:p>
      <w:pPr>
        <w:pStyle w:val="ListBullet"/>
      </w:pPr>
      <w:r>
        <w:t>An Avantage project whose .VGD files have been moved loads the files it can find and names each missing one; keep the .vgp beside its .DATA folder.</w:t>
      </w:r>
    </w:p>
    <w:p>
      <w:pPr>
        <w:pStyle w:val="ListBullet"/>
      </w:pPr>
      <w:r>
        <w:t>To test the application against your own data, set the XPS_CORPUS environment variable to a folder of spectra files and run the test suite to check that every recognised file loads.</w:t>
      </w:r>
    </w:p>
    <w:p>
      <w:r>
        <w:br w:type="page"/>
      </w:r>
    </w:p>
    <w:p>
      <w:pPr>
        <w:pStyle w:val="Heading1"/>
      </w:pPr>
      <w:r>
        <w:t>Appendix A: Supported file formats</w:t>
      </w:r>
    </w:p>
    <w:tbl>
      <w:tblPr>
        <w:tblStyle w:val="TableGrid"/>
        <w:tblW w:type="auto" w:w="0"/>
        <w:tblLayout w:type="fixed"/>
        <w:tblLook w:firstColumn="1" w:firstRow="1" w:lastColumn="0" w:lastRow="0" w:noHBand="0" w:noVBand="1" w:val="04A0"/>
      </w:tblPr>
      <w:tblGrid>
        <w:gridCol w:w="3137"/>
        <w:gridCol w:w="3137"/>
        <w:gridCol w:w="3137"/>
      </w:tblGrid>
      <w:tr>
        <w:tc>
          <w:tcPr>
            <w:tcW w:type="dxa" w:w="2268"/>
            <w:shd w:val="clear" w:color="auto" w:fill="2C3E50"/>
          </w:tcPr>
          <w:p>
            <w:r/>
            <w:r>
              <w:rPr>
                <w:b/>
                <w:color w:val="FFFFFF"/>
              </w:rPr>
              <w:t>Format</w:t>
            </w:r>
          </w:p>
        </w:tc>
        <w:tc>
          <w:tcPr>
            <w:tcW w:type="dxa" w:w="1814"/>
            <w:shd w:val="clear" w:color="auto" w:fill="2C3E50"/>
          </w:tcPr>
          <w:p>
            <w:r/>
            <w:r>
              <w:rPr>
                <w:b/>
                <w:color w:val="FFFFFF"/>
              </w:rPr>
              <w:t>Extension</w:t>
            </w:r>
          </w:p>
        </w:tc>
        <w:tc>
          <w:tcPr>
            <w:tcW w:type="dxa" w:w="5329"/>
            <w:shd w:val="clear" w:color="auto" w:fill="2C3E50"/>
          </w:tcPr>
          <w:p>
            <w:r/>
            <w:r>
              <w:rPr>
                <w:b/>
                <w:color w:val="FFFFFF"/>
              </w:rPr>
              <w:t>Notes</w:t>
            </w:r>
          </w:p>
        </w:tc>
      </w:tr>
      <w:tr>
        <w:tc>
          <w:tcPr>
            <w:tcW w:type="dxa" w:w="2268"/>
          </w:tcPr>
          <w:p>
            <w:r>
              <w:t>VAMAS (ISO 14976)</w:t>
            </w:r>
          </w:p>
        </w:tc>
        <w:tc>
          <w:tcPr>
            <w:tcW w:type="dxa" w:w="1814"/>
          </w:tcPr>
          <w:p>
            <w:r>
              <w:t>.vms, .vamas, .npl</w:t>
            </w:r>
          </w:p>
        </w:tc>
        <w:tc>
          <w:tcPr>
            <w:tcW w:type="dxa" w:w="5329"/>
          </w:tcPr>
          <w:p>
            <w:r>
              <w:t>From any vendor (Kratos/CasaXPS, PHI, SPECS, Thermo, ...); PHI MultiPak's own export is the .npl. Handles NORM/MAP/SDPSV modes, regular and irregular scans, and vendor comment blocks.</w:t>
            </w:r>
          </w:p>
        </w:tc>
      </w:tr>
      <w:tr>
        <w:tc>
          <w:tcPr>
            <w:tcW w:type="dxa" w:w="2268"/>
          </w:tcPr>
          <w:p>
            <w:r>
              <w:t>Thermo Avantage text dump</w:t>
            </w:r>
          </w:p>
        </w:tc>
        <w:tc>
          <w:tcPr>
            <w:tcW w:type="dxa" w:w="1814"/>
          </w:tcPr>
          <w:p>
            <w:r>
              <w:t>.avg (.avx text dump)</w:t>
            </w:r>
          </w:p>
        </w:tc>
        <w:tc>
          <w:tcPr>
            <w:tcW w:type="dxa" w:w="5329"/>
          </w:tcPr>
          <w:p>
            <w:r>
              <w:t>Multi-position scans give one region per position; a SnapMap loads as its summed spectrum; camera images become pictures, not spectra.</w:t>
            </w:r>
          </w:p>
        </w:tc>
      </w:tr>
      <w:tr>
        <w:tc>
          <w:tcPr>
            <w:tcW w:type="dxa" w:w="2268"/>
          </w:tcPr>
          <w:p>
            <w:r>
              <w:t>Thermo Avantage binary</w:t>
            </w:r>
          </w:p>
        </w:tc>
        <w:tc>
          <w:tcPr>
            <w:tcW w:type="dxa" w:w="1814"/>
          </w:tcPr>
          <w:p>
            <w:r>
              <w:t>.vgd (.avx binary)</w:t>
            </w:r>
          </w:p>
        </w:tc>
        <w:tc>
          <w:tcPr>
            <w:tcW w:type="dxa" w:w="5329"/>
          </w:tcPr>
          <w:p>
            <w:r>
              <w:t>Reverse-engineered container; matches the .avg of the same data exactly.</w:t>
            </w:r>
          </w:p>
        </w:tc>
      </w:tr>
      <w:tr>
        <w:tc>
          <w:tcPr>
            <w:tcW w:type="dxa" w:w="2268"/>
          </w:tcPr>
          <w:p>
            <w:r>
              <w:t>Thermo Avantage experiment</w:t>
            </w:r>
          </w:p>
        </w:tc>
        <w:tc>
          <w:tcPr>
            <w:tcW w:type="dxa" w:w="1814"/>
          </w:tcPr>
          <w:p>
            <w:r>
              <w:t>a folder, or .VGX</w:t>
            </w:r>
          </w:p>
        </w:tc>
        <w:tc>
          <w:tcPr>
            <w:tcW w:type="dxa" w:w="5329"/>
          </w:tcPr>
          <w:p>
            <w:r>
              <w:t>Opens the whole experiment as one session: samples, analysis points, scans in run order, camera images and SnapMaps (Chapter 22).</w:t>
            </w:r>
          </w:p>
        </w:tc>
      </w:tr>
      <w:tr>
        <w:tc>
          <w:tcPr>
            <w:tcW w:type="dxa" w:w="2268"/>
          </w:tcPr>
          <w:p>
            <w:r>
              <w:t>Thermo Avantage project</w:t>
            </w:r>
          </w:p>
        </w:tc>
        <w:tc>
          <w:tcPr>
            <w:tcW w:type="dxa" w:w="1814"/>
          </w:tcPr>
          <w:p>
            <w:r>
              <w:t>.vgp (or a folder holding one)</w:t>
            </w:r>
          </w:p>
        </w:tc>
        <w:tc>
          <w:tcPr>
            <w:tcW w:type="dxa" w:w="5329"/>
          </w:tcPr>
          <w:p>
            <w:r>
              <w:t>The spectra of the project’s .DATA folder with its fitted peaks, backgrounds, sensitivity factors and constraints (Chapter 22). The fit is read, never refitted.</w:t>
            </w:r>
          </w:p>
        </w:tc>
      </w:tr>
      <w:tr>
        <w:tc>
          <w:tcPr>
            <w:tcW w:type="dxa" w:w="2268"/>
          </w:tcPr>
          <w:p>
            <w:r>
              <w:t>PHI / ULVAC-PHI MultiPak</w:t>
            </w:r>
          </w:p>
        </w:tc>
        <w:tc>
          <w:tcPr>
            <w:tcW w:type="dxa" w:w="1814"/>
          </w:tcPr>
          <w:p>
            <w:r>
              <w:t>.spe</w:t>
            </w:r>
          </w:p>
        </w:tc>
        <w:tc>
          <w:tcPr>
            <w:tcW w:type="dxa" w:w="5329"/>
          </w:tcPr>
          <w:p>
            <w:r>
              <w:t>Intensities are counts per second, as stored. Reads float64 and float32 data (the block headers say which, e.g. the Quantes) in either byte order.</w:t>
            </w:r>
          </w:p>
        </w:tc>
      </w:tr>
      <w:tr>
        <w:tc>
          <w:tcPr>
            <w:tcW w:type="dxa" w:w="2268"/>
          </w:tcPr>
          <w:p>
            <w:r>
              <w:t>Scienta Omicron SES</w:t>
            </w:r>
          </w:p>
        </w:tc>
        <w:tc>
          <w:tcPr>
            <w:tcW w:type="dxa" w:w="1814"/>
          </w:tcPr>
          <w:p>
            <w:r>
              <w:t>.txt</w:t>
            </w:r>
          </w:p>
        </w:tc>
        <w:tc>
          <w:tcPr>
            <w:tcW w:type="dxa" w:w="5329"/>
          </w:tcPr>
          <w:p>
            <w:r>
              <w:t>Detector/angle columns are summed to one spectrum.</w:t>
            </w:r>
          </w:p>
        </w:tc>
      </w:tr>
      <w:tr>
        <w:tc>
          <w:tcPr>
            <w:tcW w:type="dxa" w:w="2268"/>
          </w:tcPr>
          <w:p>
            <w:r>
              <w:t>Numbers in columns</w:t>
            </w:r>
          </w:p>
        </w:tc>
        <w:tc>
          <w:tcPr>
            <w:tcW w:type="dxa" w:w="1814"/>
          </w:tcPr>
          <w:p>
            <w:r>
              <w:t>.csv .asc .txt .dat .tsv .xy .xlsx</w:t>
            </w:r>
          </w:p>
        </w:tc>
        <w:tc>
          <w:tcPr>
            <w:tcW w:type="dxa" w:w="5329"/>
          </w:tcPr>
          <w:p>
            <w:r>
              <w:t>Any spectrum saved as plain columns (tab, comma, semicolon or space separated, with or without a header), as Surface Science Spectra asks for. An import dialog checks the energy and intensity columns, binding or kinetic energy, the unit and the name, and takes the sample, photon energy and pass energy; how each file was read is saved in the workbook. A SPECS .xy file is read with its header (photon and pass energy, dwell, scans), an Excel workbook (needs the optional openpyxl) through the sheet with the longest table, and the wide CSV this application writes (one spectrum per pair of columns) reads back; a photon or pass energy can be set per file in the dialog.</w:t>
            </w:r>
          </w:p>
        </w:tc>
      </w:tr>
      <w:tr>
        <w:tc>
          <w:tcPr>
            <w:tcW w:type="dxa" w:w="2268"/>
          </w:tcPr>
          <w:p>
            <w:r>
              <w:t>Kratos Vision2 dataset</w:t>
            </w:r>
          </w:p>
        </w:tc>
        <w:tc>
          <w:tcPr>
            <w:tcW w:type="dxa" w:w="1814"/>
          </w:tcPr>
          <w:p>
            <w:r>
              <w:t>.dset</w:t>
            </w:r>
          </w:p>
        </w:tc>
        <w:tc>
          <w:tcPr>
            <w:tcW w:type="dxa" w:w="5329"/>
          </w:tcPr>
          <w:p>
            <w:r>
              <w:t>The binary file Vision2 writes, read directly without the DumpDataset step. Gives the same spectra and settings as its .kal. A setting the reader has not met before is left out with a warning rather than guessed.</w:t>
            </w:r>
          </w:p>
        </w:tc>
      </w:tr>
      <w:tr>
        <w:tc>
          <w:tcPr>
            <w:tcW w:type="dxa" w:w="2268"/>
          </w:tcPr>
          <w:p>
            <w:r>
              <w:t>Kratos Vision</w:t>
            </w:r>
          </w:p>
        </w:tc>
        <w:tc>
          <w:tcPr>
            <w:tcW w:type="dxa" w:w="1814"/>
          </w:tcPr>
          <w:p>
            <w:r>
              <w:t>.kal</w:t>
            </w:r>
          </w:p>
        </w:tc>
        <w:tc>
          <w:tcPr>
            <w:tcW w:type="dxa" w:w="5329"/>
          </w:tcPr>
          <w:p>
            <w:r>
              <w:t>Includes the transmission function. Files that do not record the X-ray source stay on a kinetic-energy axis (a warning says so).</w:t>
            </w:r>
          </w:p>
        </w:tc>
      </w:tr>
      <w:tr>
        <w:tc>
          <w:tcPr>
            <w:tcW w:type="dxa" w:w="2268"/>
          </w:tcPr>
          <w:p>
            <w:r>
              <w:t>Kratos ESCApe</w:t>
            </w:r>
          </w:p>
        </w:tc>
        <w:tc>
          <w:tcPr>
            <w:tcW w:type="dxa" w:w="1814"/>
          </w:tcPr>
          <w:p>
            <w:r>
              <w:t>.experiment</w:t>
            </w:r>
          </w:p>
        </w:tc>
        <w:tc>
          <w:tcPr>
            <w:tcW w:type="dxa" w:w="5329"/>
          </w:tcPr>
          <w:p>
            <w:r>
              <w:t>Undocumented binary container, read by reverse engineering and checked against HarwellXPS's export of the same files. The dwell is stored summed over the sweeps and is handled as such; each spectrum gets its own stage position, neutraliser and emission settings; a file is split by the runs it holds (sequences, depth profiles, angle-resolved runs: see Chapter 4).</w:t>
            </w:r>
          </w:p>
        </w:tc>
      </w:tr>
      <w:tr>
        <w:tc>
          <w:tcPr>
            <w:tcW w:type="dxa" w:w="2268"/>
          </w:tcPr>
          <w:p>
            <w:r>
              <w:t>NeXus</w:t>
            </w:r>
          </w:p>
        </w:tc>
        <w:tc>
          <w:tcPr>
            <w:tcW w:type="dxa" w:w="1814"/>
          </w:tcPr>
          <w:p>
            <w:r>
              <w:t>.nxs</w:t>
            </w:r>
          </w:p>
        </w:tc>
        <w:tc>
          <w:tcPr>
            <w:tcW w:type="dxa" w:w="5329"/>
          </w:tcPr>
          <w:p>
            <w:r>
              <w:t>Needs the optional h5py. Analyser spectra in NXxps / NXmpes layout (one per entry; checked on files this application wrote, not on an instrument's own; fits are not read back) and beamline NEXAFS scans. A beamline photon-energy scan (Diamond B07 / GDA): one spectrum per detector channel, photon energy against current, named by detector. Nothing is guessed (which channel is total electron yield is not in the file) and nothing is normalised unless you tick Ring-current scaling, which scales every point to the mean ring current of its scan (its unit is not recorded, so it is not divided by). VAMAS export writes technique AES dir with the photon energy in the kinetic-energy field, as HarwellXPS does, and reads it back; NeXus export leaves these scans out.</w:t>
            </w:r>
          </w:p>
        </w:tc>
      </w:tr>
      <w:tr>
        <w:tc>
          <w:tcPr>
            <w:tcW w:type="dxa" w:w="2268"/>
          </w:tcPr>
          <w:p>
            <w:r>
              <w:t>XPSView / HarwellXPS session</w:t>
            </w:r>
          </w:p>
        </w:tc>
        <w:tc>
          <w:tcPr>
            <w:tcW w:type="dxa" w:w="1814"/>
          </w:tcPr>
          <w:p>
            <w:r>
              <w:t>.xpsv</w:t>
            </w:r>
          </w:p>
        </w:tc>
        <w:tc>
          <w:tcPr>
            <w:tcW w:type="dxa" w:w="5329"/>
          </w:tcPr>
          <w:p>
            <w:r>
              <w:t>A gzip-JSON session (schemas 1 and 2); only the experiment inside is read, read-only. The charge shift CasaXPS baked into the stored energies is undone and kept as a calibration, a hand-edited photon energy is corrected from the other spectra of the same source (a warning names it), CasaXPS fits are read from the stored lines, and repeated sample names get a suffix. Where XPSView keeps one sweep count for all levels of a depth profile a warning says so.</w:t>
            </w:r>
          </w:p>
        </w:tc>
      </w:tr>
      <w:tr>
        <w:tc>
          <w:tcPr>
            <w:tcW w:type="dxa" w:w="2268"/>
          </w:tcPr>
          <w:p>
            <w:r>
              <w:t>KherveFitting project</w:t>
            </w:r>
          </w:p>
        </w:tc>
        <w:tc>
          <w:tcPr>
            <w:tcW w:type="dxa" w:w="1814"/>
          </w:tcPr>
          <w:p>
            <w:r>
              <w:t>.kfit</w:t>
            </w:r>
          </w:p>
        </w:tc>
        <w:tc>
          <w:tcPr>
            <w:tcW w:type="dxa" w:w="5329"/>
          </w:tcPr>
          <w:p>
            <w:r>
              <w:t>HDF5 project file (needs the optional h5py). Loads the spectra with the fits, backgrounds and sensitivity factors KherveFitting stored. A standalone Peaks Library .json is opened separately: Tools → Import KherveFitting peak model…</w:t>
            </w:r>
          </w:p>
        </w:tc>
      </w:tr>
    </w:tbl>
    <w:p/>
    <w:p>
      <w:r>
        <w:br w:type="page"/>
      </w:r>
    </w:p>
    <w:p>
      <w:pPr>
        <w:pStyle w:val="Heading1"/>
      </w:pPr>
      <w:r>
        <w:t>Appendix B: Keyboard shortcuts</w:t>
      </w:r>
    </w:p>
    <w:tbl>
      <w:tblPr>
        <w:tblStyle w:val="TableGrid"/>
        <w:tblW w:type="auto" w:w="0"/>
        <w:tblLayout w:type="fixed"/>
        <w:tblLook w:firstColumn="1" w:firstRow="1" w:lastColumn="0" w:lastRow="0" w:noHBand="0" w:noVBand="1" w:val="04A0"/>
      </w:tblPr>
      <w:tblGrid>
        <w:gridCol w:w="4706"/>
        <w:gridCol w:w="4706"/>
      </w:tblGrid>
      <w:tr>
        <w:tc>
          <w:tcPr>
            <w:tcW w:type="dxa" w:w="2835"/>
            <w:shd w:val="clear" w:color="auto" w:fill="2C3E50"/>
          </w:tcPr>
          <w:p>
            <w:r/>
            <w:r>
              <w:rPr>
                <w:b/>
                <w:color w:val="FFFFFF"/>
              </w:rPr>
              <w:t>Shortcut</w:t>
            </w:r>
          </w:p>
        </w:tc>
        <w:tc>
          <w:tcPr>
            <w:tcW w:type="dxa" w:w="6576"/>
            <w:shd w:val="clear" w:color="auto" w:fill="2C3E50"/>
          </w:tcPr>
          <w:p>
            <w:r/>
            <w:r>
              <w:rPr>
                <w:b/>
                <w:color w:val="FFFFFF"/>
              </w:rPr>
              <w:t>Action</w:t>
            </w:r>
          </w:p>
        </w:tc>
      </w:tr>
      <w:tr>
        <w:tc>
          <w:tcPr>
            <w:tcW w:type="dxa" w:w="2835"/>
          </w:tcPr>
          <w:p>
            <w:r>
              <w:t>Space</w:t>
            </w:r>
          </w:p>
        </w:tc>
        <w:tc>
          <w:tcPr>
            <w:tcW w:type="dxa" w:w="6576"/>
          </w:tcPr>
          <w:p>
            <w:r>
              <w:t>Tick or untick the selected row</w:t>
            </w:r>
          </w:p>
        </w:tc>
      </w:tr>
      <w:tr>
        <w:tc>
          <w:tcPr>
            <w:tcW w:type="dxa" w:w="2835"/>
          </w:tcPr>
          <w:p>
            <w:r>
              <w:t>F2</w:t>
            </w:r>
          </w:p>
        </w:tc>
        <w:tc>
          <w:tcPr>
            <w:tcW w:type="dxa" w:w="6576"/>
          </w:tcPr>
          <w:p>
            <w:r>
              <w:t>Rename the selected sample or region</w:t>
            </w:r>
          </w:p>
        </w:tc>
      </w:tr>
      <w:tr>
        <w:tc>
          <w:tcPr>
            <w:tcW w:type="dxa" w:w="2835"/>
          </w:tcPr>
          <w:p>
            <w:r>
              <w:t>F11</w:t>
            </w:r>
          </w:p>
        </w:tc>
        <w:tc>
          <w:tcPr>
            <w:tcW w:type="dxa" w:w="6576"/>
          </w:tcPr>
          <w:p>
            <w:r>
              <w:t>Focus mode — hide the side panels</w:t>
            </w:r>
          </w:p>
        </w:tc>
      </w:tr>
      <w:tr>
        <w:tc>
          <w:tcPr>
            <w:tcW w:type="dxa" w:w="2835"/>
          </w:tcPr>
          <w:p>
            <w:r>
              <w:t>Ctrl+Shift+H</w:t>
            </w:r>
          </w:p>
        </w:tc>
        <w:tc>
          <w:tcPr>
            <w:tcW w:type="dxa" w:w="6576"/>
          </w:tcPr>
          <w:p>
            <w:r>
              <w:t>Fold or show the view options above the plot</w:t>
            </w:r>
          </w:p>
        </w:tc>
      </w:tr>
      <w:tr>
        <w:tc>
          <w:tcPr>
            <w:tcW w:type="dxa" w:w="2835"/>
          </w:tcPr>
          <w:p>
            <w:r>
              <w:t>Ctrl+S</w:t>
            </w:r>
          </w:p>
        </w:tc>
        <w:tc>
          <w:tcPr>
            <w:tcW w:type="dxa" w:w="6576"/>
          </w:tcPr>
          <w:p>
            <w:r>
              <w:t>Save the workbook</w:t>
            </w:r>
          </w:p>
        </w:tc>
      </w:tr>
      <w:tr>
        <w:tc>
          <w:tcPr>
            <w:tcW w:type="dxa" w:w="2835"/>
          </w:tcPr>
          <w:p>
            <w:r>
              <w:t>Ctrl+O / Ctrl+Shift+O</w:t>
            </w:r>
          </w:p>
        </w:tc>
        <w:tc>
          <w:tcPr>
            <w:tcW w:type="dxa" w:w="6576"/>
          </w:tcPr>
          <w:p>
            <w:r>
              <w:t>Open spectra files / a folder</w:t>
            </w:r>
          </w:p>
        </w:tc>
      </w:tr>
      <w:tr>
        <w:tc>
          <w:tcPr>
            <w:tcW w:type="dxa" w:w="2835"/>
          </w:tcPr>
          <w:p>
            <w:r>
              <w:t>Ctrl+E</w:t>
            </w:r>
          </w:p>
        </w:tc>
        <w:tc>
          <w:tcPr>
            <w:tcW w:type="dxa" w:w="6576"/>
          </w:tcPr>
          <w:p>
            <w:r>
              <w:t>Export spectra (choose regions and levels)</w:t>
            </w:r>
          </w:p>
        </w:tc>
      </w:tr>
      <w:tr>
        <w:tc>
          <w:tcPr>
            <w:tcW w:type="dxa" w:w="2835"/>
          </w:tcPr>
          <w:p>
            <w:r>
              <w:t>Ctrl+Q</w:t>
            </w:r>
          </w:p>
        </w:tc>
        <w:tc>
          <w:tcPr>
            <w:tcW w:type="dxa" w:w="6576"/>
          </w:tcPr>
          <w:p>
            <w:r>
              <w:t>Quit</w:t>
            </w:r>
          </w:p>
        </w:tc>
      </w:tr>
      <w:tr>
        <w:tc>
          <w:tcPr>
            <w:tcW w:type="dxa" w:w="2835"/>
          </w:tcPr>
          <w:p>
            <w:r>
              <w:t>▶ / ◀ →</w:t>
            </w:r>
          </w:p>
        </w:tc>
        <w:tc>
          <w:tcPr>
            <w:tcW w:type="dxa" w:w="6576"/>
          </w:tcPr>
          <w:p>
            <w:r>
              <w:t>Play, or step, through the traces</w:t>
            </w:r>
          </w:p>
        </w:tc>
      </w:tr>
      <w:tr>
        <w:tc>
          <w:tcPr>
            <w:tcW w:type="dxa" w:w="2835"/>
          </w:tcPr>
          <w:p>
            <w:r>
              <w:t>Page Up / Page Down</w:t>
            </w:r>
          </w:p>
        </w:tc>
        <w:tc>
          <w:tcPr>
            <w:tcW w:type="dxa" w:w="6576"/>
          </w:tcPr>
          <w:p>
            <w:r>
              <w:t>Previous / next page of panels</w:t>
            </w:r>
          </w:p>
        </w:tc>
      </w:tr>
      <w:tr>
        <w:tc>
          <w:tcPr>
            <w:tcW w:type="dxa" w:w="2835"/>
          </w:tcPr>
          <w:p>
            <w:r>
              <w:t>Home / End</w:t>
            </w:r>
          </w:p>
        </w:tc>
        <w:tc>
          <w:tcPr>
            <w:tcW w:type="dxa" w:w="6576"/>
          </w:tcPr>
          <w:p>
            <w:r>
              <w:t>First / last page of panels</w:t>
            </w:r>
          </w:p>
        </w:tc>
      </w:tr>
      <w:tr>
        <w:tc>
          <w:tcPr>
            <w:tcW w:type="dxa" w:w="2835"/>
          </w:tcPr>
          <w:p>
            <w:r>
              <w:t>Shift + mouse wheel</w:t>
            </w:r>
          </w:p>
        </w:tc>
        <w:tc>
          <w:tcPr>
            <w:tcW w:type="dxa" w:w="6576"/>
          </w:tcPr>
          <w:p>
            <w:r>
              <w:t>Slide the trace window (long stacks)</w:t>
            </w:r>
          </w:p>
        </w:tc>
      </w:tr>
      <w:tr>
        <w:tc>
          <w:tcPr>
            <w:tcW w:type="dxa" w:w="2835"/>
          </w:tcPr>
          <w:p>
            <w:r>
              <w:t>Esc</w:t>
            </w:r>
          </w:p>
        </w:tc>
        <w:tc>
          <w:tcPr>
            <w:tcW w:type="dxa" w:w="6576"/>
          </w:tcPr>
          <w:p>
            <w:r>
              <w:t>Close the splash screen</w:t>
            </w:r>
          </w:p>
        </w:tc>
      </w:tr>
    </w:tbl>
    <w:p/>
    <w:sectPr w:rsidR="00FC693F" w:rsidRPr="0006063C" w:rsidSect="00034616">
      <w:footerReference w:type="default" r:id="rId9"/>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t xml:space="preserve">eXPoSe SpectraDeck — User Manual  ·  Page </w:t>
    </w:r>
    <w:r>
      <w:rPr>
        <w:color w:val="808080"/>
        <w:sz w:val="18"/>
      </w:rPr>
      <w:fldChar w:fldCharType="begin"/>
      <w:instrText xml:space="preserve">PAGE</w:instrText>
      <w:fldChar w:fldCharType="separate"/>
      <w:t>1</w:t>
      <w:fldChar w:fldCharType="end"/>
    </w:r>
    <w:r>
      <w:rPr>
        <w:color w:val="808080"/>
        <w:sz w:val="18"/>
      </w:rPr>
      <w:t xml:space="preserve"> of </w:t>
    </w:r>
    <w:r>
      <w:rPr>
        <w:color w:val="808080"/>
        <w:sz w:val="18"/>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