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ascii="SimSun" w:hAnsi="SimSun" w:eastAsia="SimSun" w:cs="SimSun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olor w:val="999999"/>
          <w:spacing w:val="0"/>
          <w:sz w:val="19"/>
          <w:szCs w:val="19"/>
          <w:shd w:val="clear" w:fill="FFFFFF"/>
          <w:lang w:val="ru-RU"/>
        </w:rPr>
        <w:t xml:space="preserve">Отличия от </w:t>
      </w:r>
      <w:r>
        <w:rPr>
          <w:rFonts w:hint="default" w:ascii="Verdana" w:hAnsi="Verdana" w:cs="Verdana"/>
          <w:b w:val="0"/>
          <w:i w:val="0"/>
          <w:color w:val="999999"/>
          <w:spacing w:val="0"/>
          <w:sz w:val="19"/>
          <w:szCs w:val="19"/>
          <w:shd w:val="clear" w:fill="FFFFFF"/>
          <w:lang w:val="en-US"/>
        </w:rPr>
        <w:t xml:space="preserve">Junit </w:t>
      </w:r>
    </w:p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"https://www.codeflow.site/ru/article/junit-vs-testng"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https://www.codeflow.site/ru/article/junit-vs-testng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hint="default" w:ascii="Verdana" w:hAnsi="Verdana" w:cs="Verdana"/>
          <w:b w:val="0"/>
          <w:i w:val="0"/>
          <w:color w:val="999999"/>
          <w:spacing w:val="0"/>
          <w:sz w:val="19"/>
          <w:szCs w:val="19"/>
          <w:shd w:val="clear" w:fill="FFFFFF"/>
          <w:lang w:val="ru-RU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hint="default" w:ascii="Verdana" w:hAnsi="Verdana" w:cs="Verdana"/>
          <w:b w:val="0"/>
          <w:i w:val="0"/>
          <w:color w:val="999999"/>
          <w:spacing w:val="0"/>
          <w:sz w:val="19"/>
          <w:szCs w:val="19"/>
          <w:shd w:val="clear" w:fill="FFFFFF"/>
          <w:lang w:val="ru-RU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ascii="SimSun" w:hAnsi="SimSun" w:eastAsia="SimSun" w:cs="SimSun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olor w:val="999999"/>
          <w:spacing w:val="0"/>
          <w:sz w:val="19"/>
          <w:szCs w:val="19"/>
          <w:shd w:val="clear" w:fill="FFFFFF"/>
          <w:lang w:val="ru-RU"/>
        </w:rPr>
        <w:t>П</w:t>
      </w:r>
      <w:r>
        <w:rPr>
          <w:rFonts w:hint="default" w:ascii="Verdana" w:hAnsi="Verdana" w:cs="Verdana"/>
          <w:b w:val="0"/>
          <w:i w:val="0"/>
          <w:caps w:val="0"/>
          <w:color w:val="999999"/>
          <w:spacing w:val="0"/>
          <w:sz w:val="19"/>
          <w:szCs w:val="19"/>
          <w:shd w:val="clear" w:fill="FFFFFF"/>
          <w:lang w:val="ru-RU"/>
        </w:rPr>
        <w:t>очитать</w:t>
      </w:r>
      <w:r>
        <w:rPr>
          <w:rFonts w:hint="default" w:ascii="Verdana" w:hAnsi="Verdana" w:cs="Verdana"/>
          <w:b w:val="0"/>
          <w:i w:val="0"/>
          <w:caps w:val="0"/>
          <w:color w:val="999999"/>
          <w:spacing w:val="0"/>
          <w:sz w:val="19"/>
          <w:szCs w:val="19"/>
          <w:shd w:val="clear" w:fill="FFFFFF"/>
          <w:lang w:val="ru-RU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https://csharpcoderr.com/5577/</w:t>
      </w: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Roboto" w:hAnsi="Roboto" w:eastAsia="Roboto" w:cs="Roboto"/>
          <w:i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Roboto" w:hAnsi="Roboto" w:eastAsia="Roboto" w:cs="Roboto"/>
          <w:i/>
          <w:caps w:val="0"/>
          <w:color w:val="000000"/>
          <w:spacing w:val="0"/>
          <w:sz w:val="19"/>
          <w:szCs w:val="19"/>
          <w:shd w:val="clear" w:fill="FFFFFF"/>
        </w:rPr>
        <w:t>TestNG — это среда тестирования,</w:t>
      </w:r>
    </w:p>
    <w:p>
      <w:pPr>
        <w:rPr>
          <w:rFonts w:ascii="Roboto" w:hAnsi="Roboto" w:eastAsia="Roboto" w:cs="Roboto"/>
          <w:i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b/>
          <w:i w:val="0"/>
          <w:caps w:val="0"/>
          <w:color w:val="222222"/>
          <w:spacing w:val="0"/>
          <w:sz w:val="19"/>
          <w:szCs w:val="19"/>
          <w:shd w:val="clear" w:fill="FFFFFF"/>
        </w:rPr>
        <w:t>TestNG — это тестовый фреймворк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Segoe UI" w:hAnsi="Segoe UI" w:eastAsia="Segoe UI" w:cs="Segoe UI"/>
          <w:i w:val="0"/>
          <w:caps w:val="0"/>
          <w:spacing w:val="0"/>
          <w:sz w:val="16"/>
          <w:szCs w:val="16"/>
          <w:highlight w:val="yellow"/>
        </w:rPr>
      </w:pPr>
      <w:r>
        <w:rPr>
          <w:rFonts w:hint="default" w:ascii="Segoe UI" w:hAnsi="Segoe UI" w:eastAsia="Segoe UI" w:cs="Segoe UI"/>
          <w:i w:val="0"/>
          <w:caps w:val="0"/>
          <w:spacing w:val="0"/>
          <w:kern w:val="0"/>
          <w:sz w:val="16"/>
          <w:szCs w:val="16"/>
          <w:highlight w:val="yellow"/>
          <w:lang w:val="en-US" w:eastAsia="zh-CN" w:bidi="ar"/>
        </w:rPr>
        <w:t>Ты можешь на видеопортале вбить в поиск log4j2 и там выдаст сразу его 7 видосов</w:t>
      </w:r>
    </w:p>
    <w:p>
      <w:pPr>
        <w:rPr>
          <w:rFonts w:hint="default" w:ascii="SimSun" w:hAnsi="SimSun" w:eastAsia="SimSun" w:cs="SimSun"/>
          <w:sz w:val="24"/>
          <w:szCs w:val="24"/>
          <w:highlight w:val="yellow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999999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999999"/>
          <w:spacing w:val="0"/>
          <w:sz w:val="19"/>
          <w:szCs w:val="19"/>
          <w:shd w:val="clear" w:fill="FFFFFF"/>
        </w:rPr>
        <w:t>Почему TestNG?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Потому что dataprovider гибкий. Потому что тест настраивается всего одним xml файлом. Потому что удобно настраивать работу с потоками.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  <w:lang w:val="ru-RU"/>
        </w:rPr>
      </w:pP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highlight w:val="yellow"/>
          <w:shd w:val="clear" w:fill="FFFFFF"/>
          <w:lang w:val="ru-RU"/>
        </w:rPr>
        <w:t>TestNG — это среда тестирования, вдохновленная</w:t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  <w:lang w:val="ru-RU"/>
        </w:rPr>
        <w:t xml:space="preserve"> JUnit и NUnit, но представляющая некоторые новые функциональные возможности, которые делают ее более мощной и простой в использовании.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  <w:lang w:val="ru-RU"/>
        </w:rPr>
      </w:pP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  <w:lang w:val="ru-RU"/>
        </w:rPr>
        <w:t>Групповое тестирование — это новая инновационная функция в TestNG, которой нет в среде JUnit.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Подключить или библиотеку или зависимость в </w:t>
      </w:r>
      <w:r>
        <w:rPr>
          <w:rFonts w:hint="default"/>
          <w:lang w:val="en-US"/>
        </w:rPr>
        <w:t>pom.xpl.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ru-RU"/>
        </w:rPr>
        <w:t>Аннотации к тестам:</w:t>
      </w:r>
      <w:r>
        <w:rPr>
          <w:rFonts w:hint="default"/>
          <w:lang w:val="en-US"/>
        </w:rPr>
        <w:t xml:space="preserve"> (</w:t>
      </w:r>
      <w:r>
        <w:rPr>
          <w:rFonts w:hint="default"/>
          <w:highlight w:val="yellow"/>
          <w:lang w:val="ru-RU"/>
        </w:rPr>
        <w:t xml:space="preserve">заключаются в скобки после </w:t>
      </w:r>
      <w:r>
        <w:rPr>
          <w:rFonts w:hint="default"/>
          <w:highlight w:val="yellow"/>
          <w:lang w:val="en-US"/>
        </w:rPr>
        <w:t>@Test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drawing>
          <wp:inline distT="0" distB="0" distL="114300" distR="114300">
            <wp:extent cx="5266690" cy="2487930"/>
            <wp:effectExtent l="0" t="0" r="6350" b="11430"/>
            <wp:docPr id="1" name="Изображение 1" descr="Снимок экрана (2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20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Enabled - </w:t>
      </w:r>
      <w:r>
        <w:rPr>
          <w:rFonts w:hint="default"/>
          <w:lang w:val="ru-RU"/>
        </w:rPr>
        <w:t>включен тест или нет? Если стадия разработки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или тест изменился и его надо выключить, то </w:t>
      </w:r>
      <w:r>
        <w:rPr>
          <w:rFonts w:hint="default"/>
          <w:lang w:val="en-US"/>
        </w:rPr>
        <w:t>false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yellow"/>
          <w:lang w:val="en-US"/>
        </w:rPr>
        <w:t>dataProvider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когда один параметризованный тест запускается на нескольких наборах данных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Может возвращать массив массивов класса обжект или итератор этих объектов.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(</w:t>
      </w:r>
      <w:r>
        <w:rPr>
          <w:rFonts w:hint="default"/>
          <w:highlight w:val="yellow"/>
          <w:lang w:val="ru-RU"/>
        </w:rPr>
        <w:t>сразу пишется после</w:t>
      </w:r>
      <w:r>
        <w:rPr>
          <w:rFonts w:hint="default"/>
          <w:highlight w:val="yellow"/>
          <w:lang w:val="en-US"/>
        </w:rPr>
        <w:t>@: DataProvider(name = “”)</w:t>
      </w:r>
      <w:r>
        <w:rPr>
          <w:rFonts w:hint="default"/>
          <w:lang w:val="ru-RU"/>
        </w:rPr>
        <w:t>)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67250" cy="1657350"/>
            <wp:effectExtent l="0" t="0" r="11430" b="3810"/>
            <wp:docPr id="4" name="Изображение 4" descr="Снимок экрана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20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узнать, какой метод с использовал провайдер, надо указать метод: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086350" cy="1771650"/>
            <wp:effectExtent l="0" t="0" r="3810" b="11430"/>
            <wp:docPr id="5" name="Изображение 5" descr="Снимок экрана (208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208)_L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yellow"/>
          <w:lang w:val="en-US"/>
        </w:rPr>
        <w:t>@Test(</w:t>
      </w:r>
      <w:r>
        <w:rPr>
          <w:rFonts w:hint="default"/>
          <w:lang w:val="en-US"/>
        </w:rPr>
        <w:t>expectedExceptions</w:t>
      </w:r>
      <w:r>
        <w:rPr>
          <w:rFonts w:hint="default"/>
          <w:highlight w:val="yellow"/>
          <w:lang w:val="en-US"/>
        </w:rPr>
        <w:t xml:space="preserve"> = Exception.class)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успешное прохождение теста = генерации исключения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2 depens </w:t>
      </w:r>
      <w:r>
        <w:rPr>
          <w:rFonts w:hint="default"/>
          <w:lang w:val="ru-RU"/>
        </w:rPr>
        <w:t>метода - зависимость выполнения теста от выполнения предыдущего метода или группы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Должен иметь имя, на которое будет ссылаться тест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04230" cy="2689225"/>
            <wp:effectExtent l="0" t="0" r="8890" b="8255"/>
            <wp:docPr id="2" name="Изображение 2" descr="Снимок экрана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20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>timeOut</w:t>
      </w:r>
      <w:r>
        <w:rPr>
          <w:rFonts w:hint="default"/>
          <w:highlight w:val="none"/>
          <w:lang w:val="en-US"/>
        </w:rPr>
        <w:t xml:space="preserve"> - </w:t>
      </w:r>
      <w:r>
        <w:rPr>
          <w:rFonts w:hint="default"/>
          <w:highlight w:val="none"/>
          <w:lang w:val="ru-RU"/>
        </w:rPr>
        <w:t>ограничение выполнения теста по времени</w:t>
      </w: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В тестах только 1 </w:t>
      </w:r>
      <w:r>
        <w:rPr>
          <w:rFonts w:hint="default"/>
          <w:highlight w:val="yellow"/>
          <w:lang w:val="en-US"/>
        </w:rPr>
        <w:t>assert</w:t>
      </w:r>
      <w:r>
        <w:rPr>
          <w:rFonts w:hint="default"/>
          <w:highlight w:val="yellow"/>
          <w:lang w:val="ru-RU"/>
        </w:rPr>
        <w:t>, никаких ветвлений (</w:t>
      </w:r>
      <w:r>
        <w:rPr>
          <w:rFonts w:hint="default"/>
          <w:highlight w:val="yellow"/>
          <w:lang w:val="en-US"/>
        </w:rPr>
        <w:t>if, while, switch</w:t>
      </w:r>
      <w:r>
        <w:rPr>
          <w:rFonts w:hint="default"/>
          <w:highlight w:val="yellow"/>
          <w:lang w:val="ru-RU"/>
        </w:rPr>
        <w:t>)</w:t>
      </w: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Если 1 тест не пройдет, то 2 не запускать.</w:t>
      </w: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Тест №1 будет запускаться первым вне зависимости от порядкового номера, далее - по алфавиту, последний тест - где есть зависимости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Также можно добавлять приоритет методов (</w:t>
      </w:r>
      <w:r>
        <w:rPr>
          <w:rFonts w:hint="default"/>
          <w:highlight w:val="none"/>
          <w:lang w:val="en-US"/>
        </w:rPr>
        <w:t xml:space="preserve">priority = </w:t>
      </w:r>
      <w:r>
        <w:rPr>
          <w:rFonts w:hint="default"/>
          <w:highlight w:val="none"/>
          <w:lang w:val="ru-RU"/>
        </w:rPr>
        <w:t>от 1 до 10)</w:t>
      </w: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909310" cy="4092575"/>
            <wp:effectExtent l="0" t="0" r="3810" b="6985"/>
            <wp:docPr id="6" name="Изображение 6" descr="Снимок экрана (210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210)_L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ru-RU"/>
        </w:rPr>
      </w:pPr>
    </w:p>
    <w:p>
      <w:pPr>
        <w:rPr>
          <w:rFonts w:hint="default"/>
          <w:highlight w:val="yellow"/>
          <w:lang w:val="ru-RU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Настройка групп!!</w:t>
      </w: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904865" cy="5109210"/>
            <wp:effectExtent l="0" t="0" r="8255" b="11430"/>
            <wp:docPr id="3" name="Изображение 3" descr="2020-07-28_10h09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0-07-28_10h09_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ru-RU"/>
        </w:rPr>
      </w:pPr>
    </w:p>
    <w:p>
      <w:pP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  <w:t>Группы могут также включать другие группы.</w:t>
      </w:r>
      <w: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  <w:t> Эти группы называются </w:t>
      </w:r>
      <w:r>
        <w:rPr>
          <w:rFonts w:hint="default" w:ascii="Roboto" w:hAnsi="Roboto" w:eastAsia="Roboto" w:cs="Roboto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метагруппами</w:t>
      </w:r>
      <w: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  <w:t> </w:t>
      </w:r>
    </w:p>
    <w:p>
      <w:pP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  <w:lang w:val="ru-RU"/>
        </w:rPr>
      </w:pPr>
      <w: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  <w:lang w:val="ru-RU"/>
        </w:rPr>
        <w:drawing>
          <wp:inline distT="0" distB="0" distL="114300" distR="114300">
            <wp:extent cx="2774315" cy="2918460"/>
            <wp:effectExtent l="0" t="0" r="14605" b="7620"/>
            <wp:docPr id="8" name="Изображение 8" descr="2020-07-28_10h22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0-07-28_10h22_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  <w:lang w:val="ru-RU"/>
        </w:rPr>
      </w:pPr>
      <w:r>
        <w:rPr>
          <w:rFonts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Вы можете </w:t>
      </w:r>
      <w:r>
        <w:rPr>
          <w:rFonts w:ascii="Roboto" w:hAnsi="Roboto" w:eastAsia="Roboto" w:cs="Roboto"/>
          <w:i w:val="0"/>
          <w:caps w:val="0"/>
          <w:color w:val="000000"/>
          <w:spacing w:val="0"/>
          <w:sz w:val="19"/>
          <w:szCs w:val="19"/>
          <w:highlight w:val="yellow"/>
          <w:shd w:val="clear" w:fill="FFFFFF"/>
        </w:rPr>
        <w:t xml:space="preserve">игнорировать </w:t>
      </w:r>
      <w:r>
        <w:rPr>
          <w:rFonts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</w:rPr>
        <w:t>группу, используя тег &lt;exclude&gt;, как показано ниже —</w:t>
      </w:r>
    </w:p>
    <w:p>
      <w:pPr>
        <w:rPr>
          <w:rFonts w:hint="default" w:ascii="Roboto" w:hAnsi="Roboto" w:eastAsia="Roboto" w:cs="Roboto"/>
          <w:i w:val="0"/>
          <w:caps w:val="0"/>
          <w:color w:val="000000"/>
          <w:spacing w:val="0"/>
          <w:sz w:val="19"/>
          <w:szCs w:val="19"/>
          <w:shd w:val="clear" w:fill="FFFFFF"/>
          <w:lang w:val="ru-RU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4404360" cy="3497580"/>
            <wp:effectExtent l="0" t="0" r="0" b="7620"/>
            <wp:docPr id="9" name="Изображение 9" descr="2020-07-28_10h24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0-07-28_10h24_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"https://www.youtube.com/watch?v=H80gMTErsQQ"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https://www.youtube.com/watch?v=H80gMTErsQQ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"https://www.youtube.com/watch?v=7CeaD1TZZj8"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https://www.youtube.com/watch?v=7CeaD1TZZj8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999999"/>
          <w:spacing w:val="0"/>
          <w:sz w:val="22"/>
          <w:szCs w:val="22"/>
        </w:rPr>
      </w:pPr>
      <w:r>
        <w:rPr>
          <w:rFonts w:hint="default" w:ascii="Verdana" w:hAnsi="Verdana" w:cs="Verdana"/>
          <w:b w:val="0"/>
          <w:i w:val="0"/>
          <w:caps w:val="0"/>
          <w:color w:val="999999"/>
          <w:spacing w:val="0"/>
          <w:sz w:val="22"/>
          <w:szCs w:val="22"/>
          <w:shd w:val="clear" w:fill="FFFFFF"/>
        </w:rPr>
        <w:t>Распараллеливание методов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t>Для того, чтобы понять в каком потоке выполняется тот или иной тест добавим код в каждый метод: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Fonts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long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threadId = Thread.currentThread().getId();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15"/>
          <w:szCs w:val="15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>System.out.println(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"Thread &lt;ИМЯ МЕТОДА&gt;:"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 threadId);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t>Запустив тест командой</w:t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highlight w:val="yellow"/>
          <w:shd w:val="clear" w:fill="FFFFFF"/>
          <w:lang w:val="en-US" w:eastAsia="zh-CN" w:bidi="ar"/>
        </w:rPr>
        <w:t> 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kern w:val="0"/>
          <w:sz w:val="14"/>
          <w:szCs w:val="14"/>
          <w:highlight w:val="yellow"/>
          <w:shd w:val="clear" w:fill="F9F2F4"/>
          <w:lang w:val="en-US" w:eastAsia="zh-CN" w:bidi="ar"/>
        </w:rPr>
        <w:t>mvn test -Dparallel="methods"</w:t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t> мы получили нужный нам результат: тесты выполнились параллельно, в разных потоках.</w:t>
      </w: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4"/>
          <w:szCs w:val="24"/>
        </w:rPr>
      </w:pPr>
      <w:r>
        <w:rPr>
          <w:rFonts w:ascii="Verdana" w:hAnsi="Verdana" w:eastAsia="SimSun" w:cs="Verdana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Второй способ, это использовать аннотацию "@DataProvider":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</w:pPr>
      <w:r>
        <w:rPr>
          <w:rStyle w:val="7"/>
          <w:rFonts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</w:t>
      </w:r>
      <w:r>
        <w:rPr>
          <w:rFonts w:hint="default" w:ascii="Courier New" w:hAnsi="Courier New" w:eastAsia="Courier New" w:cs="Courier New"/>
          <w:i w:val="0"/>
          <w:caps w:val="0"/>
          <w:color w:val="808000"/>
          <w:spacing w:val="0"/>
          <w:sz w:val="24"/>
          <w:szCs w:val="24"/>
          <w:shd w:val="clear" w:fill="F7F7F9"/>
        </w:rPr>
        <w:t>@DataProvider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(name =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24"/>
          <w:szCs w:val="24"/>
          <w:shd w:val="clear" w:fill="F7F7F9"/>
        </w:rPr>
        <w:t>"api"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, 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highlight w:val="yellow"/>
          <w:bdr w:val="single" w:color="E1E1E8" w:sz="4" w:space="0"/>
          <w:shd w:val="clear" w:fill="F7F7F9"/>
        </w:rPr>
        <w:t xml:space="preserve">parallel =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24"/>
          <w:szCs w:val="24"/>
          <w:highlight w:val="yellow"/>
          <w:shd w:val="clear" w:fill="F7F7F9"/>
        </w:rPr>
        <w:t>true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>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24"/>
          <w:szCs w:val="24"/>
          <w:shd w:val="clear" w:fill="F7F7F9"/>
        </w:rPr>
        <w:t>public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Object[] provide() 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24"/>
          <w:szCs w:val="24"/>
          <w:shd w:val="clear" w:fill="F7F7F9"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24"/>
          <w:szCs w:val="2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Object[]{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24"/>
          <w:szCs w:val="24"/>
          <w:shd w:val="clear" w:fill="F7F7F9"/>
        </w:rPr>
        <w:t>"post"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,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24"/>
          <w:szCs w:val="24"/>
          <w:shd w:val="clear" w:fill="F7F7F9"/>
        </w:rPr>
        <w:t>"get"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       };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24"/>
          <w:szCs w:val="24"/>
          <w:bdr w:val="single" w:color="E1E1E8" w:sz="4" w:space="0"/>
          <w:shd w:val="clear" w:fill="F7F7F9"/>
        </w:rPr>
        <w:t xml:space="preserve">    }</w:t>
      </w: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highlight w:val="green"/>
          <w:bdr w:val="single" w:color="E1E1E8" w:sz="4" w:space="0"/>
          <w:shd w:val="clear" w:fill="F7F7F9"/>
        </w:rPr>
      </w:pPr>
      <w:r>
        <w:rPr>
          <w:rStyle w:val="7"/>
          <w:rFonts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</w:t>
      </w:r>
      <w:r>
        <w:rPr>
          <w:rStyle w:val="7"/>
          <w:rFonts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highlight w:val="green"/>
          <w:bdr w:val="single" w:color="E1E1E8" w:sz="4" w:space="0"/>
          <w:shd w:val="clear" w:fill="F7F7F9"/>
        </w:rPr>
        <w:t xml:space="preserve"> </w:t>
      </w:r>
      <w:r>
        <w:rPr>
          <w:rFonts w:hint="default" w:ascii="Courier New" w:hAnsi="Courier New" w:eastAsia="Courier New" w:cs="Courier New"/>
          <w:i w:val="0"/>
          <w:caps w:val="0"/>
          <w:color w:val="808000"/>
          <w:spacing w:val="0"/>
          <w:sz w:val="14"/>
          <w:szCs w:val="14"/>
          <w:highlight w:val="green"/>
          <w:shd w:val="clear" w:fill="F7F7F9"/>
        </w:rPr>
        <w:t>@Test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highlight w:val="green"/>
          <w:bdr w:val="single" w:color="E1E1E8" w:sz="4" w:space="0"/>
          <w:shd w:val="clear" w:fill="F7F7F9"/>
        </w:rPr>
        <w:t xml:space="preserve">(dataProvider =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highlight w:val="green"/>
          <w:shd w:val="clear" w:fill="F7F7F9"/>
        </w:rPr>
        <w:t>"api"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highlight w:val="green"/>
          <w:bdr w:val="single" w:color="E1E1E8" w:sz="4" w:space="0"/>
          <w:shd w:val="clear" w:fill="F7F7F9"/>
        </w:rPr>
        <w:t>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public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void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test(String method) 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if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(method.equals(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"post"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>)) 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Date date =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Date();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System.out.println(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"Начало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 method +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+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Timestamp(date.getTime()));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testPOST();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date=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Date();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System.out.println(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"Конец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 method +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+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Timestamp(date.getTime()));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>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if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(method.equals(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"get"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>)) 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Date date =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Date();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System.out.println(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"Начало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 method +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Timestamp(date.getTime()));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testGet();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date=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Date();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System.out.println(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"Конец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+ method + </w:t>
      </w:r>
      <w:r>
        <w:rPr>
          <w:rFonts w:hint="default" w:ascii="Courier New" w:hAnsi="Courier New" w:eastAsia="Courier New" w:cs="Courier New"/>
          <w:i w:val="0"/>
          <w:caps w:val="0"/>
          <w:color w:val="339900"/>
          <w:spacing w:val="0"/>
          <w:sz w:val="14"/>
          <w:szCs w:val="14"/>
          <w:shd w:val="clear" w:fill="F7F7F9"/>
        </w:rPr>
        <w:t>" "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+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new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Timestamp(date.getTime()));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caps w:val="0"/>
          <w:color w:val="4D7386"/>
          <w:spacing w:val="0"/>
          <w:sz w:val="14"/>
          <w:szCs w:val="14"/>
          <w:shd w:val="clear" w:fill="F7F7F9"/>
        </w:rPr>
        <w:t>return</w:t>
      </w: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>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    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2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15"/>
          <w:szCs w:val="15"/>
        </w:rPr>
      </w:pPr>
      <w:r>
        <w:rPr>
          <w:rStyle w:val="7"/>
          <w:rFonts w:hint="default" w:ascii="Courier New" w:hAnsi="Courier New" w:eastAsia="Courier New" w:cs="Courier New"/>
          <w:i w:val="0"/>
          <w:caps w:val="0"/>
          <w:color w:val="222222"/>
          <w:spacing w:val="0"/>
          <w:sz w:val="14"/>
          <w:szCs w:val="14"/>
          <w:bdr w:val="single" w:color="E1E1E8" w:sz="4" w:space="0"/>
          <w:shd w:val="clear" w:fill="F7F7F9"/>
        </w:rPr>
        <w:t xml:space="preserve">    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В аннотации "@Test" появился параметр, который сообщает, какой DataProvider использовать.</w:t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Также в методе test появился входной параметр типа String, куда provider поместит значение.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yellow"/>
          <w:lang w:val="en-US"/>
        </w:rPr>
        <w:t>Fixtures -</w:t>
      </w:r>
      <w:r>
        <w:rPr>
          <w:rFonts w:hint="default"/>
          <w:highlight w:val="none"/>
          <w:lang w:val="en-US"/>
        </w:rPr>
        <w:t xml:space="preserve"> </w:t>
      </w:r>
      <w:r>
        <w:rPr>
          <w:rFonts w:hint="default"/>
          <w:highlight w:val="none"/>
          <w:lang w:val="ru-RU"/>
        </w:rPr>
        <w:t>определенный тип аннотаций.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en-US"/>
        </w:rPr>
        <w:t xml:space="preserve">@After/BeforeClass - </w:t>
      </w:r>
      <w:r>
        <w:rPr>
          <w:rFonts w:hint="default"/>
          <w:highlight w:val="none"/>
          <w:lang w:val="ru-RU"/>
        </w:rPr>
        <w:t>вызываются 1 раз перед вызовом всех методов класса. Например, создание объекта.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Прежде всего, метод beforeSuite () выполняется только один раз.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Наконец, метод afterSuite () выполняется только один раз.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Даже методы beforeTest (), beforeClass (), afterClass () и afterTest () выполняются только один раз.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Roboto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Между beforeMethod () и afterMethod () выполняется каждый тестовый пример.</w:t>
      </w: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 w:ascii="Verdana" w:hAnsi="Verdana" w:eastAsia="SimSun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+- before suite/ </w:t>
      </w: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+- before group/ </w:t>
      </w: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>+- before test/</w:t>
      </w: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before class/</w:t>
      </w: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before method/ </w:t>
      </w:r>
    </w:p>
    <w:p>
      <w:pP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>+- test/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</w:rPr>
        <w:t>after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method/ ...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</w:rPr>
        <w:t>after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class/ ... 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+-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</w:rPr>
        <w:t>after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test/ ...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</w:rPr>
        <w:t>after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group/ ...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+-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6"/>
          <w:szCs w:val="16"/>
        </w:rPr>
        <w:t>after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  <w:t xml:space="preserve"> suite/</w:t>
      </w:r>
    </w:p>
    <w:p>
      <w:pP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16"/>
          <w:szCs w:val="16"/>
          <w:shd w:val="clear" w:fill="FBFDFF"/>
        </w:rPr>
      </w:pPr>
    </w:p>
    <w:p>
      <w:pP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  <w:t>Аннотации</w:t>
      </w: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/>
          <w:caps w:val="0"/>
          <w:color w:val="222222"/>
          <w:spacing w:val="0"/>
          <w:sz w:val="19"/>
          <w:szCs w:val="19"/>
          <w:shd w:val="clear" w:fill="FFFFFF"/>
        </w:rPr>
        <w:t>@BeforeSuite</w:t>
      </w: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/>
          <w:caps w:val="0"/>
          <w:color w:val="222222"/>
          <w:spacing w:val="0"/>
          <w:sz w:val="19"/>
          <w:szCs w:val="19"/>
          <w:shd w:val="clear" w:fill="FFFFFF"/>
        </w:rPr>
        <w:t>@AfterSuite</w:t>
      </w: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  <w:t> обозначают методы, которые исполняются единожды до/после исполнения всех тестов. Здесь удобно располагать какие-либо тяжелые настройки общие для всех тестов, например, здесь можно создать пул соединений с базой данных.</w:t>
      </w:r>
    </w:p>
    <w:p>
      <w:pP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19"/>
          <w:szCs w:val="19"/>
          <w:shd w:val="clear" w:fill="FFFFFF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"https://coderlessons.com/tutorials/java-tekhnologii/uchitsia-testng/testng-kratkoe-rukovodstvo"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https://coderlessons.com/tutorials/java-tekhnologii/uchitsia-testng/testng-kratkoe-rukovodstvo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"https://riptutorial.com/ru/testng/example/21265/testng-metagroups---%D0%B3%D1%80%D1%83%D0%BF%D0%BF%D1%8B-%D0%B3%D1%80%D1%83%D0%BF%D0%BF"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https://riptutorial.com/ru/testng/example/21265/testng-metagroups---%D0%B3%D1%80%D1%83%D0%BF%D0%BF%D1%8B-%D0%B3%D1%80%D1%83%D0%BF%D0%BF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sectPr>
      <w:pgSz w:w="11906" w:h="16838"/>
      <w:pgMar w:top="1440" w:right="1800" w:bottom="1440" w:left="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44386"/>
    <w:rsid w:val="0AC40C61"/>
    <w:rsid w:val="2A9C15FD"/>
    <w:rsid w:val="37EB0959"/>
    <w:rsid w:val="48F52A7D"/>
    <w:rsid w:val="552A776F"/>
    <w:rsid w:val="599F1B32"/>
    <w:rsid w:val="65FA5617"/>
    <w:rsid w:val="69DC49C3"/>
    <w:rsid w:val="6A9F3D41"/>
    <w:rsid w:val="6DDB5849"/>
    <w:rsid w:val="708B5A40"/>
    <w:rsid w:val="764D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qFormat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2020-04-04T13:18:00Z</dcterms:created>
  <dc:creator>37529</dc:creator>
  <cp:lastModifiedBy>37529</cp:lastModifiedBy>
  <dcterms:modified xsi:type="dcterms:W3CDTF">2021-02-28T10:21:38Z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