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EV Market Analysis (Team: Data Warrior)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color w:val="0563c1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Brainstorm and Idea Listing </w:t>
      </w:r>
    </w:p>
    <w:p w:rsidR="00000000" w:rsidDel="00000000" w:rsidP="00000000" w:rsidRDefault="00000000" w:rsidRPr="00000000" w14:paraId="00000010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member lists out as many ideas as possible without judging them at this stage. </w:t>
      </w:r>
    </w:p>
    <w:p w:rsidR="00000000" w:rsidDel="00000000" w:rsidP="00000000" w:rsidRDefault="00000000" w:rsidRPr="00000000" w14:paraId="00000011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2985"/>
        <w:gridCol w:w="2115"/>
        <w:gridCol w:w="2055"/>
        <w:gridCol w:w="1200"/>
        <w:tblGridChange w:id="0">
          <w:tblGrid>
            <w:gridCol w:w="1710"/>
            <w:gridCol w:w="2985"/>
            <w:gridCol w:w="2115"/>
            <w:gridCol w:w="2055"/>
            <w:gridCol w:w="12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ind w:left="142.480010986328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ind w:left="148.640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Idea / Suggestion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ind w:left="149.600219726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ind w:left="144.840087890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before="37.2930908203125" w:line="240" w:lineRule="auto"/>
              <w:ind w:left="13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ind w:left="158.079986572265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Amit Kumar Mishra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Interactive dashboard with filters for brand, category and battery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Visualization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ind w:left="135.039978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Amit Kumar Mishra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Scatter plot of battery capacity (kWh) vs driving range (km)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ind w:left="139.8399353027343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Amit Kumar Mishra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KPI cards for revenue, units sold, average range and CO2 saved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ind w:left="133.8400268554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Amit Kumar Mishra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ML forecast of battery cost and EV demand up to 2035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Prediction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4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Idea Prioritization </w:t>
      </w:r>
    </w:p>
    <w:p w:rsidR="00000000" w:rsidDel="00000000" w:rsidP="00000000" w:rsidRDefault="00000000" w:rsidRPr="00000000" w14:paraId="0000002F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each grouped idea on feasibility and importance, then select the final idea(s) to move forward with.</w:t>
      </w:r>
    </w:p>
    <w:p w:rsidR="00000000" w:rsidDel="00000000" w:rsidP="00000000" w:rsidRDefault="00000000" w:rsidRPr="00000000" w14:paraId="00000030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5.0" w:type="dxa"/>
        <w:jc w:val="left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995"/>
        <w:gridCol w:w="2280"/>
        <w:gridCol w:w="2280"/>
        <w:gridCol w:w="1185"/>
        <w:gridCol w:w="1200"/>
        <w:tblGridChange w:id="0">
          <w:tblGrid>
            <w:gridCol w:w="1095"/>
            <w:gridCol w:w="1995"/>
            <w:gridCol w:w="2280"/>
            <w:gridCol w:w="2280"/>
            <w:gridCol w:w="1185"/>
            <w:gridCol w:w="1200"/>
          </w:tblGrid>
        </w:tblGridChange>
      </w:tblGrid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before="37.2930908203125" w:line="240" w:lineRule="auto"/>
              <w:ind w:left="133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 Idea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ind w:left="145.28015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Feasibility 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37.2930908203125" w:line="264.3717384338379" w:lineRule="auto"/>
              <w:ind w:left="141.9198608398437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ind w:left="144.7998046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Importance 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before="37.2930908203125" w:line="264.3717384338379" w:lineRule="auto"/>
              <w:ind w:left="141.92016601562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Selected 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before="37.2930908203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(Yes/No)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ind w:left="158.07998657226562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Interactive dashboard with cross-filters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ind w:left="135.039978027343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Battery capacity vs range scatter plot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Yes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ind w:left="139.8399353027343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KPI cards (revenue, units, range, CO2)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Yes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ind w:left="139.8399353027343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ML forecasting of battery cost and demand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No (future scope)</w:t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b="0" l="0" r="0" t="0"/>
          <wp:wrapNone/>
          <wp:docPr id="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35ZD0Qxp5zHfNumLMSK7px/Cw==">CgMxLjA4AHIhMXhwS2paLUNMVnpIbGFyenZwUXFSeU82WGdyQnRjZVNT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