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Data Warrior</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EV Industry Analytics &amp; Intelligence Platform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Strategy Director (Emily Johnson)</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Sales &amp; Market Analysis</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view EV sales volume and revenue by vehicle category so that I can optimise the product portfolio.</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Category chart shows SUV, Sedan, Hatchback, Two-Wheeler, Truck and Bus</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see the leading automakers by market share so that I can benchmark competitors.</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Market share chart ranks all 12 OEMs</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track customer satisfaction against price and charging reliability.</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Price vs Rating chart displays satisfaction scores</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As a Strategy Director, I can compare regional sales distribution across years.</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Regional chart updates for 2021-2026</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Filters</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As a user, I can filter the dashboard by year, category, region and automaker.</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Charts and KPI cards refresh instantly</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t>As a user, I can view KPI cards (deliveries, revenue, range, satisfaction, CO2) and switch dark/light theme.</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KPI counters load on the home tab</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BI Manager (David Chen)</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Market Intelligence</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As a BI Manager, I can monitor OEM share, assembly concentration and battery technology distribution.</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Battery chemistry and regional charts are available</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Research Analyst (Dr. Sarah Williams)</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Sustainability Research</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t>As a Research Analyst, I can analyse energy consumption (Wh/km) and CO2 displaced by vehicle type.</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CO2 and Wh/km metrics shown by category</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Sprint-2</w:t>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Data Management</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t>As an Administrator, I can load and validate the 1,200-record EV dataset so that dashboards use accurate data.</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t>Validation passes with zero data errors</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t>BI Manager (David Chen)</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t>Market Intelligence</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t>As a BI Manager, I can compare price-per-km across battery chemistries (LFP, NMC, NCA).</w:t>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t>Price-per-km metric is calculated for every record</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t>Research Analyst (Dr. Sarah Williams)</w:t>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t>Sustainability Research</w:t>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t>As a Research Analyst, I can view the battery chemistry timeline including Sodium-Ion and Solid-State.</w:t>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t>Timeline chart covers all 5 chemistries</w:t>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84">
            <w:pPr>
              <w:rPr>
                <w:rFonts w:ascii="Arial" w:cs="Arial" w:eastAsia="Arial" w:hAnsi="Arial"/>
                <w:color w:val="222222"/>
                <w:sz w:val="20"/>
                <w:szCs w:val="20"/>
              </w:rPr>
            </w:pPr>
            <w:r w:rsidDel="00000000" w:rsidR="00000000" w:rsidRPr="00000000">
              <w:rPr>
                <w:rtl w:val="0"/>
              </w:rPr>
              <w:t>Deployment</w:t>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t>USN-12</w:t>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t>As an Administrator, I can publish the dashboard on GitHub Pages and Tableau Public for mentor review.</w:t>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t>Live demo and Tableau links open without errors</w:t>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