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3CC87" w14:textId="77777777" w:rsidR="00CE55DF" w:rsidRPr="00623934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sz w:val="20"/>
          <w:szCs w:val="20"/>
        </w:rPr>
      </w:pPr>
    </w:p>
    <w:p w14:paraId="579A12FC" w14:textId="77777777" w:rsidR="00CE55DF" w:rsidRDefault="00CE55DF" w:rsidP="00CE55DF">
      <w:pPr>
        <w:spacing w:after="0" w:line="240" w:lineRule="auto"/>
        <w:jc w:val="center"/>
        <w:rPr>
          <w:rFonts w:ascii="Times New Roman" w:hAnsi="Times New Roman"/>
          <w:sz w:val="30"/>
          <w:szCs w:val="30"/>
          <w:lang w:eastAsia="en-US"/>
        </w:rPr>
      </w:pPr>
      <w:r w:rsidRPr="00975321">
        <w:rPr>
          <w:rFonts w:ascii="Times New Roman" w:hAnsi="Times New Roman"/>
          <w:sz w:val="30"/>
          <w:szCs w:val="30"/>
          <w:lang w:eastAsia="en-US"/>
        </w:rPr>
        <w:t>БИЗНЕС-ПЛАН ИННОВАЦИОННОГО ПРОЕКТА</w:t>
      </w:r>
    </w:p>
    <w:p w14:paraId="4CD73360" w14:textId="77777777" w:rsidR="00CE55DF" w:rsidRPr="00975321" w:rsidRDefault="00CE55DF" w:rsidP="00CE55DF">
      <w:pPr>
        <w:spacing w:after="0" w:line="240" w:lineRule="auto"/>
        <w:jc w:val="center"/>
        <w:rPr>
          <w:rFonts w:ascii="Times New Roman" w:hAnsi="Times New Roman"/>
          <w:sz w:val="30"/>
          <w:szCs w:val="30"/>
          <w:lang w:eastAsia="en-US"/>
        </w:rPr>
      </w:pPr>
    </w:p>
    <w:p w14:paraId="76DABDF1" w14:textId="77777777" w:rsidR="00CE55DF" w:rsidRDefault="00CE55DF" w:rsidP="00CE55DF">
      <w:pPr>
        <w:spacing w:after="0" w:line="240" w:lineRule="exact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1. 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 xml:space="preserve">Титульный лист </w:t>
      </w:r>
      <w:r>
        <w:rPr>
          <w:rFonts w:ascii="Times New Roman" w:eastAsia="Calibri" w:hAnsi="Times New Roman"/>
          <w:sz w:val="24"/>
          <w:szCs w:val="24"/>
          <w:lang w:eastAsia="en-US"/>
        </w:rPr>
        <w:t>(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>фамили</w:t>
      </w:r>
      <w:r>
        <w:rPr>
          <w:rFonts w:ascii="Times New Roman" w:eastAsia="Calibri" w:hAnsi="Times New Roman"/>
          <w:sz w:val="24"/>
          <w:szCs w:val="24"/>
          <w:lang w:eastAsia="en-US"/>
        </w:rPr>
        <w:t>я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>, собственное имя и отчество участника, если таковое имеется (для физического лица или индивидуального предпринимателя), полное наименование юридического лица с указанием организационно-правовой формы (для юридического лица), адрес, контактные данные, наименование проекта, наименование номинации</w:t>
      </w:r>
      <w:r>
        <w:rPr>
          <w:rFonts w:ascii="Times New Roman" w:eastAsia="Calibri" w:hAnsi="Times New Roman"/>
          <w:sz w:val="24"/>
          <w:szCs w:val="24"/>
          <w:lang w:eastAsia="en-US"/>
        </w:rPr>
        <w:t>)</w:t>
      </w:r>
    </w:p>
    <w:p w14:paraId="0C95559F" w14:textId="77777777" w:rsidR="00F32985" w:rsidRPr="00C863AB" w:rsidRDefault="00F32985" w:rsidP="00F3298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b/>
          <w:sz w:val="36"/>
        </w:rPr>
        <w:t>БИЗНЕС-ПЛАН</w:t>
      </w:r>
    </w:p>
    <w:p>
      <w:pPr>
        <w:spacing w:before="40" w:after="40"/>
        <w:jc w:val="center"/>
      </w:pPr>
      <w:r>
        <w:rPr>
          <w:b w:val="0"/>
          <w:sz w:val="26"/>
        </w:rPr>
        <w:t>инновационного проекта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/>
          <w:sz w:val="24"/>
        </w:rPr>
        <w:t>«Лучший инновационный проект»</w:t>
      </w:r>
    </w:p>
    <w:p>
      <w:pPr>
        <w:spacing w:before="40" w:after="40"/>
        <w:jc w:val="center"/>
      </w:pPr>
      <w:r>
        <w:rPr>
          <w:b w:val="0"/>
          <w:sz w:val="20"/>
        </w:rPr>
        <w:t>Республиканский конкурс инновационных проектов · Белинфонд · 2026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/>
          <w:sz w:val="24"/>
        </w:rPr>
        <w:t>Protocol - предимпортная экспертиза консультативных заключений и сервис проверки КЗ для пациентов</w:t>
      </w:r>
    </w:p>
    <w:p>
      <w:pPr>
        <w:spacing w:before="40" w:after="40"/>
      </w:pPr>
    </w:p>
    <w:p>
      <w:pPr>
        <w:spacing w:before="40" w:after="40"/>
        <w:jc w:val="left"/>
      </w:pPr>
      <w:r>
        <w:rPr>
          <w:b/>
          <w:sz w:val="24"/>
        </w:rPr>
        <w:t>УЧАСТНИК</w:t>
      </w:r>
    </w:p>
    <w:p>
      <w:pPr>
        <w:spacing w:before="40" w:after="40"/>
        <w:jc w:val="left"/>
      </w:pPr>
      <w:r>
        <w:rPr>
          <w:b w:val="0"/>
          <w:sz w:val="22"/>
        </w:rPr>
        <w:t>Общество с дополнительной ответственностью «Медицинский центр «Кравира»»</w:t>
      </w:r>
    </w:p>
    <w:p>
      <w:pPr>
        <w:spacing w:before="40" w:after="40"/>
        <w:jc w:val="left"/>
      </w:pPr>
      <w:r>
        <w:rPr>
          <w:b w:val="0"/>
          <w:sz w:val="22"/>
        </w:rPr>
        <w:t>(МЦ «Кравира»)</w:t>
      </w:r>
    </w:p>
    <w:p>
      <w:pPr>
        <w:spacing w:before="40" w:after="40"/>
        <w:jc w:val="left"/>
      </w:pPr>
      <w:r>
        <w:rPr>
          <w:b w:val="0"/>
          <w:sz w:val="22"/>
        </w:rPr>
        <w:t>Юридический адрес: г. Минск, проспект Победителей, 45, пом. 25</w:t>
      </w:r>
    </w:p>
    <w:p>
      <w:pPr>
        <w:spacing w:before="40" w:after="40"/>
        <w:jc w:val="left"/>
      </w:pPr>
      <w:r>
        <w:rPr>
          <w:b w:val="0"/>
          <w:sz w:val="22"/>
        </w:rPr>
        <w:t>УНП: 101477932</w:t>
      </w:r>
    </w:p>
    <w:p>
      <w:pPr>
        <w:spacing w:before="40" w:after="40"/>
        <w:jc w:val="left"/>
      </w:pPr>
      <w:r>
        <w:rPr>
          <w:b w:val="0"/>
          <w:sz w:val="22"/>
        </w:rPr>
        <w:t>Руководитель: Касацкая Мария Геннадьевна, директор</w:t>
      </w:r>
    </w:p>
    <w:p>
      <w:pPr>
        <w:spacing w:before="40" w:after="40"/>
      </w:pPr>
    </w:p>
    <w:p>
      <w:pPr>
        <w:spacing w:before="40" w:after="40"/>
        <w:jc w:val="left"/>
      </w:pPr>
      <w:r>
        <w:rPr>
          <w:b/>
          <w:sz w:val="22"/>
        </w:rPr>
        <w:t>Контакт по проекту:</w:t>
      </w:r>
    </w:p>
    <w:p>
      <w:pPr>
        <w:spacing w:before="40" w:after="40"/>
        <w:jc w:val="left"/>
      </w:pPr>
      <w:r>
        <w:rPr>
          <w:b w:val="0"/>
          <w:sz w:val="22"/>
        </w:rPr>
        <w:t>Кузавка Павел Леонидович, заместитель директора по цифровой трансформации бизнеса и информационным технологиям</w:t>
      </w:r>
    </w:p>
    <w:p>
      <w:pPr>
        <w:spacing w:before="40" w:after="40"/>
        <w:jc w:val="left"/>
      </w:pPr>
      <w:r>
        <w:rPr>
          <w:b w:val="0"/>
          <w:sz w:val="22"/>
        </w:rPr>
        <w:t>Тел.: +375 29 608-75-95</w:t>
      </w:r>
    </w:p>
    <w:p>
      <w:pPr>
        <w:spacing w:before="40" w:after="40"/>
        <w:jc w:val="left"/>
      </w:pPr>
      <w:r>
        <w:rPr>
          <w:b w:val="0"/>
          <w:sz w:val="22"/>
        </w:rPr>
        <w:t>E-mail: akuazuk@gmail.com</w:t>
      </w:r>
    </w:p>
    <w:p>
      <w:pPr>
        <w:spacing w:before="40" w:after="40"/>
        <w:jc w:val="left"/>
      </w:pPr>
      <w:r>
        <w:rPr>
          <w:b w:val="0"/>
          <w:sz w:val="22"/>
        </w:rPr>
        <w:t>Сайт: https://kravira.by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 w:val="0"/>
          <w:sz w:val="22"/>
        </w:rPr>
        <w:t>Минск · 2026</w:t>
      </w:r>
    </w:p>
    <w:p w14:paraId="17F25A95" w14:textId="77777777" w:rsidR="00CE55DF" w:rsidRPr="00C863AB" w:rsidRDefault="00CE55DF" w:rsidP="00CE55DF">
      <w:pPr>
        <w:spacing w:after="0" w:line="240" w:lineRule="exact"/>
        <w:jc w:val="both"/>
        <w:rPr>
          <w:rFonts w:ascii="Times New Roman" w:eastAsia="Calibri" w:hAnsi="Times New Roman"/>
          <w:sz w:val="24"/>
          <w:szCs w:val="24"/>
          <w:lang w:eastAsia="en-US"/>
        </w:rPr>
      </w:pPr>
    </w:p>
    <w:p w14:paraId="6DE48F29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2. Содержание</w:t>
        <w:br/>
        <w:br/>
        <w:t>1. Титульный лист .......................................... 1</w:t>
        <w:br/>
        <w:t>2. Содержание .............................................. 2</w:t>
        <w:br/>
        <w:t>3. Резюме .................................................. 3</w:t>
        <w:br/>
        <w:t>4. Описание проекта ........................................ 5</w:t>
        <w:br/>
        <w:t>5. Описание продукции ...................................... 9</w:t>
        <w:br/>
        <w:t>6. Анализ рынка и маркетинг ................................ 13</w:t>
        <w:br/>
        <w:t>7. Интеллектуальная собственность .......................... 18</w:t>
        <w:br/>
        <w:t>8. Потребители и сбыт ...................................... 19</w:t>
        <w:br/>
        <w:t>8.1. B2C UX-сценарии (пилот) ............................... 21</w:t>
        <w:br/>
        <w:t>9. Ценообразование ......................................... 22</w:t>
        <w:br/>
        <w:t>10. Конкуренты ............................................. 24</w:t>
        <w:br/>
        <w:t>11. Поставщики .............................................. 26</w:t>
        <w:br/>
        <w:t>12. Производственный план .................................. 27</w:t>
        <w:br/>
        <w:t>13. Организационный план ................................... 29</w:t>
        <w:br/>
        <w:t>14. Риски .................................................. 31</w:t>
        <w:br/>
        <w:t>15. Финансовый план ........................................ 32</w:t>
        <w:br/>
        <w:t>16. Иные сведения .......................................... 36</w:t>
        <w:br/>
        <w:t>17. Непрерывное дообучение моделей ......................... 38</w:t>
        <w:br/>
        <w:br/>
        <w:t>Приложения А-Ж: прайс, дорожная карта, KPI, графики, ROI, рынок РБ</w:t>
        <w:br/>
        <w:t>Приложение И: ML-контур и MLOps (ml/, export_training_feedback.py)</w:t>
        <w:br/>
        <w:t>Глоссарий: TAM, SAM, SOM, B2B, B2C, EBITDA - расшифровки и сверка формул</w:t>
        <w:br/>
        <w:t>Электронные приложения: 05_Biznes_plan_Prilozheniya.html, 06_ROI_Kravira.html</w:t>
        <w:br/>
        <w:br/>
        <w:t>Рекомендуемый объём: 10-40 страниц основного текста; детальные расчёты - в приложениях.</w:t>
      </w:r>
    </w:p>
    <w:p w14:paraId="69BD5E22" w14:textId="7455006B" w:rsidR="00CE55DF" w:rsidRDefault="00CE55DF" w:rsidP="00F32985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3. Резюме (основная идея проекта, основные выводы и результаты по разделам бизнес-плана проекта и т.п.)</w:t>
      </w:r>
    </w:p>
    <w:p w14:paraId="7BFDF1B1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Идея проекта. Автоматизировать предимпортную экспертизу консультативных заключений (КЗ) до подписи ЭЦП в частных медицинских организациях Республики Беларусь и предоставить всем пациентам частного сектора сервис проверки своего КЗ по официальным клиническим протоколам Минздрава (478 документов).</w:t>
        <w:br/>
        <w:br/>
        <w:t>Масштаб рынка. МЦ «Кравира» (25 000 КЗ/мес) - якорь и пилот (~1% рынка), но продукт адресован всему сегменту частных ОЗ РБ: ~2,5 млн КЗ/мес, 30 млн/год, ~2,7 млрд BYN платных медуслуг (2025). B2B масштабируется на 3-8 клиник к 2029 г.; B2C - на любого пациента, получившего КЗ в партнёрской или любой частной ОЗ.</w:t>
        <w:br/>
        <w:br/>
        <w:t>Решение. Protocol: scoring 482+ правил, ЦИСЗ FHIR BY, send_gate для МИС. Три канала: B2B (0,69-0,99 BYN/КЗ), API МИС, B2C с tier-ценами 4,99-14,99 BYN (терапия → онкология/pre-op) и rev-share 30% клинике при оплате по ссылке.</w:t>
        <w:br/>
        <w:br/>
        <w:t>Финансовый вывод. Осторожный план 2029: выручка ~2,32 млн BYN, EBITDA ~+1,67 млн/год (~139 тыс./мес). Расширенный сценарий (+8 каналов: L2, подписка методслужбы, обучение, OEM, медтуризм, корпоративные аудиты): выручка до ~3,5 млн, EBITDA до ~2,5 млн/год (~205 тыс./мес).</w:t>
        <w:br/>
        <w:br/>
        <w:t>Запрос. Сертификат ГКНТ (~24 тыс. BYN) на интеграцию МИС и масштабирование на сеть частных ОЗ РБ.</w:t>
      </w:r>
    </w:p>
    <w:p w14:paraId="7B5B85D9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4. Описание проекта (общая характеристика ситуации в данной сфере; существующая проблема, которую решает проект; цель проекта и т.п.)</w:t>
      </w:r>
    </w:p>
    <w:p>
      <w:r>
        <w:t>Ситуация в отрасли. Цифровизация здравоохранения Республики Беларусь ускорилась с внедрением Централизованной информационной системы здравоохранения (ЦИСЗ) и профиля FHIR BY 5.0. Частные амбулаторно-поликлинические организации обязаны формировать консультативные заключения (КЗ) по стандартам и передавать структурированные данные в государственный контур. В системе здравоохранения РБ действуют 1 394 амбулаторно-поликлинические организации; платный сегмент концентрируется в частных центрах, преимущественно в Минске (~56% объёма).</w:t>
        <w:br/>
        <w:br/>
        <w:t>Макроэкономика платной медицины. По отраслевым оценкам, рынок платных медуслуг РБ в 2025 г. составил ~2,7 млрд BYN при росте ~24% к предыдущему году. Доля частного сектора в платных услугах - 70-81% (данные КОЛЛIЕРЗ / SmartPress). Рост выручки частных центров в Минске - около 20% в год (2018-2023). Это создаёт устойчивый поток КЗ, который невозможно контролировать вручную на каждом этапе.</w:t>
        <w:br/>
        <w:br/>
        <w:t>Существующая проблема: (1) методслужба не масштабируется на поток 25 000+ КЗ/мес в крупной клинике; (2) отклонения пакетов в ЦИСЗ влекут доработки и репутационные риски; (3) пациенты не имеют инструмента проверки соответствия оказанной помощи протоколам; (4) врач не может оперативно сверять каждое заключение с полным корпусом из ~478 клинических протоколов Минздрава.</w:t>
        <w:br/>
        <w:br/>
        <w:t>Цель проекта: коммерциализация Protocol как B2B-сервиса для клиник и B2C-сервиса для физических лиц на национальном рынке РБ.</w:t>
        <w:br/>
        <w:br/>
        <w:t>Задачи на 2026-2028: пилот и production L0 в МЦ «Кравира»; интеграция API в МИС «Айболит»; запуск B2C-витрины с оплатой; подключение 3-10 B2B-клиентов; регистрация программы для ЭВМ в НЦИС; достижение 3% рынка к 2028 г. и 8% к 2029 г.</w:t>
        <w:br/>
        <w:br/>
        <w:t>Ожидаемый эффект для отрасли: снижение доли отклонённых пакетов ЦИСЗ, повышение прозрачности качества помощи для пациентов, высвобождение 0,3-0,5 FTE методиста на крупную клинику.</w:t>
        <w:br/>
        <w:br/>
        <w:t>Социальная значимость (подробно - раздел «Социальная значимость» в PDF-версии бизнес-плана):</w:t>
        <w:br/>
        <w:t>- Пациенты получают B2C-инструмент проверки КЗ по 478 протоколам Минздрава с цитатами из стандарта.</w:t>
        <w:br/>
        <w:t>- Врачи - подсказку L0 &lt;2 с до ЭЦП, без «чёрного ящика» LLM в решении send_gate.</w:t>
        <w:br/>
        <w:t>- Медцентры - 100% охват потока вместо 2-5% выборочного аудита; единый контур клиника + ЦИСЗ.</w:t>
        <w:br/>
        <w:t>- Государство - более качественные данные в ЦИСЗ и исполнение клинических протоколов на амбулаторном уровне.</w:t>
      </w:r>
    </w:p>
    <w:p w14:paraId="016FAC1A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5. Описание продукции (особенности продукции по сравнению с существующими на рынке аналогами; правовое регулирование деятельности компании на планируемом рынке (специальное разрешение (лицензия), сертификация продукции; технология производства продукции, научная основа проекта, проведенные научно-исследовательские, опытно-конструкторские и опытно-технологические работы и т.п.)</w:t>
      </w:r>
    </w:p>
    <w:p>
      <w:r>
        <w:t>Наименование продукции: программный комплекс Protocol (SaaS / on-prem) - информационная система поддержки контроля качества медицинской документации. Позиционирование: не медизделие, не замена врача и МЭЭ, не юридическое заключение для B2C.</w:t>
        <w:br/>
        <w:br/>
        <w:t>Отличия от аналогов на рынке:</w:t>
        <w:br/>
        <w:t>- корпус ~478 PDF клинических протоколов Минздрава РБ с цитатами в отчёте (evidence_map);</w:t>
        <w:br/>
        <w:t>- детерминированный scoring (8 блоков, 482+ правил, gate_score, soft_gate);</w:t>
        <w:br/>
        <w:t>- два контура в одном send_gate: клинические протоколы + готовность ЦИСЗ (FHIR BY 3.2.1);</w:t>
        <w:br/>
        <w:t>- tiering L0/L1/L2: массовая проверка &lt;2 с без LLM (L0) для каждого КЗ в МИС;</w:t>
        <w:br/>
        <w:t>- единый REST API для интеграции с МИС «Айболит» и другими вендорами.</w:t>
        <w:br/>
        <w:br/>
        <w:t>Функции B2B: поиск КП по МКБ-10, cisz_readiness, send_gate (allow / warn / block), REST API L0-L2, отчёт для методслужбы с цитатами из протоколов.</w:t>
        <w:br/>
        <w:br/>
        <w:t>Функции B2C: загрузка PDF своего КЗ физлицом; отчёт на русском языке о соответствии помощи протоколам; дисклеймер (не диагноз, не юридическое заключение); удаление файла после сессии.</w:t>
        <w:br/>
        <w:br/>
        <w:t>Технология: Python/FastAPI, гибридный RAG, детерминированные правила; опционально LLM для L2. Развёртывание в защищённом контуре РБ (см. architecture-kravira-fhir-mis.pdf). Серверные требования: 2-4 GB RAM на площадку, Docker.</w:t>
        <w:br/>
        <w:br/>
        <w:t>Жизненный цикл продукта: еженедельная синхронизация корпуса КП Минздрава; ежемесячные релизы правил; квартальный аудит методистом; непрерывное дообучение локальных моделей (см. раздел «Непрерывное дообучение» и каталог ml/).</w:t>
        <w:br/>
        <w:br/>
        <w:t>Архитектура ML: детерминированное ядро (send_gate) + дообучаемые embedder/reranker/entailment в контуре РБ; сбор feedback data/ml/feedback/; экспорт scripts/export_training_feedback.py.</w:t>
      </w:r>
    </w:p>
    <w:p w14:paraId="22EA2F43" w14:textId="342A246F" w:rsidR="00CE55DF" w:rsidRPr="00C863AB" w:rsidRDefault="00CE55DF" w:rsidP="00F32985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6. Анализ отрасли и рынка, маркетинг (перечень основной продукции и услуг, предлагаемых данной отраслью; географическое положение рынка (локальный, региональный, национальный, международный); общий объем продаж по отрасли и тенденции изменения рынка; данные независимых экспертов, оценивающих конъюнктуру рынка, опубликованные прогнозы будущего развития рынка; специфические особенности рынка; описание сегмента рынка, на котором предполагается выполнение проекта; планы относительно зарубежных рынков, экспортный потенциал и т.п.)</w:t>
      </w:r>
    </w:p>
    <w:p w14:paraId="3F54E10A" w14:textId="53DF8B08" w:rsidR="00F32985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Продукты и услуги отрасли: амбулаторная помощь, ведение ЭМК, МИС, передача данных в ЦИСЗ, методический контроль КЗ, медицинский туризм (&gt;160 тыс. иностранных пациентов в 2024 г.).</w:t>
        <w:br/>
        <w:br/>
        <w:t>География: национальный рынок (РБ); приоритет - Минск и крупные частные сети; экспорт в русскоязычные юрисдикции с похожей нормативкой - перспектива 2029+.</w:t>
        <w:br/>
        <w:br/>
        <w:t>B2B-сегмент: частные ОЗ. МЦ «Кравира» - 25 000 КЗ/мес, ~1% рынка частных ОЗ, отсюда оценка сегмента ~2,5 млн КЗ/мес (~30 млн/год). SAM (5% TAM, клиники с потоком &gt;5 000 КЗ/мес и готовностью к ЦИСЗ) - 1,5 млн КЗ/год. SOM год 3 - 2,4 млн КЗ/год (8% TAM).</w:t>
        <w:br/>
        <w:br/>
        <w:t>B2C-сегмент: все пациенты частных ОЗ РБ (~30 млн получений КЗ/год). МЦ «Кравира» - первый white-label партнёр; масштаб - любая частная клиника и любой пациент с PDF КЗ. Tier-цены 4,99-14,99 BYN (терапия → онкология/pre-op); средний чек пациента ~8,33 BYN (микс tier). Rev-share 30% клинике при оплате по SMS/QR-ссылке - доп. доход ОЗ без затрат на методиста.</w:t>
        <w:br/>
        <w:br/>
        <w:t>Конверсия B2C (осторожный сценарий): 0,02% TAM в год 1 (~6,7 тыс. проверок), 0,23% в год 3 (~69,6 тыс.) → выручка Protocol ~440 тыс. BYN (~6,33 BYN Protocol/проверка с учётом rev-share 30%). Базовый 0,33% TAM - ~626 тыс. BYN B2C; оптимистичный 0,5% - ~949 тыс. BYN.</w:t>
        <w:br/>
        <w:br/>
        <w:t>Маркетинг B2B: кейс Кравиры с ROI; конференции ЦИСЗ/Минздрава; прямые продажи в сети частных ОЗ Минска и регионов; OEM через EPAM/Айболит.</w:t>
        <w:br/>
        <w:br/>
        <w:t>Маркетинг B2C: QR «Проверить заключение»; SMS со ссылкой от клиники (rev-share); SEO «проверить КЗ Беларусь»; tier-прайс по specialty.</w:t>
        <w:br/>
        <w:br/>
        <w:t>Тренды: ужесточение требований ЦИСЗ; дефицит методистов; принятие ИИ при прозрачном детерминированном scoring; рост частных центров ~20%/год в Минске.</w:t>
        <w:br/>
        <w:br/>
        <w:t>Детальная таблица рынка TAM/SAM/SOM, контекст РБ и графики - таблицы 1-1а, 9 и приложения.</w:t>
      </w:r>
    </w:p>
    <w:p>
      <w:pPr>
        <w:spacing w:before="120" w:after="60"/>
      </w:pPr>
      <w:r>
        <w:rPr>
          <w:b/>
          <w:i w:val="0"/>
          <w:sz w:val="20"/>
        </w:rPr>
        <w:t>Таблица 1. Оценка объёма рынка консультативных заключений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Источник / допущение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КЗ/мес в МЦ «Кравира»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данные участника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Доля Кравиры на рынке платных КЗ частных ОЗ РБ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1%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оценка участника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КЗ/мес, сегмент частных ОЗ РБ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2 500 000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 / 0,01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КЗ/год, сегмент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30 000 000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× 12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TAM @ 0,99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~29 700 000 BYN/год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30 млн × 0,99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Цель год 3 (8% рынка)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200 000 КЗ/мес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8% TAM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Цель год 2 (3% рынка)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75 000 КЗ/мес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3% TAM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ke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20" w:after="60"/>
      </w:pPr>
      <w:r>
        <w:rPr>
          <w:b/>
          <w:i w:val="0"/>
          <w:sz w:val="20"/>
        </w:rPr>
        <w:t>Таблица 1а. Контекст рынка платных медуслуг Республики Беларусь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 рынка РБ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Источник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Рынок платных медуслуг РБ, 2025 (оценка)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~2,7 млрд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отраслевые обзоры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Доля частных центров в платном сегменте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~70-81%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КОЛЛIЕРЗ / SmartPress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Доля Минска в платных услугах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~56%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концентрация спроса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Амбулаторно-поликлинические ОЗ в РБ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1 394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Минздрав РБ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Рост выручки частных центров (Минск)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~20% / год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SmartPress, 2018-2023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Иностранные пациенты, 2024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&gt;160 тыс.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НАТУР / медтуризм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9. Факторы роста спроса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Драйвер спроса на Protocol</w:t>
            </w:r>
          </w:p>
        </w:tc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Пояснение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Обязательная передача амбулаторных данных в ЦИСЗ (FHIR BY)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Рост штрафных и репутационных рисков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Отклонение пакетов при ошибках Bundle/Composition/НСИ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Доработки после подписи ЭЦП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Дефицит методистов при росте потока КЗ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Ручной аудит 2-5% потока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478 клинических протоколов Минздрава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Невозможность ручного контроля каждого КЗ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68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ket_sha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41E59F4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6CBBD06" w14:textId="4BDB2CF1" w:rsidR="00CE55DF" w:rsidRPr="0052627C" w:rsidRDefault="00CE55DF" w:rsidP="00F32985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eastAsia="en-US"/>
        </w:rPr>
      </w:pPr>
      <w:r w:rsidRPr="0052627C">
        <w:rPr>
          <w:rFonts w:ascii="Times New Roman" w:hAnsi="Times New Roman"/>
          <w:sz w:val="24"/>
          <w:szCs w:val="24"/>
          <w:lang w:eastAsia="en-US"/>
        </w:rPr>
        <w:t xml:space="preserve">7. Использование объектов интеллектуальной собственности (потенциальных объектов интеллектуальной собственности) </w:t>
      </w:r>
      <w:r>
        <w:rPr>
          <w:rFonts w:ascii="Times New Roman" w:hAnsi="Times New Roman"/>
          <w:sz w:val="24"/>
          <w:szCs w:val="24"/>
          <w:lang w:eastAsia="en-US"/>
        </w:rPr>
        <w:t>(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объекты интеллектуальной собственности (потенциальные </w:t>
      </w:r>
      <w:r w:rsidRPr="0052627C">
        <w:rPr>
          <w:rFonts w:ascii="Times New Roman" w:hAnsi="Times New Roman"/>
          <w:sz w:val="24"/>
          <w:szCs w:val="24"/>
          <w:lang w:eastAsia="en-US"/>
        </w:rPr>
        <w:t>объекты интеллектуальной собственности), которые используются или планируется использовать в рамках проекта, включая объекты интеллектуальной собственности</w:t>
      </w:r>
      <w:r>
        <w:rPr>
          <w:rFonts w:ascii="Times New Roman" w:hAnsi="Times New Roman"/>
          <w:sz w:val="24"/>
          <w:szCs w:val="24"/>
          <w:lang w:eastAsia="en-US"/>
        </w:rPr>
        <w:t>,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права на которые принадлежат участнику конкурса или прав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 w:rsidR="00FA7855">
        <w:rPr>
          <w:rFonts w:ascii="Times New Roman" w:hAnsi="Times New Roman"/>
          <w:sz w:val="24"/>
          <w:szCs w:val="24"/>
          <w:lang w:eastAsia="en-US"/>
        </w:rPr>
        <w:t>ис</w:t>
      </w:r>
      <w:r w:rsidRPr="0052627C">
        <w:rPr>
          <w:rFonts w:ascii="Times New Roman" w:hAnsi="Times New Roman"/>
          <w:sz w:val="24"/>
          <w:szCs w:val="24"/>
          <w:lang w:eastAsia="en-US"/>
        </w:rPr>
        <w:t>пользовани</w:t>
      </w:r>
      <w:r w:rsidR="00FA7855">
        <w:rPr>
          <w:rFonts w:ascii="Times New Roman" w:hAnsi="Times New Roman"/>
          <w:sz w:val="24"/>
          <w:szCs w:val="24"/>
          <w:lang w:eastAsia="en-US"/>
        </w:rPr>
        <w:t>я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которых получен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по соответствующему договору</w:t>
      </w:r>
      <w:r>
        <w:rPr>
          <w:rFonts w:ascii="Times New Roman" w:hAnsi="Times New Roman"/>
          <w:sz w:val="24"/>
          <w:szCs w:val="24"/>
          <w:lang w:eastAsia="en-US"/>
        </w:rPr>
        <w:t>;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>
        <w:rPr>
          <w:rFonts w:ascii="Times New Roman" w:hAnsi="Times New Roman"/>
          <w:sz w:val="24"/>
          <w:szCs w:val="24"/>
          <w:lang w:eastAsia="en-US"/>
        </w:rPr>
        <w:t>д</w:t>
      </w:r>
      <w:r w:rsidRPr="0052627C">
        <w:rPr>
          <w:rFonts w:ascii="Times New Roman" w:hAnsi="Times New Roman"/>
          <w:sz w:val="24"/>
          <w:szCs w:val="24"/>
          <w:lang w:eastAsia="en-US"/>
        </w:rPr>
        <w:t>окументы, подтверждающие права на объекты интеллектуальной собственности (патент, свидетельство, договор уступки исключительного права) или прав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использовани</w:t>
      </w:r>
      <w:r w:rsidR="00FA7855">
        <w:rPr>
          <w:rFonts w:ascii="Times New Roman" w:hAnsi="Times New Roman"/>
          <w:sz w:val="24"/>
          <w:szCs w:val="24"/>
          <w:lang w:eastAsia="en-US"/>
        </w:rPr>
        <w:t>я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объектов интеллектуальной собственности (лицензионный договор, договор комплексной предпринимательской лицензии или иные договоры, предусмотренные законодательством)</w:t>
      </w:r>
      <w:r>
        <w:rPr>
          <w:rFonts w:ascii="Times New Roman" w:hAnsi="Times New Roman"/>
          <w:sz w:val="24"/>
          <w:szCs w:val="24"/>
          <w:lang w:eastAsia="en-US"/>
        </w:rPr>
        <w:t>;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>
        <w:rPr>
          <w:rFonts w:ascii="Times New Roman" w:hAnsi="Times New Roman"/>
          <w:sz w:val="24"/>
          <w:szCs w:val="24"/>
          <w:lang w:eastAsia="en-US"/>
        </w:rPr>
        <w:t>а</w:t>
      </w:r>
      <w:r w:rsidRPr="0052627C">
        <w:rPr>
          <w:rFonts w:ascii="Times New Roman" w:hAnsi="Times New Roman"/>
          <w:sz w:val="24"/>
          <w:szCs w:val="24"/>
          <w:lang w:eastAsia="en-US"/>
        </w:rPr>
        <w:t>вторы объекта интеллектуальной собственности и иные обладатели прав на объект интеллектуальной собственности)</w:t>
      </w:r>
    </w:p>
    <w:p w14:paraId="4950D204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Используются объекты ИС участника. Исходный код и база правил - исключительные права МЦ «Кравира» (договоры с разработчиками). Регистрация программы для ЭВМ в НЦИС (БелГИСС). Режим коммерческой тайны для каталога правил и конфигураций gate. Патентная чистота: открытые PDF Минздрава, FHIR BY, собственная реализация scoring и send_gate. Лицензирование B2B - договор оказания услуг / лицензионный договор на API.</w:t>
      </w:r>
    </w:p>
    <w:p w14:paraId="4B58E60B" w14:textId="77777777" w:rsidR="00CE55DF" w:rsidRPr="00C863AB" w:rsidRDefault="00CE55DF" w:rsidP="00CE55DF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8. Основные потребители и характеристика сбытовой политики (основные потребители продукции и их характеристика; методы продвижения и каналы сбыта продукции и т.п.) </w:t>
      </w:r>
    </w:p>
    <w:p w14:paraId="2C7E0D16" w14:textId="6086D4F5" w:rsidR="00CE55DF" w:rsidRPr="00C863AB" w:rsidRDefault="00CE55DF" w:rsidP="00CE55DF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Основные потребители B2B: все частные медицинские центры и сети ОЗ Республики Беларусь; методслужбы; вендоры МИС. Якорный пилот - МЦ «Кравира» (~25 000 КЗ/мес, 207 тыс. BYN/год B2B); к 2029 г. - 8 клиник (1,59 млн BYN B2B помимо Кравиры).</w:t>
        <w:br/>
        <w:br/>
        <w:t>Сегментация B2B: (1) крупные сети 25k+ КЗ/мес - «Сеть» 0,69 BYN; (2) клиники 5-10k - «Клиника» 0,79 BYN; (3) малые ОЗ - «Старт» 0,99 BYN; (4) OEM через МИС.</w:t>
        <w:br/>
        <w:br/>
        <w:t>Потребители B2C: все физические лица - пациенты любой частной клиники РБ, желающие проверить КЗ по протоколам Минздрава; родственники; медтуристы.</w:t>
        <w:br/>
        <w:br/>
        <w:t>Сбытовая политика B2C: веб-витрина protocol.by/check; ERIP и карты; SMS/email со ссылкой от клиники (rev-share 30/70); QR на выдаваемом КЗ; tier-цены по specialty (онкология 14,99, pre-op 12,99 BYN).</w:t>
        <w:br/>
        <w:br/>
        <w:t>Каналы продвижения: личные продажи B2B по сети частных ОЗ; партнёрская программа B2B2C (клиника рассылает ссылку - получает 30% оплаты); контент-маркетинг; конкурс Белинфонд для PR.</w:t>
        <w:br/>
        <w:br/>
        <w:t>B2C UX: три сценария - QR после визита (любая ОЗ-партнёр), SMS со ссылкой (rev-share), национальный вход SEO. Подробно - раздел 8.1 PDF.</w:t>
      </w:r>
    </w:p>
    <w:p>
      <w:pPr>
        <w:spacing w:before="120" w:after="60"/>
      </w:pPr>
      <w:r>
        <w:rPr>
          <w:b/>
          <w:i w:val="0"/>
          <w:sz w:val="20"/>
        </w:rPr>
        <w:t>Таблица 1б. Маркетинговый план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Канал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Целевая аудитория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Бюджет/год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Прямые продажи 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частные ОЗ &gt;5k КЗ/мес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 договора/год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40 тыс. BYN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OEM API Айболит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все клиенты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 интеграция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 CAPEX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QR B2C в Кравире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пациенты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0,1% конверсия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15 тыс. BYN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Конференции ЦИСЗ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методслужбы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 выступления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10 тыс. BYN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Контент SEO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физлица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5k визитов/мес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20 тыс. BYN</w:t>
            </w:r>
          </w:p>
        </w:tc>
      </w:tr>
    </w:tbl>
    <w:p/>
    <w:p w14:paraId="7AC8DDB4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9. Ценообразование (оценка конкурентоспособности продукции по цене; себестоимость продукции и ее составляющие; тенденции ценообразования; планируемые объемы сбыта и т.п.)</w:t>
      </w:r>
    </w:p>
    <w:p w14:paraId="3C95AF5B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Ценовая политика основана на микроплатеже за одну проверку КЗ (модель pay-per-use), что снижает барьер входа для клиник по сравнению с крупными лицензиями МИС.</w:t>
        <w:br/>
        <w:br/>
        <w:t>B2B (за 1 проверку КЗ, уровень L0):</w:t>
        <w:br/>
        <w:t>- Розница: 0,99 BYN</w:t>
        <w:br/>
        <w:t>- Пакет 10 000/мес: 0,79 BYN (мин. 5 000 BYN/мес)</w:t>
        <w:br/>
        <w:t>- Пакет 25 000+/мес: 0,69 BYN (мин. 12 000 BYN/мес, тариф МЦ «Кравира»)</w:t>
        <w:br/>
        <w:t>- L2 для методиста: +0,50 BYN</w:t>
        <w:br/>
        <w:t>- Внедрение API в МИС: 15-40 тыс. BYN разово + поддержка 3-5 тыс. BYN/год</w:t>
        <w:br/>
        <w:br/>
        <w:t>Себестоимость L0 B2B: ~0,06-0,12 BYN/КЗ (маржа 85-94% при 0,99 BYN; 83-91% при 0,69 BYN).</w:t>
        <w:br/>
        <w:br/>
        <w:t>B2C (физические лица, tier по specialty):</w:t>
        <w:br/>
        <w:t>- Базовый L1 (терапия, простой приём): 4,99 BYN</w:t>
        <w:br/>
        <w:t>- Расширенный L1+ (специалист + анализы в КЗ): 6,99 BYN</w:t>
        <w:br/>
        <w:t>- Стандарт L2 (подробный разбор): 9,99 BYN</w:t>
        <w:br/>
        <w:t>- Онкология L2 (онко, ЗНО, хроника): 14,99 BYN</w:t>
        <w:br/>
        <w:t>- Предоперационный L2 (pre-op, высокий риск): 12,99 BYN</w:t>
        <w:br/>
        <w:t>- Промо по ссылке клиники (SMS/QR): 2,99 BYN → upsell на tier</w:t>
        <w:br/>
        <w:t>- Rev-share: 30% оплаты - клинике-партнёру, 70% - Protocol</w:t>
        <w:br/>
        <w:br/>
        <w:t>Средний чек B2C (микс tier): ~8,33 BYN. Выручка Protocol с проверки ~6,33 BYN (80% канал rev-share × 70% + 20% прямой). Пример: онко 14,99 → клинике 4,50 BYN, Protocol 10,49 BYN.</w:t>
        <w:br/>
        <w:br/>
        <w:t>Себестоимость B2C L1: ~0,15-0,25 BYN (PDF, без хранения ПДн). Валовая маржа Protocol после rev-share: 65-85% в зависимости от tier.</w:t>
        <w:br/>
        <w:br/>
        <w:t>Обоснование цены: ручной аудит методистом - эквивалент ~34 BYN/проверенное КЗ при охвате 2-5% потока; Protocol L0 - 0,69 BYN при 100% охвате.</w:t>
        <w:br/>
        <w:br/>
        <w:t>Прайс-листы, таблица себестоимости, маржа по тарифам и график тарифной лестницы - таблицы 2-4, 9 и приложение А.</w:t>
      </w:r>
    </w:p>
    <w:p>
      <w:pPr>
        <w:spacing w:before="120" w:after="60"/>
      </w:pPr>
      <w:r>
        <w:rPr>
          <w:b/>
          <w:i w:val="0"/>
          <w:sz w:val="20"/>
        </w:rPr>
        <w:t>Таблица 2. Прайс-лист B2B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 B2B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 L0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Условия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Старт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0,99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 1 000 КЗ/мес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Клиника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0,79 BYN/КЗ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 10 000 КЗ/мес, мин. 5 000 BYN/мес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25 000+ КЗ/мес, мин. 12 000 BYN/мес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L2 методист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+0,50 BYN/КЗ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углублённый разбор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Внедрение API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15-40 тыс.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разово + поддержка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3. Прайс-лист B2C (физические лица)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 B2C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Базовая проверка L1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4,99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структурный разбор без LLM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Подробный отчёт L2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9,99 BYN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пояснения простым языком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Абонемент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12,99 BYN/мес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 проверки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Промо от клиники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2,99 BYN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QR на чеке/КЗ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4. Себестоимость проверки L0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себестоимости L0</w:t>
            </w:r>
          </w:p>
        </w:tc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BYN/КЗ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Сервер / амортизация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0,02-0,05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Электричество, админ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0,01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Поддержка (0,5 FTE на 100k КЗ)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0,03-0,06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Итого L0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0,06-0,12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Маржа при 0,99 BYN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~85-90%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9. Маржа по тарифам B2B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Себест.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Маржа L0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Старт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0,99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~91%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Клиника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0,79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~89%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~87%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ic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6F22D7D7" w14:textId="77777777" w:rsidR="00F32985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10. Конкуренты (описание основных конкурентов; возможности конкурентов (тактика и стратегия, продукция, цены, местонахождение, продажи и т.п.)</w:t>
      </w:r>
    </w:p>
    <w:p w14:paraId="06F29C1A" w14:textId="04ACAAD8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Конкурентный анализ показывает отсутствие в Республике Беларусь готового продукта «корпус КП Минздрава + предпроверка Bundle до ЭЦП + B2C для пациентов».</w:t>
        <w:br/>
        <w:br/>
        <w:t>Основные альтернативы: ручной аудит методслужбы (2-5% потока, ~34 BYN/КЗ); зарубежные CDSS без КП РБ; свободные LLM-чаты (риск ПДн, нет send_gate); встроенные шаблоны МИС без evidence_map.</w:t>
        <w:br/>
        <w:br/>
        <w:t>Конкурентные преимущества Protocol: 100% охват потока L0; локальный корпус КП; интеграция ЦИСЗ; прозрачный детерминированный scoring; три канала монетизации.</w:t>
        <w:br/>
        <w:br/>
        <w:t>Подробная сравнительная таблица с оценкой по 5 критериям - таблица 5.</w:t>
      </w:r>
    </w:p>
    <w:p>
      <w:pPr>
        <w:spacing w:before="120" w:after="60"/>
      </w:pPr>
      <w:r>
        <w:rPr>
          <w:b/>
          <w:i w:val="0"/>
          <w:sz w:val="20"/>
        </w:rPr>
        <w:t>Таблица 5. Конкурентный анализ (детально)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Альтернатива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Охват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Слабость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Ручной аудит методслужбы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2-5% потока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 масштабируется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34 BYN/проверенное КЗ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Зарубежные CDSS (UpToDate и др.)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Нет КП Минздрава РБ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Подписка USD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Свободные LLM-чаты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Ad hoc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Нет send_gate, ПДн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Непредсказуемо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Шаблоны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100% форма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Нет evidence_map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 лицензии МИС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Protocol L0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100% потока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КП РБ + ЦИСЗ + правила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5а. Оценка по 5-балльной шкале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Ручной аудит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LLM-чат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Шаблон МИС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КП Минздрава РБ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100% потока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ЦИСЗ / FHIR BY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Evidence map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B2C для пациента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</w:tbl>
    <w:p/>
    <w:p w14:paraId="5C10D08B" w14:textId="245B405A" w:rsidR="00CE55DF" w:rsidRPr="00C863AB" w:rsidRDefault="00CE55DF" w:rsidP="00F3298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11</w:t>
      </w:r>
      <w:r w:rsidRPr="00C863AB">
        <w:rPr>
          <w:rFonts w:ascii="Times New Roman" w:hAnsi="Times New Roman"/>
          <w:bCs/>
          <w:sz w:val="24"/>
          <w:szCs w:val="24"/>
        </w:rPr>
        <w:t>. Поставщики (описание организаций-поставщиков; перечень необходимых материалов, цена и т.п.)</w:t>
      </w:r>
    </w:p>
    <w:p w14:paraId="26BF35D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Поставщики и контрагенты:</w:t>
        <w:br/>
        <w:t>- хостинг / виртуальные машины в дата-центре РБ (on-prem площадка клиники или облако РБ);</w:t>
        <w:br/>
        <w:t>- платёжные агрегаторы для B2C (ERIP, эквайринг банков РБ);</w:t>
        <w:br/>
        <w:t>- опционально облачный LLM API или on-prem LLM для уровня L2;</w:t>
        <w:br/>
        <w:t>- НЦИС (БелГИСС) - регистрация программы для ЭВМ;</w:t>
        <w:br/>
        <w:t>- EPAM / вендор МИС «Айболит» - интеграционные работы;</w:t>
        <w:br/>
        <w:t>- юридическое сопровождение договоров B2B/B2C и политики ПДн.</w:t>
        <w:br/>
        <w:br/>
        <w:t>Материалы: не требуются (программный продукт). Сервер 2-4 GB RAM на площадку. Лицензии ПО - open source (Python, FastAPI) + собственная разработка.</w:t>
        <w:br/>
        <w:br/>
        <w:t>План закупок на 2026-2027: серверное оборудование ~10 тыс. BYN; интеграция МИС ~40 тыс. BYN; маркетинг пилота ~20 тыс. BYN (см. таблицу инвестиций).</w:t>
      </w:r>
    </w:p>
    <w:p w14:paraId="59C7B116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12. Производственный план (наличие материально-технической базы, потребность в оборудовании, сырье и </w:t>
      </w:r>
      <w:r w:rsidRPr="00C863AB">
        <w:rPr>
          <w:rFonts w:ascii="Times New Roman" w:hAnsi="Times New Roman"/>
          <w:bCs/>
          <w:sz w:val="24"/>
          <w:szCs w:val="24"/>
        </w:rPr>
        <w:t>материалах для производства продукции, планируемые объемы выпуска, безопасность, экологичность и т.п.)</w:t>
      </w:r>
    </w:p>
    <w:p w14:paraId="10822259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Производственный процесс - тиражирование экземпляров ПО и сопровождение:</w:t>
        <w:br/>
        <w:t>1. Развёртывание Docker/on-prem на площадке заказчика (1-2 недели).</w:t>
        <w:br/>
        <w:t>2. Еженедельная синхронизация корпуса PDF Минздрава.</w:t>
        <w:br/>
        <w:t>3. Обновление каталога правил и конфигураций gate (релизы).</w:t>
        <w:br/>
        <w:t>4. Для B2C - изолированный публичный контур с удалением загруженных файлов после сессии.</w:t>
        <w:br/>
        <w:t>5. Мониторинг SLA L0 &lt;2 с, uptime 99,5%.</w:t>
        <w:br/>
        <w:br/>
        <w:t>Материально-техническая база: серверная инфраструктура МЦ «Кравира»; рабочий прототип развёрнут. Потребность в новом оборудовании - умеренная (1 сервер на площадку, ~3-5 тыс. BYN).</w:t>
        <w:br/>
        <w:br/>
        <w:t>Производственная мощность: один сервер L0 обрабатывает до 500 000 КЗ/мес; масштабирование горизонтальное.</w:t>
      </w:r>
    </w:p>
    <w:p w14:paraId="4EFC72B1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13. Организационный план (кадровая структура организации</w:t>
      </w:r>
      <w:r>
        <w:rPr>
          <w:rFonts w:ascii="Times New Roman" w:eastAsia="Calibri" w:hAnsi="Times New Roman"/>
          <w:sz w:val="24"/>
          <w:szCs w:val="24"/>
          <w:lang w:eastAsia="en-US"/>
        </w:rPr>
        <w:t>, выполняющей работы</w:t>
      </w: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 (персонал, структура и т.п.); график выполнения работ (календарный план); график осуществления инвестиций; формы финансирования проекта (кредит, заем, собственные средства и т.п.)</w:t>
      </w:r>
    </w:p>
    <w:p w14:paraId="6B6C799C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Организация-исполнитель: ОДО «Медицинский центр «Кравира»». Кадровая структура проекта - таблица 6.</w:t>
        <w:br/>
        <w:br/>
        <w:t>График работ (ключевые вехи):</w:t>
        <w:br/>
        <w:t>- Q3-Q4 2026: production L0 on-prem, подготовка B2C beta, регистрация ПО;</w:t>
        <w:br/>
        <w:t>- Q1-Q2 2027: API в МИС «Айболит», метрики пилота, ROI-отчёт;</w:t>
        <w:br/>
        <w:t>- Q3-Q4 2027: коммерческие договоры с 2-3 внешними ОЗ, B2C ERIP;</w:t>
        <w:br/>
        <w:t>- 2028: масштабирование на 5-10 клиник, 3% рынка;</w:t>
        <w:br/>
        <w:t>- 2029: 8% рынка, white-label МИС.</w:t>
        <w:br/>
        <w:br/>
        <w:t>Ответственный по проекту: Кузавка П.Л. (цифровая трансформация и ИТ). Методологическое руководство: главврач / методслужба Кравиры.</w:t>
        <w:br/>
        <w:br/>
        <w:t>ФОТ проекта (оценка): ~180 тыс. BYN в год 1, рост до 420 тыс. BYN в год 3 (см. таблицу OPEX).</w:t>
      </w:r>
    </w:p>
    <w:p>
      <w:pPr>
        <w:spacing w:before="120" w:after="60"/>
      </w:pPr>
      <w:r>
        <w:rPr>
          <w:b/>
          <w:i w:val="0"/>
          <w:sz w:val="20"/>
        </w:rPr>
        <w:t>Таблица 6. Организационная структура проекта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Роль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FTE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Функция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Руководитель проекта / главврач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методология, Минздрав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Ведущий разработчик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1,0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продукт, API, МИС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Методист-клиницист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правила, валидация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Менеджер B2B/B2C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продажи, договоры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ИТ-админ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on-prem, ИБ</w:t>
            </w:r>
          </w:p>
        </w:tc>
      </w:tr>
    </w:tbl>
    <w:p/>
    <w:p w14:paraId="122B0A63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14. Возможные проблемы реализации проекта (финансовые и другие риски исполнения проекта и т.п.)</w:t>
      </w:r>
    </w:p>
    <w:bookmarkEnd w:id="0"/>
    <w:p w14:paraId="3B82483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Финансовые и иные риски проекта систематизированы в таблице 7.</w:t>
        <w:br/>
        <w:br/>
        <w:t>Ключевые риски: обработка ПДн в B2C; изменение клинических протоколов Минздрава; низкая готовность платить малыми клиниками; регуляторная квалификация продукта; задержка интеграции МИС; конкуренция со стороны вендоров МИС.</w:t>
        <w:br/>
        <w:br/>
        <w:t>Митигация: on-prem L0 без выноса ПДн; автосинхронизация корпуса КП; ROI через снижение отказов ЦИСЗ (см. 06_ROI_Kravira.html); позиционирование как СПО/ИС; пилот с EPAM; QR-кампании для B2C через партнёрские клиники; резерв на юридическое сопровождение 30 тыс. BYN.</w:t>
        <w:br/>
        <w:br/>
        <w:t>Страховые меры: договоры SLA с клиентами B2B; политика обработки ПДн; регистрация ПО в НЦИС.</w:t>
      </w:r>
    </w:p>
    <w:p>
      <w:pPr>
        <w:spacing w:before="120" w:after="60"/>
      </w:pPr>
      <w:r>
        <w:rPr>
          <w:b/>
          <w:i w:val="0"/>
          <w:sz w:val="20"/>
        </w:rPr>
        <w:t>Таблица 7. Матрица рисков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Риск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Вероятность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Митигация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ПДн B2C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минимизация хранения, HTTPS, on-prem L0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Изменение КП Минздрава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высокая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автосинхронизация корпуса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Низкая готовность платить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ROI: меньше отказов ЦИСЗ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Регуляторика «медизделие»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низкая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позиция СПО/ИС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Низкая конверсия B2C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QR-кампании в клиниках</w:t>
            </w:r>
          </w:p>
        </w:tc>
      </w:tr>
    </w:tbl>
    <w:p/>
    <w:p w14:paraId="2EDB88CD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exact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15.</w:t>
      </w:r>
      <w:r>
        <w:rPr>
          <w:rFonts w:ascii="Times New Roman" w:eastAsia="Calibri" w:hAnsi="Times New Roman"/>
          <w:sz w:val="24"/>
          <w:szCs w:val="24"/>
          <w:lang w:eastAsia="en-US"/>
        </w:rPr>
        <w:t xml:space="preserve"> </w:t>
      </w:r>
      <w:r w:rsidRPr="00C863AB">
        <w:rPr>
          <w:rFonts w:ascii="Times New Roman" w:eastAsia="Calibri" w:hAnsi="Times New Roman"/>
          <w:sz w:val="24"/>
          <w:szCs w:val="24"/>
          <w:lang w:eastAsia="en-US"/>
        </w:rPr>
        <w:t>Финансовый план проекта (доходы; текущие производственные затраты; инвестиционные затраты (капитальные вложения, оборотный капитал); источники финансирования; характеристика эффективности проекта; характеристика финансовой состоятельности проекта; анализ чувствительности показателей проекта к изменению исходных параметров и т.п.</w:t>
      </w:r>
      <w:r w:rsidRPr="00C863AB">
        <w:rPr>
          <w:rFonts w:ascii="Times New Roman" w:hAnsi="Times New Roman"/>
          <w:bCs/>
          <w:sz w:val="24"/>
          <w:szCs w:val="24"/>
        </w:rPr>
        <w:t xml:space="preserve">) </w:t>
      </w:r>
    </w:p>
    <w:p w14:paraId="101A1BAA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Финансовый план на 3 года (осторожный сценарий) представлен в таблицах 8, 10-12 и на графиках в приложениях Г, З, И.</w:t>
        <w:br/>
        <w:br/>
        <w:t>Исходное допущение рынка: 25 000 КЗ/мес в Кравире = 1% платных КЗ частного сектора РБ, адресуемый рынок 2,5 млн КЗ/мес (30 млн/год).</w:t>
        <w:br/>
        <w:br/>
        <w:t>Доходы год 1 (2027): B2B Кравира 207 + B2C 42 = 249 тыс. BYN; OPEX 280 тыс.; EBITDA −31 тыс. (~−2,6 тыс./мес).</w:t>
        <w:br/>
        <w:br/>
        <w:t>Доходы год 2 (2028): B2B 675 + B2C 152 + API 25 = 852 тыс. BYN; OPEX 420 тыс.; EBITDA +432 тыс. (~+36 тыс./мес, 3% TAM B2B).</w:t>
        <w:br/>
        <w:br/>
        <w:t>Доходы год 3 (2029), осторожный: B2B 1 800 + B2C 440 + API 75 = 2 315 тыс. BYN; OPEX 650 тыс.; EBITDA +1 665 тыс. (~+139 тыс./мес, 8% TAM B2B = 200 тыс. КЗ/мес из 2,5 млн). Базовый (10% TAM): EBITDA ~+2 256 тыс.; оптимистичный (12%): ~+2 949 тыс.</w:t>
        <w:br/>
        <w:br/>
        <w:t>Пояснение TAM vs EBITDA: теоретический потолок B2B при 100% TAM - ~22,5 млн BYN/год; план 2029 использует 8% проникновения - это сознательно осторожная модель, не недооценка рынка.</w:t>
        <w:br/>
        <w:br/>
        <w:t>Структура OPEX: ФОТ 64%, инфраструктура 13%, маркетинг 13%, прочее 10% (см. таблицу 11 и график OPEX).</w:t>
        <w:br/>
        <w:br/>
        <w:t>Инвестиции 2026-2027: интеграция МИС 40 тыс.; B2C-витрина 25 тыс.; регистрация ПО 15 тыс.; сервер 10 тыс.; маркетинг 20 тыс. Итого ~110 тыс. BYN. Источники: сертификат ГКНТ (571 б.в. × 42 BYN ≈ 24 тыс. BYN), собственные средства Кравиры, reinvest EBITDA с 2028 г.</w:t>
        <w:br/>
        <w:br/>
        <w:t>ROI якорного клиента - приложение Ж (06_ROI_Kravira.html): экономия ~3,5 тыс. BYN/мес vs затраты 17,25 тыс. BYN/мес на Protocol при полном охвате - окупаемость через снижение доработок ЦИСЗ и высвобождение методиста.</w:t>
        <w:br/>
        <w:br/>
        <w:t>Cash flow: отрицательный в 2027 (−31 тыс. EBITDA), положительный с 2028 (+432 тыс., +1 665 тыс. осторожный / до +2 949 тыс. оптимистичный).</w:t>
      </w:r>
    </w:p>
    <w:p>
      <w:pPr>
        <w:spacing w:before="120" w:after="60"/>
      </w:pPr>
      <w:r>
        <w:rPr>
          <w:b/>
          <w:i w:val="0"/>
          <w:sz w:val="20"/>
        </w:rPr>
        <w:t>Таблица 8. Финансовый план на 3 года (тыс.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Клиенты (ОЗ экв.)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 (Кравира)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КЗ/мес, всего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75 000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200 000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Доля рынка РБ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1%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8%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Выручка B2B,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207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675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1800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Выручка B2C,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152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440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Выручка API/МИС,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75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Выручка итого,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852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2315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OPEX,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280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650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EBITDA,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-31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+432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+1665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11. Структура OPEX (тыс.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OPEX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ФОТ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Инфраструктура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85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Маркетинг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Прочее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Итого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280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650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10. План инвестиций 2026-2027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инвестиций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Сумма, BYN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Срок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Интеграция API в МИС «Айболит»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40 000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Q3 2026 - Q1 2027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B2C-витрина, ERIP, политика ПДн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Регистрация программы для ЭВМ (НЦИС)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15 000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Q3 2026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Серверная инфраструктура якоря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10 000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Маркетинг пилота (кейс Кравира)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2027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12. Cash flow (упрощённо, 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EBITDA,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-31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+432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+1665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Накопленный CF,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-31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2066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Сертификат ГКНТ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23 982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68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bit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68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op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4502FBE5" w14:textId="77777777" w:rsidR="00CE55DF" w:rsidRPr="00CE50EE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en-US"/>
        </w:rPr>
      </w:pPr>
      <w:r w:rsidRPr="009D3C9C">
        <w:rPr>
          <w:rFonts w:ascii="Times New Roman" w:hAnsi="Times New Roman"/>
          <w:bCs/>
          <w:sz w:val="24"/>
          <w:szCs w:val="24"/>
        </w:rPr>
        <w:t>1</w:t>
      </w:r>
      <w:r>
        <w:rPr>
          <w:rFonts w:ascii="Times New Roman" w:hAnsi="Times New Roman"/>
          <w:bCs/>
          <w:sz w:val="24"/>
          <w:szCs w:val="24"/>
        </w:rPr>
        <w:t>6</w:t>
      </w:r>
      <w:r w:rsidRPr="009D3C9C">
        <w:rPr>
          <w:rFonts w:ascii="Times New Roman" w:hAnsi="Times New Roman"/>
          <w:bCs/>
          <w:sz w:val="24"/>
          <w:szCs w:val="24"/>
        </w:rPr>
        <w:t>.</w:t>
      </w:r>
      <w:r>
        <w:rPr>
          <w:rFonts w:ascii="Times New Roman" w:hAnsi="Times New Roman"/>
          <w:bCs/>
          <w:sz w:val="24"/>
          <w:szCs w:val="24"/>
        </w:rPr>
        <w:t xml:space="preserve"> </w:t>
      </w:r>
      <w:r w:rsidRPr="00E320B0">
        <w:rPr>
          <w:rFonts w:ascii="Times New Roman" w:hAnsi="Times New Roman"/>
          <w:bCs/>
          <w:sz w:val="24"/>
          <w:szCs w:val="24"/>
        </w:rPr>
        <w:t>Иные сведения</w:t>
      </w:r>
      <w:r w:rsidRPr="00E320B0">
        <w:rPr>
          <w:rFonts w:ascii="Times New Roman" w:hAnsi="Times New Roman"/>
          <w:sz w:val="24"/>
          <w:szCs w:val="24"/>
          <w:lang w:eastAsia="en-US"/>
        </w:rPr>
        <w:t xml:space="preserve"> (бизнес-план может дополнительно содержать иные необходимые разделы и сведения</w:t>
      </w:r>
      <w:r>
        <w:rPr>
          <w:rFonts w:ascii="Times New Roman" w:hAnsi="Times New Roman"/>
          <w:sz w:val="24"/>
          <w:szCs w:val="24"/>
          <w:lang w:eastAsia="en-US"/>
        </w:rPr>
        <w:t>)</w:t>
      </w:r>
      <w:r w:rsidRPr="00E320B0">
        <w:rPr>
          <w:rFonts w:ascii="Times New Roman" w:hAnsi="Times New Roman"/>
          <w:sz w:val="24"/>
          <w:szCs w:val="24"/>
          <w:lang w:eastAsia="en-US"/>
        </w:rPr>
        <w:t xml:space="preserve"> </w:t>
      </w:r>
    </w:p>
    <w:p w14:paraId="54A3F185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sz w:val="22"/>
        </w:rPr>
        <w:t>Бизнес-план соответствует рекомендуемому объёму 10-40 страниц: основной текст - разделы 1-17; детальные расчёты, таблицы и графики - в приложениях А-И и в файле 05_Biznes_plan_Prilozheniya.html (для печати в PDF). ML-контур: ml/README.md, scripts/export_training_feedback.py. Дополнительно прилагаются architecture-kravira-fhir-mis.pdf и mvp-presentation.html.</w:t>
      </w:r>
    </w:p>
    <w:p w14:paraId="61F12E85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bCs/>
          <w:sz w:val="24"/>
          <w:szCs w:val="24"/>
        </w:rPr>
      </w:pPr>
    </w:p>
    <w:p w14:paraId="7C928EB6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>
      <w:pPr>
        <w:spacing w:before="240" w:after="120"/>
      </w:pPr>
    </w:p>
    <w:p>
      <w:pPr>
        <w:spacing w:before="120" w:after="200"/>
      </w:pPr>
      <w:r>
        <w:rPr>
          <w:b/>
          <w:i w:val="0"/>
          <w:sz w:val="28"/>
        </w:rPr>
        <w:t>ПРИЛОЖЕНИЯ К БИЗНЕС-ПЛАНУ</w:t>
      </w:r>
    </w:p>
    <w:p>
      <w:pPr>
        <w:spacing w:before="280" w:after="80"/>
      </w:pPr>
      <w:r>
        <w:rPr>
          <w:b/>
          <w:i w:val="0"/>
          <w:sz w:val="24"/>
        </w:rPr>
        <w:t>Приложение А. Сводный прайс-лист B2B/B2C</w:t>
      </w:r>
    </w:p>
    <w:p>
      <w:pPr>
        <w:spacing w:before="120" w:after="120"/>
      </w:pPr>
      <w:r>
        <w:rPr>
          <w:b w:val="0"/>
          <w:i w:val="0"/>
          <w:sz w:val="20"/>
        </w:rPr>
        <w:t>Коммерческие тарифы для клиник и физических лиц.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Канал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Продукт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L0 Старт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0,99 BYN/КЗ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pay-as-you-go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L0 Клиника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0,79 BYN/КЗ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от 10k КЗ/мес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L0 Сеть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Кравира, 25k+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API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индивид.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15-40k внедрение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L1 Базовый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терапия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L1+ Расширенный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специалист+анализы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L2 Стандарт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9,99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подробный разбор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L2 Онкология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14,99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онко, ЗНО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L2 Pre-op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12,99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предоперационный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Промо SMS/QR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rev-share 30% клинике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Б. Дорожная карта 2025-2029</w:t>
      </w:r>
    </w:p>
    <w:p>
      <w:pPr>
        <w:spacing w:before="120" w:after="120"/>
      </w:pPr>
      <w:r>
        <w:rPr>
          <w:b w:val="0"/>
          <w:i w:val="0"/>
          <w:sz w:val="20"/>
        </w:rPr>
        <w:t>Ключевые вехи коммерциализации Protocol.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Срок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Пилот L0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2025-Q2 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метрики в Кравире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API МИС Айболит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Q3 2026-Q1 2027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L0 при сохранении КЗ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B2C beta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витрина 4,99/9,99 BYN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3-5 B2B клиентов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2027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договоры, пакеты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5-15% рынка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2028-2029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масштабирование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В. KPI пилота (целевые)</w:t>
      </w:r>
    </w:p>
    <w:p>
      <w:pPr>
        <w:spacing w:before="120" w:after="120"/>
      </w:pPr>
      <w:r>
        <w:rPr>
          <w:b w:val="0"/>
          <w:i w:val="0"/>
          <w:sz w:val="20"/>
        </w:rPr>
        <w:t>Показатели для подтверждения эффективности на площадке Кравиры.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Целевое 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Как измерять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Время L0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&lt; 2 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лог API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Покрытие потока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100% 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интеграция МИС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gate_score &lt; 70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снижение vs база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отчёт Protocol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Критические пробелы ЦИСЗ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снижение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cisz_readiness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Доработки после ЭЦП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-30%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сравнение периодов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Г. График выручки B2B/B2C</w:t>
      </w:r>
    </w:p>
    <w:p>
      <w:pPr>
        <w:spacing w:before="120" w:after="120"/>
      </w:pPr>
      <w:r>
        <w:rPr>
          <w:b w:val="0"/>
          <w:i w:val="0"/>
          <w:sz w:val="20"/>
        </w:rPr>
        <w:t>Осторожный сценарий на 3 года.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68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Д. Структура каналов монетизации (год 3)</w:t>
      </w:r>
    </w:p>
    <w:p>
      <w:pPr>
        <w:spacing w:before="120" w:after="120"/>
      </w:pPr>
      <w:r>
        <w:rPr>
          <w:b w:val="0"/>
          <w:i w:val="0"/>
          <w:sz w:val="20"/>
        </w:rPr>
        <w:t>Доля выручки по каналам.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68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hanne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6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Е. EBITDA и рост доли рынка</w:t>
      </w:r>
    </w:p>
    <w:p>
      <w:pPr>
        <w:spacing w:before="120" w:after="120"/>
      </w:pPr>
      <w:r>
        <w:rPr>
          <w:b w:val="0"/>
          <w:i w:val="0"/>
          <w:sz w:val="20"/>
        </w:rPr>
        <w:t>Финансовая динамика и масштабирование.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bit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Ж. ROI якорного клиента (МЦ «Кравира»)</w:t>
      </w:r>
    </w:p>
    <w:p>
      <w:pPr>
        <w:spacing w:before="120" w:after="120"/>
      </w:pPr>
      <w:r>
        <w:rPr>
          <w:b w:val="0"/>
          <w:i w:val="0"/>
          <w:sz w:val="20"/>
        </w:rPr>
        <w:t>Сравнение затрат Protocol и экономии методиста + ЦИСЗ.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o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З. B2C-воронка и OPEX</w:t>
      </w:r>
    </w:p>
    <w:p>
      <w:pPr>
        <w:spacing w:before="120" w:after="120"/>
      </w:pPr>
      <w:r>
        <w:rPr>
          <w:b w:val="0"/>
          <w:i w:val="0"/>
          <w:sz w:val="20"/>
        </w:rPr>
        <w:t>Консервативная модель конверсии физлиц и структура расходов.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2c_funn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И. ML-контур и непрерывное дообучение</w:t>
      </w:r>
    </w:p>
    <w:p>
      <w:pPr>
        <w:spacing w:before="120" w:after="120"/>
      </w:pPr>
      <w:r>
        <w:rPr>
          <w:b w:val="0"/>
          <w:i w:val="0"/>
          <w:sz w:val="20"/>
        </w:rPr>
        <w:t>Каркас ml/, сбор feedback, export_training_feedback.py, on-prem fine-tune.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Механизм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Обучение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send_gate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правила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не обучается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RAG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embedder + reranker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LoRA ежемесячно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required_exam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entailment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метки методиста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Summary cards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extractor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approved drafts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Фаза 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feedback + export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Фаза 1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local embedder on-prem</w:t>
            </w:r>
          </w:p>
        </w:tc>
      </w:tr>
    </w:tbl>
    <w:p/>
    <w:p w14:paraId="1D79D9A0" w14:textId="77777777" w:rsidR="00CE55DF" w:rsidRPr="00CE5679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CE5679">
        <w:rPr>
          <w:rFonts w:ascii="Times New Roman" w:hAnsi="Times New Roman"/>
          <w:sz w:val="24"/>
          <w:szCs w:val="24"/>
        </w:rPr>
        <w:t xml:space="preserve">Участник конкурса </w:t>
      </w:r>
      <w:r>
        <w:rPr>
          <w:rFonts w:ascii="Times New Roman" w:hAnsi="Times New Roman"/>
          <w:sz w:val="24"/>
          <w:szCs w:val="24"/>
        </w:rPr>
        <w:t xml:space="preserve">   </w:t>
      </w:r>
      <w:r w:rsidRPr="00CE5679">
        <w:rPr>
          <w:rFonts w:ascii="Times New Roman" w:hAnsi="Times New Roman"/>
          <w:sz w:val="24"/>
          <w:szCs w:val="24"/>
        </w:rPr>
        <w:t>_______________________</w:t>
      </w:r>
      <w:r>
        <w:rPr>
          <w:rFonts w:ascii="Times New Roman" w:hAnsi="Times New Roman"/>
          <w:sz w:val="24"/>
          <w:szCs w:val="24"/>
        </w:rPr>
        <w:t xml:space="preserve">            _______________</w:t>
      </w:r>
    </w:p>
    <w:p w14:paraId="669E8C31" w14:textId="77777777" w:rsidR="00CE55DF" w:rsidRPr="00623934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1416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</w:t>
      </w:r>
      <w:r w:rsidRPr="00623934">
        <w:rPr>
          <w:rFonts w:ascii="Times New Roman" w:hAnsi="Times New Roman"/>
          <w:sz w:val="20"/>
          <w:szCs w:val="20"/>
        </w:rPr>
        <w:t>(подпись)</w:t>
      </w:r>
      <w:r w:rsidRPr="00623934"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 w:rsidRPr="00623934">
        <w:rPr>
          <w:rFonts w:ascii="Times New Roman" w:hAnsi="Times New Roman"/>
          <w:sz w:val="20"/>
          <w:szCs w:val="20"/>
        </w:rPr>
        <w:t>(инициалы, фамилия)</w:t>
      </w:r>
    </w:p>
    <w:p w14:paraId="4D52C142" w14:textId="77777777" w:rsidR="00671D8A" w:rsidRDefault="00671D8A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14:paraId="04CFBBCC" w14:textId="3CB6D694" w:rsidR="00CE55DF" w:rsidRPr="00623934" w:rsidRDefault="00671D8A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</w:t>
      </w:r>
      <w:r w:rsidR="00CE55DF">
        <w:rPr>
          <w:rFonts w:ascii="Times New Roman" w:hAnsi="Times New Roman"/>
          <w:sz w:val="20"/>
          <w:szCs w:val="20"/>
        </w:rPr>
        <w:t>М.П</w:t>
      </w:r>
      <w:r w:rsidR="00CE55DF" w:rsidRPr="00623934">
        <w:rPr>
          <w:rFonts w:ascii="Times New Roman" w:hAnsi="Times New Roman"/>
          <w:sz w:val="20"/>
          <w:szCs w:val="20"/>
        </w:rPr>
        <w:t>.</w:t>
      </w:r>
      <w:r w:rsidR="00CE55DF">
        <w:rPr>
          <w:rFonts w:ascii="Times New Roman" w:hAnsi="Times New Roman"/>
          <w:sz w:val="20"/>
          <w:szCs w:val="20"/>
        </w:rPr>
        <w:t>*</w:t>
      </w:r>
    </w:p>
    <w:p w14:paraId="306432A3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14:paraId="0EF77388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617D37D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B194D43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34B5B791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3A50004E" w14:textId="30754DF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F3CBD9F" w14:textId="78433BC6" w:rsidR="00F32985" w:rsidRDefault="00F32985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65911EA" w14:textId="77777777" w:rsidR="00F32985" w:rsidRDefault="00F32985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A2886E1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16624EB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6DB13B6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7960BA0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111058A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F9DFAFB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007AECF7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6FCB37B5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  <w:r>
        <w:rPr>
          <w:rFonts w:ascii="Times New Roman" w:hAnsi="Times New Roman"/>
          <w:sz w:val="30"/>
          <w:szCs w:val="30"/>
          <w:lang w:eastAsia="en-US"/>
        </w:rPr>
        <w:t>________________________________</w:t>
      </w:r>
      <w:r w:rsidRPr="00975321">
        <w:rPr>
          <w:rFonts w:ascii="Times New Roman" w:hAnsi="Times New Roman"/>
          <w:sz w:val="30"/>
          <w:szCs w:val="30"/>
          <w:lang w:eastAsia="en-US"/>
        </w:rPr>
        <w:t xml:space="preserve"> </w:t>
      </w:r>
    </w:p>
    <w:p w14:paraId="62251004" w14:textId="77777777" w:rsidR="00FA7855" w:rsidRPr="00CE55DF" w:rsidRDefault="00CE55DF" w:rsidP="00CE55DF">
      <w:pPr>
        <w:pStyle w:val="ConsPlusNormal"/>
        <w:ind w:firstLine="709"/>
        <w:jc w:val="both"/>
      </w:pPr>
      <w:r>
        <w:rPr>
          <w:rFonts w:ascii="Times New Roman" w:hAnsi="Times New Roman" w:cs="Calibri"/>
          <w:spacing w:val="-8"/>
          <w:sz w:val="24"/>
        </w:rPr>
        <w:t>*</w:t>
      </w:r>
      <w:r w:rsidRPr="00A0557F">
        <w:rPr>
          <w:rFonts w:ascii="Times New Roman" w:hAnsi="Times New Roman" w:cs="Calibri"/>
          <w:spacing w:val="-8"/>
          <w:sz w:val="24"/>
        </w:rPr>
        <w:t>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</w:p>
    <w:p>
      <w:r>
        <w:t>Непрерывное дообучение - стратегия развития Protocol после пилота в МЦ «Кравира». Продукт не заменяет</w:t>
        <w:br/>
        <w:t>детерминированное ядро (send_gate, CISZ) нейросетью: модели улучшают retrieval, medical entailment</w:t>
        <w:br/>
        <w:t>и structured extraction, а решение о подписи остаётся воспроизводимым по правилам с evidence_map.</w:t>
        <w:br/>
        <w:br/>
        <w:t>Статус на 2026: в production работают детерминированные правила (482+), semantic RAG и опциональные вызовы LLM;</w:t>
        <w:br/>
        <w:t>каталог ml/ - каркас MLOps (сбор feedback, export_training_feedback.py, заглушки train/eval). Полный цикл</w:t>
        <w:br/>
        <w:t>LoRA fine-tune и деплой локальных моделей - фаза 1 дорожной карты (Q4 2026), не текущий релиз.</w:t>
        <w:br/>
        <w:br/>
        <w:t>Три уровня ML в продукте:</w:t>
        <w:br/>
        <w:t>1) RAG - domain embedder + cross-encoder reranker на корпусе ~478 КП Минздрава (on-prem, без облачного LLM на L0).</w:t>
        <w:br/>
        <w:t>2) Сопоставление терминов КЗ - entailment-модель по меткам методслужбы (required_exam, keyword rules).</w:t>
        <w:br/>
        <w:t>3) Summary cards - student-модель на approved карточках протоколов (human-in-the-loop).</w:t>
        <w:br/>
        <w:br/>
        <w:t>Цикл данных: production L0-L2 → data/ml/feedback/ (hash, scores, overrides) → export_training_feedback.py</w:t>
        <w:br/>
        <w:t>→ ml/datasets/ → LoRA fine-tune → eval (golden queries + consult_gold) → ml/registry/model_manifest.json.</w:t>
        <w:br/>
        <w:br/>
        <w:t>Дорожная карта: фаза 0 (2026) - сбор feedback; фаза 1 - local embedder; фаза 2 - reranker + entailment;</w:t>
        <w:br/>
        <w:t>фаза 3 - hybrid summary cards; фаза 4 - ежемесячный retrain и A/B на сети частных ОЗ.</w:t>
        <w:br/>
        <w:br/>
        <w:t>Конкурентное преимущество: поток ~25 000 КЗ/мес в Кравире как источник меток + официальный корпус КП РБ.</w:t>
        <w:br/>
        <w:t>Сертификат ГКНТ направлен также на запуск ML-контура в защищённом контуре РБ.</w:t>
        <w:br/>
        <w:br/>
        <w:t>Подробные таблицы принципов, roadmap и артефактов - приложение И и ml/README.md.</w:t>
      </w:r>
    </w:p>
    <w:sectPr w:rsidR="00FA7855" w:rsidRPr="00CE55DF" w:rsidSect="00671D8A">
      <w:pgSz w:w="11906" w:h="16838"/>
      <w:pgMar w:top="1134" w:right="56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37E9"/>
    <w:multiLevelType w:val="hybridMultilevel"/>
    <w:tmpl w:val="92C8AB08"/>
    <w:lvl w:ilvl="0" w:tplc="BA643974">
      <w:start w:val="1"/>
      <w:numFmt w:val="decimal"/>
      <w:suff w:val="space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8103EEF"/>
    <w:multiLevelType w:val="hybridMultilevel"/>
    <w:tmpl w:val="145C61E2"/>
    <w:lvl w:ilvl="0" w:tplc="57FAA2B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50690789">
    <w:abstractNumId w:val="1"/>
  </w:num>
  <w:num w:numId="2" w16cid:durableId="1846701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3AB"/>
    <w:rsid w:val="000D53AB"/>
    <w:rsid w:val="00275B31"/>
    <w:rsid w:val="003312FB"/>
    <w:rsid w:val="004E62D3"/>
    <w:rsid w:val="00671D8A"/>
    <w:rsid w:val="00975954"/>
    <w:rsid w:val="00CE55DF"/>
    <w:rsid w:val="00DF2AAD"/>
    <w:rsid w:val="00E32C96"/>
    <w:rsid w:val="00F32985"/>
    <w:rsid w:val="00FA7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31412"/>
  <w15:chartTrackingRefBased/>
  <w15:docId w15:val="{11F08F47-84E1-4EF4-A9C4-68CF5629E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53AB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0D53AB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table" w:styleId="a3">
    <w:name w:val="Table Grid"/>
    <w:basedOn w:val="a1"/>
    <w:uiPriority w:val="39"/>
    <w:rsid w:val="000D53AB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1433</Words>
  <Characters>8169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5</cp:revision>
  <dcterms:created xsi:type="dcterms:W3CDTF">2021-05-19T08:05:00Z</dcterms:created>
  <dcterms:modified xsi:type="dcterms:W3CDTF">2025-01-13T08:42:00Z</dcterms:modified>
</cp:coreProperties>
</file>