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CC87" w14:textId="77777777" w:rsidR="00CE55DF" w:rsidRPr="00623934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0"/>
          <w:szCs w:val="20"/>
        </w:rPr>
      </w:pPr>
    </w:p>
    <w:p w14:paraId="579A12FC" w14:textId="77777777" w:rsidR="00CE55DF" w:rsidRDefault="00CE55DF" w:rsidP="00CE55DF">
      <w:pPr>
        <w:spacing w:after="0" w:line="240" w:lineRule="auto"/>
        <w:jc w:val="center"/>
        <w:rPr>
          <w:rFonts w:ascii="Times New Roman" w:hAnsi="Times New Roman"/>
          <w:sz w:val="30"/>
          <w:szCs w:val="30"/>
          <w:lang w:eastAsia="en-US"/>
        </w:rPr>
      </w:pPr>
      <w:r w:rsidRPr="00975321">
        <w:rPr>
          <w:rFonts w:ascii="Times New Roman" w:hAnsi="Times New Roman"/>
          <w:sz w:val="30"/>
          <w:szCs w:val="30"/>
          <w:lang w:eastAsia="en-US"/>
        </w:rPr>
        <w:t>БИЗНЕС-ПЛАН ИННОВАЦИОННОГО ПРОЕКТА</w:t>
      </w:r>
    </w:p>
    <w:p w14:paraId="4CD73360" w14:textId="77777777" w:rsidR="00CE55DF" w:rsidRPr="00975321" w:rsidRDefault="00CE55DF" w:rsidP="00CE55DF">
      <w:pPr>
        <w:spacing w:after="0" w:line="240" w:lineRule="auto"/>
        <w:jc w:val="center"/>
        <w:rPr>
          <w:rFonts w:ascii="Times New Roman" w:hAnsi="Times New Roman"/>
          <w:sz w:val="30"/>
          <w:szCs w:val="30"/>
          <w:lang w:eastAsia="en-US"/>
        </w:rPr>
      </w:pPr>
    </w:p>
    <w:p w14:paraId="76DABDF1" w14:textId="77777777" w:rsidR="00CE55DF" w:rsidRDefault="00CE55DF" w:rsidP="00CE55DF">
      <w:pPr>
        <w:spacing w:after="0" w:line="240" w:lineRule="exact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 xml:space="preserve">1. </w:t>
      </w:r>
      <w:r w:rsidRPr="00016B0F">
        <w:rPr>
          <w:rFonts w:ascii="Times New Roman" w:eastAsia="Calibri" w:hAnsi="Times New Roman"/>
          <w:sz w:val="24"/>
          <w:szCs w:val="24"/>
          <w:lang w:eastAsia="en-US"/>
        </w:rPr>
        <w:t xml:space="preserve">Титульный лист </w:t>
      </w:r>
      <w:r>
        <w:rPr>
          <w:rFonts w:ascii="Times New Roman" w:eastAsia="Calibri" w:hAnsi="Times New Roman"/>
          <w:sz w:val="24"/>
          <w:szCs w:val="24"/>
          <w:lang w:eastAsia="en-US"/>
        </w:rPr>
        <w:t>(</w:t>
      </w:r>
      <w:r w:rsidRPr="00016B0F">
        <w:rPr>
          <w:rFonts w:ascii="Times New Roman" w:eastAsia="Calibri" w:hAnsi="Times New Roman"/>
          <w:sz w:val="24"/>
          <w:szCs w:val="24"/>
          <w:lang w:eastAsia="en-US"/>
        </w:rPr>
        <w:t>фамили</w:t>
      </w:r>
      <w:r>
        <w:rPr>
          <w:rFonts w:ascii="Times New Roman" w:eastAsia="Calibri" w:hAnsi="Times New Roman"/>
          <w:sz w:val="24"/>
          <w:szCs w:val="24"/>
          <w:lang w:eastAsia="en-US"/>
        </w:rPr>
        <w:t>я</w:t>
      </w:r>
      <w:r w:rsidRPr="00016B0F">
        <w:rPr>
          <w:rFonts w:ascii="Times New Roman" w:eastAsia="Calibri" w:hAnsi="Times New Roman"/>
          <w:sz w:val="24"/>
          <w:szCs w:val="24"/>
          <w:lang w:eastAsia="en-US"/>
        </w:rPr>
        <w:t>, собственное имя и отчество участника, если таковое имеется (для физического лица или индивидуального предпринимателя), полное наименование юридического лица с указанием организационно-правовой формы (для юридического лица), адрес, контактные данные, наименование проекта, наименование номинации</w:t>
      </w:r>
      <w:r>
        <w:rPr>
          <w:rFonts w:ascii="Times New Roman" w:eastAsia="Calibri" w:hAnsi="Times New Roman"/>
          <w:sz w:val="24"/>
          <w:szCs w:val="24"/>
          <w:lang w:eastAsia="en-US"/>
        </w:rPr>
        <w:t>)</w:t>
      </w:r>
    </w:p>
    <w:p w14:paraId="0C95559F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Участник: Общество с дополнительной ответственностью «Медицинский центр «Кравира»»</w:t>
        <w:br/>
        <w:t>(МЦ «Кравира»)</w:t>
        <w:br/>
        <w:t>Адрес: г. Минск, проспект Победителей, 45, пом. 25</w:t>
        <w:br/>
        <w:t>УНП: 101477932</w:t>
        <w:br/>
        <w:t>Руководитель: Касацкая Мария Геннадьевна, директор</w:t>
        <w:br/>
        <w:t>Контакт по проекту: Кузавка Павел Леонидович, заместитель директора по цифровой трансформации бизнеса и информационным технологиям, тел. +375 29 608-75-95, akuazuk@gmail.com</w:t>
        <w:br/>
        <w:br/>
        <w:t>Наименование проекта: Protocol - предимпортная экспертиза консультативных заключений и сервис проверки КЗ для пациентов</w:t>
        <w:br/>
        <w:t>Номинация: «Лучший инновационный проект»</w:t>
      </w:r>
    </w:p>
    <w:p w14:paraId="17F25A95" w14:textId="77777777" w:rsidR="00CE55DF" w:rsidRPr="00C863AB" w:rsidRDefault="00CE55DF" w:rsidP="00CE55DF">
      <w:pPr>
        <w:spacing w:after="0" w:line="240" w:lineRule="exact"/>
        <w:jc w:val="both"/>
        <w:rPr>
          <w:rFonts w:ascii="Times New Roman" w:eastAsia="Calibri" w:hAnsi="Times New Roman"/>
          <w:sz w:val="24"/>
          <w:szCs w:val="24"/>
          <w:lang w:eastAsia="en-US"/>
        </w:rPr>
      </w:pPr>
    </w:p>
    <w:p w14:paraId="6DE48F29" w14:textId="77777777" w:rsidR="00F32985" w:rsidRPr="00C863AB" w:rsidRDefault="00CE55DF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2. Содержание</w:t>
        <w:br/>
        <w:br/>
        <w:t>1. Титульный лист .......................................... 1</w:t>
        <w:br/>
        <w:t>2. Содержание .............................................. 2</w:t>
        <w:br/>
        <w:t>3. Резюме .................................................. 3</w:t>
        <w:br/>
        <w:t>4. Описание проекта ........................................ 4</w:t>
        <w:br/>
        <w:t>5. Описание продукции ...................................... 6</w:t>
        <w:br/>
        <w:t>6. Анализ рынка и маркетинг ................................ 8</w:t>
        <w:br/>
        <w:t>7. Интеллектуальная собственность .......................... 11</w:t>
        <w:br/>
        <w:t>8. Потребители и сбыт ...................................... 12</w:t>
        <w:br/>
        <w:t>9. Ценообразование ......................................... 14</w:t>
        <w:br/>
        <w:t>10. Конкуренты ............................................. 16</w:t>
        <w:br/>
        <w:t>11. Поставщики ............................................. 17</w:t>
        <w:br/>
        <w:t>12. Производственный план .................................. 18</w:t>
        <w:br/>
        <w:t>13. Организационный план ................................... 19</w:t>
        <w:br/>
        <w:t>14. Риски .................................................. 20</w:t>
        <w:br/>
        <w:t>15. Финансовый план ........................................ 21</w:t>
        <w:br/>
        <w:t>16. Иные сведения .......................................... 23</w:t>
        <w:br/>
        <w:t>Приложение А. Сводный прайс-лист B2B/B2C ................... 24</w:t>
        <w:br/>
        <w:t>Приложение Б. Дорожная карта 2025-2029 ..................... 25</w:t>
        <w:br/>
        <w:t>Приложение В. KPI пилота ................................... 26</w:t>
        <w:br/>
        <w:t>Приложение Г. График выручки ............................... 27</w:t>
        <w:br/>
        <w:t>Приложение Д. Структура каналов монетизации ................ 28</w:t>
        <w:br/>
        <w:t>Приложение Е. Архитектура и презентация (PDF/HTML) ......... 29</w:t>
        <w:br/>
        <w:t>Приложение Ж. ROI якорного клиента (06_ROI_Kravira.html) ... 30</w:t>
        <w:br/>
        <w:br/>
        <w:t>Рекомендуемый объём бизнес-плана: 10-40 страниц. Детальные расчёты и графики - в приложениях.</w:t>
      </w:r>
    </w:p>
    <w:p w14:paraId="69BD5E22" w14:textId="7455006B" w:rsidR="00CE55DF" w:rsidRDefault="00CE55DF" w:rsidP="00F32985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>3. Резюме (основная идея проекта, основные выводы и результаты по разделам бизнес-плана проекта и т.п.)</w:t>
      </w:r>
    </w:p>
    <w:p w14:paraId="7BFDF1B1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Идея проекта: автоматизировать предимпортную проверку консультативных заключений (КЗ) до подписи ЭЦП в частных медицинских организациях Республики Беларусь и предоставить физическим лицам сервис самопроверки качества оказанной помощи по официальным клиническим протоколам Минздрава.</w:t>
        <w:br/>
        <w:br/>
        <w:t>Проблема: в РБ действует порядка 478 клинических протоколов; частный сектор формирует около 2,5 млн КЗ в месяц (оценка: МЦ «Кравира» 25 000 КЗ/мес ~ 1% рынка). Методслужба не успевает проверять каждое заключение; отклонения пакетов в ЦИСЗ создают репутационные и финансовые риски. Пациенты не имеют прозрачного инструмента сопоставления своего КЗ с государственными стандартами.</w:t>
        <w:br/>
        <w:br/>
        <w:t>Решение: программный комплекс Protocol (МЦ «Кравира») - детерминированный scoring по 482+ правилам, готовность FHIR BY к ЦИСЗ, единое решение send_gate для МИС. Языковая модель используется только для пояснений; блокировка подписи - по правилам.</w:t>
        <w:br/>
        <w:br/>
        <w:t>Рынок и монетизация (три канала):</w:t>
        <w:br/>
        <w:t>- B2B: микроплатёж 0,99 BYN за проверку L0; пакеты 0,79 и 0,69 BYN при 10k и 25k+ КЗ/мес. Якорный клиент Кравира: ~207 тыс. BYN/год.</w:t>
        <w:br/>
        <w:t>- B2B API: лицензия и внедрение в МИС «Айболит» (EPAM).</w:t>
        <w:br/>
        <w:t>- B2C: физические лица - 4,99 / 9,99 BYN за проверку своего КЗ; абонемент 12,99 BYN/мес.</w:t>
        <w:br/>
        <w:br/>
        <w:t>Финансовый вывод (осторожный сценарий): выручка год 3 - около 2,33 млн BYN (B2B 1,8 млн + B2C 450 тыс. + API 75 тыс.); EBITDA +1,68 млн; точка безубыточности направления - 2-3 клиники уровня «Клиника» (10k КЗ) или OEM API МИС.</w:t>
        <w:br/>
        <w:br/>
        <w:t>Запрос к конкурсу: сертификат ГКНТ (571 б.в., ~24 тыс. BYN на 01.06.2026) на интеграцию МИС, on-prem L0 и масштабирование на 5-10 частных ОЗ к 2028 году. Детальные таблицы, ROI и графики - в приложениях А-Ж и docx-preprint-checklist.md.</w:t>
      </w:r>
    </w:p>
    <w:p w14:paraId="7B5B85D9" w14:textId="77777777" w:rsidR="00F32985" w:rsidRPr="00C863AB" w:rsidRDefault="00CE55DF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4. Описание проекта (общая характеристика ситуации в данной сфере; существующая проблема, которую решает проект; цель проекта и т.п.)</w:t>
      </w:r>
    </w:p>
    <w:p>
      <w:r>
        <w:t>Ситуация в отрасли. Цифровизация здравоохранения Республики Беларусь ускорилась с внедрением Централизованной информационной системы здравоохранения (ЦИСЗ) и профиля FHIR BY. Частные амбулаторно-поликлинические организации обязаны формировать консультативные заключения (КЗ) по стандартам и передавать структурированные данные в государственный контур. При этом врач не может оперативно сверять каждое заключение с полным корпусом из ~478 клинических протоколов Минздрава.</w:t>
        <w:br/>
        <w:br/>
        <w:t>Существующая проблема: (1) методслужба не масштабируется на поток 25 000+ КЗ/мес в крупной клинике; (2) отклонения пакетов в ЦИСЗ влекут доработки и репутационные риски; (3) пациенты не имеют инструмента проверки соответствия оказанной помощи протоколам.</w:t>
        <w:br/>
        <w:br/>
        <w:t>Цель проекта: коммерциализация Protocol как B2B-сервиса для клиник и B2C-сервиса для физических лиц.</w:t>
        <w:br/>
        <w:br/>
        <w:t>Задачи на 2026-2028: пилот и production L0 в МЦ «Кравира»; интеграция API в МИС «Айболит»; запуск B2C-витрины с оплатой; подключение 3-10 B2B-клиентов; регистрация программы для ЭВМ в НЦИС.</w:t>
      </w:r>
    </w:p>
    <w:p w14:paraId="016FAC1A" w14:textId="77777777" w:rsidR="00F32985" w:rsidRPr="00C863AB" w:rsidRDefault="00CE55DF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5. Описание продукции (особенности продукции по сравнению с существующими на рынке аналогами; правовое регулирование деятельности компании на планируемом рынке (специальное разрешение (лицензия), сертификация продукции; технология производства продукции, научная основа проекта, проведенные научно-исследовательские, опытно-конструкторские и опытно-технологические работы и т.п.)</w:t>
      </w:r>
    </w:p>
    <w:p>
      <w:r>
        <w:t>Наименование продукции: программный комплекс Protocol (SaaS / on-prem) - информационная система поддержки контроля качества медицинской документации. Позиционирование: не медизделие, не замена врача и МЭЭ.</w:t>
        <w:br/>
        <w:br/>
        <w:t>Отличия от аналогов на рынке:</w:t>
        <w:br/>
        <w:t>- корпус ~478 PDF клинических протоколов Минздрава РБ с цитатами в отчёте;</w:t>
        <w:br/>
        <w:t>- детерминированный scoring (8 блоков, 482+ правил, gate_score, soft_gate);</w:t>
        <w:br/>
        <w:t>- два контура в одном send_gate: клинические протоколы + готовность ЦИСЗ (FHIR BY);</w:t>
        <w:br/>
        <w:t>- tiering L0/L1/L2: массовая проверка &lt;2 с без LLM (L0) для каждого КЗ в МИС.</w:t>
        <w:br/>
        <w:br/>
        <w:t>Функции B2B: поиск КП по МКБ-10, cisz_readiness, send_gate, REST API L0-L2.</w:t>
        <w:br/>
        <w:t>Функции B2C: загрузка PDF своего КЗ физлицом; отчёт на русском языке о соответствии помощи протоколам; дисклеймер (не диагноз, не юридическое заключение).</w:t>
        <w:br/>
        <w:br/>
        <w:t>Технология: Python/FastAPI, гибридный RAG, детерминированные правила; опционально LLM для L2. Развёртывание в защищённом контуре РБ (см. architecture-kravira-fhir-mis.pdf).</w:t>
      </w:r>
    </w:p>
    <w:p w14:paraId="22EA2F43" w14:textId="342A246F" w:rsidR="00CE55DF" w:rsidRPr="00C863AB" w:rsidRDefault="00CE55DF" w:rsidP="00F32985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>6. Анализ отрасли и рынка, маркетинг (перечень основной продукции и услуг, предлагаемых данной отраслью; географическое положение рынка (локальный, региональный, национальный, международный); общий объем продаж по отрасли и тенденции изменения рынка; данные независимых экспертов, оценивающих конъюнктуру рынка, опубликованные прогнозы будущего развития рынка; специфические особенности рынка; описание сегмента рынка, на котором предполагается выполнение проекта; планы относительно зарубежных рынков, экспортный потенциал и т.п.)</w:t>
      </w:r>
    </w:p>
    <w:p w14:paraId="3F54E10A" w14:textId="53DF8B08" w:rsidR="00F32985" w:rsidRDefault="00CE55DF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Продукты и услуги отрасли: амбулаторная помощь, ведение ЭМК, МИС, передача данных в ЦИСЗ, методический контроль КЗ.</w:t>
        <w:br/>
        <w:br/>
        <w:t>География: национальный рынок (РБ); экспорт в русскоязычные юрисдикции с похожей нормативкой - перспектива 2029+.</w:t>
        <w:br/>
        <w:br/>
        <w:t>B2B-сегмент: частные ОЗ. МЦ «Кравира» - 25 000 КЗ/мес, ~1% рынка частных ОЗ, отсюда оценка сегмента ~2,5 млн КЗ/мес (~30 млн/год).</w:t>
        <w:br/>
        <w:br/>
        <w:t>B2C-сегмент: получатели КЗ в частных ОЗ. При конверсии 0,1% от 30 млн касаний/год - 30 000 платных проверок x 4,99 BYN ~ 150 тыс. BYN/год дополнительно к B2B.</w:t>
        <w:br/>
        <w:br/>
        <w:t>Маркетинг B2B: кейс Кравиры, конференции ЦИСЗ/Минздрава, прямые продажи, партнёрство с EPAM/Айболит.</w:t>
        <w:br/>
        <w:t>Маркетинг B2C: QR на чеке/КЗ «Проверить заключение», SEO, соцсети, образовательные материалы «как читать своё КЗ».</w:t>
        <w:br/>
        <w:br/>
        <w:t>Тренды: ужесточение требований ЦИСЗ; дефицит методистов; принятие ИИ при прозрачном детерминированном scoring.</w:t>
        <w:br/>
        <w:br/>
        <w:t>Детальная таблица рынка TAM/SAM/SOM и график - см. таблицу 1 и приложение В.</w:t>
      </w:r>
    </w:p>
    <w:p>
      <w:pPr>
        <w:spacing w:before="120" w:after="60"/>
      </w:pPr>
      <w:r>
        <w:rPr>
          <w:b/>
          <w:i w:val="0"/>
          <w:sz w:val="20"/>
        </w:rPr>
        <w:t>Таблица 1. Оценка объёма рынка консультативных заключений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Источник / допущение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КЗ/мес в МЦ «Кравира»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25 000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данные участника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Доля Кравиры на рынке платных КЗ частных ОЗ РБ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оценка участника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КЗ/мес, сегмент частных ОЗ РБ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2 500 000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25 000 / 0,01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КЗ/год, сегмент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30 000 000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× 12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TAM @ 0,99 BYN/КЗ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~29 700 000 BYN/год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30 млн × 0,99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Цель год 3 (8% рынка)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200 000 КЗ/мес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8% TAM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Цель год 2 (3% рынка)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75 000 КЗ/мес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3% TAM</w:t>
            </w:r>
          </w:p>
        </w:tc>
      </w:tr>
    </w:tbl>
    <w:p/>
    <w:p>
      <w:pPr>
        <w:spacing w:before="16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68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rk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</w:p>
    <w:p w14:paraId="41E59F4D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6CBBD06" w14:textId="4BDB2CF1" w:rsidR="00CE55DF" w:rsidRPr="0052627C" w:rsidRDefault="00CE55DF" w:rsidP="00F32985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en-US"/>
        </w:rPr>
      </w:pPr>
      <w:r w:rsidRPr="0052627C">
        <w:rPr>
          <w:rFonts w:ascii="Times New Roman" w:hAnsi="Times New Roman"/>
          <w:sz w:val="24"/>
          <w:szCs w:val="24"/>
          <w:lang w:eastAsia="en-US"/>
        </w:rPr>
        <w:t xml:space="preserve">7. Использование объектов интеллектуальной собственности (потенциальных объектов интеллектуальной собственности) </w:t>
      </w:r>
      <w:r>
        <w:rPr>
          <w:rFonts w:ascii="Times New Roman" w:hAnsi="Times New Roman"/>
          <w:sz w:val="24"/>
          <w:szCs w:val="24"/>
          <w:lang w:eastAsia="en-US"/>
        </w:rPr>
        <w:t>(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объекты интеллектуальной собственности (потенциальные </w:t>
      </w:r>
      <w:r w:rsidRPr="0052627C">
        <w:rPr>
          <w:rFonts w:ascii="Times New Roman" w:hAnsi="Times New Roman"/>
          <w:sz w:val="24"/>
          <w:szCs w:val="24"/>
          <w:lang w:eastAsia="en-US"/>
        </w:rPr>
        <w:t>объекты интеллектуальной собственности), которые используются или планируется использовать в рамках проекта, включая объекты интеллектуальной собственности</w:t>
      </w:r>
      <w:r>
        <w:rPr>
          <w:rFonts w:ascii="Times New Roman" w:hAnsi="Times New Roman"/>
          <w:sz w:val="24"/>
          <w:szCs w:val="24"/>
          <w:lang w:eastAsia="en-US"/>
        </w:rPr>
        <w:t>,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 права на которые принадлежат участнику конкурса или прав</w:t>
      </w:r>
      <w:r w:rsidR="00FA7855">
        <w:rPr>
          <w:rFonts w:ascii="Times New Roman" w:hAnsi="Times New Roman"/>
          <w:sz w:val="24"/>
          <w:szCs w:val="24"/>
          <w:lang w:eastAsia="en-US"/>
        </w:rPr>
        <w:t>о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 </w:t>
      </w:r>
      <w:r w:rsidR="00FA7855">
        <w:rPr>
          <w:rFonts w:ascii="Times New Roman" w:hAnsi="Times New Roman"/>
          <w:sz w:val="24"/>
          <w:szCs w:val="24"/>
          <w:lang w:eastAsia="en-US"/>
        </w:rPr>
        <w:t>ис</w:t>
      </w:r>
      <w:r w:rsidRPr="0052627C">
        <w:rPr>
          <w:rFonts w:ascii="Times New Roman" w:hAnsi="Times New Roman"/>
          <w:sz w:val="24"/>
          <w:szCs w:val="24"/>
          <w:lang w:eastAsia="en-US"/>
        </w:rPr>
        <w:t>пользовани</w:t>
      </w:r>
      <w:r w:rsidR="00FA7855">
        <w:rPr>
          <w:rFonts w:ascii="Times New Roman" w:hAnsi="Times New Roman"/>
          <w:sz w:val="24"/>
          <w:szCs w:val="24"/>
          <w:lang w:eastAsia="en-US"/>
        </w:rPr>
        <w:t>я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 которых получен</w:t>
      </w:r>
      <w:r w:rsidR="00FA7855">
        <w:rPr>
          <w:rFonts w:ascii="Times New Roman" w:hAnsi="Times New Roman"/>
          <w:sz w:val="24"/>
          <w:szCs w:val="24"/>
          <w:lang w:eastAsia="en-US"/>
        </w:rPr>
        <w:t>о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 по соответствующему договору</w:t>
      </w:r>
      <w:r>
        <w:rPr>
          <w:rFonts w:ascii="Times New Roman" w:hAnsi="Times New Roman"/>
          <w:sz w:val="24"/>
          <w:szCs w:val="24"/>
          <w:lang w:eastAsia="en-US"/>
        </w:rPr>
        <w:t>;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/>
          <w:sz w:val="24"/>
          <w:szCs w:val="24"/>
          <w:lang w:eastAsia="en-US"/>
        </w:rPr>
        <w:t>д</w:t>
      </w:r>
      <w:r w:rsidRPr="0052627C">
        <w:rPr>
          <w:rFonts w:ascii="Times New Roman" w:hAnsi="Times New Roman"/>
          <w:sz w:val="24"/>
          <w:szCs w:val="24"/>
          <w:lang w:eastAsia="en-US"/>
        </w:rPr>
        <w:t>окументы, подтверждающие права на объекты интеллектуальной собственности (патент, свидетельство, договор уступки исключительного права) или прав</w:t>
      </w:r>
      <w:r w:rsidR="00FA7855">
        <w:rPr>
          <w:rFonts w:ascii="Times New Roman" w:hAnsi="Times New Roman"/>
          <w:sz w:val="24"/>
          <w:szCs w:val="24"/>
          <w:lang w:eastAsia="en-US"/>
        </w:rPr>
        <w:t>о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 использовани</w:t>
      </w:r>
      <w:r w:rsidR="00FA7855">
        <w:rPr>
          <w:rFonts w:ascii="Times New Roman" w:hAnsi="Times New Roman"/>
          <w:sz w:val="24"/>
          <w:szCs w:val="24"/>
          <w:lang w:eastAsia="en-US"/>
        </w:rPr>
        <w:t>я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 объектов интеллектуальной собственности (лицензионный договор, договор комплексной предпринимательской лицензии или иные договоры, предусмотренные законодательством)</w:t>
      </w:r>
      <w:r>
        <w:rPr>
          <w:rFonts w:ascii="Times New Roman" w:hAnsi="Times New Roman"/>
          <w:sz w:val="24"/>
          <w:szCs w:val="24"/>
          <w:lang w:eastAsia="en-US"/>
        </w:rPr>
        <w:t>;</w:t>
      </w:r>
      <w:r w:rsidRPr="0052627C">
        <w:rPr>
          <w:rFonts w:ascii="Times New Roman" w:hAnsi="Times New Roman"/>
          <w:sz w:val="24"/>
          <w:szCs w:val="24"/>
          <w:lang w:eastAsia="en-US"/>
        </w:rPr>
        <w:t xml:space="preserve"> </w:t>
      </w:r>
      <w:r>
        <w:rPr>
          <w:rFonts w:ascii="Times New Roman" w:hAnsi="Times New Roman"/>
          <w:sz w:val="24"/>
          <w:szCs w:val="24"/>
          <w:lang w:eastAsia="en-US"/>
        </w:rPr>
        <w:t>а</w:t>
      </w:r>
      <w:r w:rsidRPr="0052627C">
        <w:rPr>
          <w:rFonts w:ascii="Times New Roman" w:hAnsi="Times New Roman"/>
          <w:sz w:val="24"/>
          <w:szCs w:val="24"/>
          <w:lang w:eastAsia="en-US"/>
        </w:rPr>
        <w:t>вторы объекта интеллектуальной собственности и иные обладатели прав на объект интеллектуальной собственности)</w:t>
      </w:r>
    </w:p>
    <w:p w14:paraId="4950D204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Используются объекты ИС участника. Исходный код и база правил - исключительные права МЦ «Кравира» (договоры с разработчиками). Регистрация программы для ЭВМ в НЦИС. Режим коммерческой тайны для каталога правил. Патентная чистота: открытые PDF Минздрава, FHIR BY, собственная реализация.</w:t>
      </w:r>
    </w:p>
    <w:p w14:paraId="4B58E60B" w14:textId="77777777" w:rsidR="00CE55DF" w:rsidRPr="00C863AB" w:rsidRDefault="00CE55DF" w:rsidP="00CE55DF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 xml:space="preserve">8. Основные потребители и характеристика сбытовой политики (основные потребители продукции и их характеристика; методы продвижения и каналы сбыта продукции и т.п.) </w:t>
      </w:r>
    </w:p>
    <w:p w14:paraId="2C7E0D16" w14:textId="6086D4F5" w:rsidR="00CE55DF" w:rsidRPr="00C863AB" w:rsidRDefault="00CE55DF" w:rsidP="00CE55DF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Основные потребители B2B: частные медицинские центры и сети ОЗ; методслужбы; вендоры МИС (Айболит/EPAM). Якорный потребитель - МЦ «Кравира» (~25 000 КЗ/мес).</w:t>
        <w:br/>
        <w:br/>
        <w:t>Потребители B2C: физические лица - пациенты частных клиник, желающие проверить своё консультативное заключение на соответствие клиническим протоколам Минздрава.</w:t>
        <w:br/>
        <w:br/>
        <w:t>Сбытовая политика B2B: прямые договоры; пакетные тарифы; OEM/API для МИС; пилот 1-3 месяца с метриками отказов ЦИСЗ.</w:t>
        <w:br/>
        <w:br/>
        <w:t>Сбытовая политика B2C: публичная веб-витрина; ERIP и банковские карты; промо через клиники-партнёры (white-label, скидка 2,99 BYN); QR-код на выдаваемом пациенту КЗ.</w:t>
      </w:r>
    </w:p>
    <w:p w14:paraId="7AC8DDB4" w14:textId="77777777" w:rsidR="00CE55DF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>9. Ценообразование (оценка конкурентоспособности продукции по цене; себестоимость продукции и ее составляющие; тенденции ценообразования; планируемые объемы сбыта и т.п.)</w:t>
      </w:r>
    </w:p>
    <w:p w14:paraId="3C95AF5B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Ценовая политика основана на микроплатеже за одну проверку КЗ (модель pay-per-use), что снижает барьер входа для клиник по сравнению с крупными лицензиями МИС.</w:t>
        <w:br/>
        <w:br/>
        <w:t>B2B (за 1 проверку КЗ, уровень L0):</w:t>
        <w:br/>
        <w:t>- Розница: 0,99 BYN</w:t>
        <w:br/>
        <w:t>- Пакет 10 000/мес: 0,79 BYN</w:t>
        <w:br/>
        <w:t>- Пакет 25 000+/мес: 0,69 BYN (тариф МЦ «Кравира»)</w:t>
        <w:br/>
        <w:t>- L2 для методиста: +0,50 BYN</w:t>
        <w:br/>
        <w:t>- Внедрение API в МИС: 15-40 тыс. BYN разово + поддержка</w:t>
        <w:br/>
        <w:br/>
        <w:t>B2C (физические лица):</w:t>
        <w:br/>
        <w:t>- Базовая проверка L1: 4,99 BYN</w:t>
        <w:br/>
        <w:t>- Подробный отчёт L2: 9,99 BYN</w:t>
        <w:br/>
        <w:t>- Абонемент 3 проверки/мес: 12,99 BYN</w:t>
        <w:br/>
        <w:t>- Промо от клиники-партнёра: 2,99 BYN</w:t>
        <w:br/>
        <w:br/>
        <w:t>Себестоимость L0 B2B: ~0,06-0,12 BYN/КЗ (маржа 85-90% при 0,99 BYN).</w:t>
        <w:br/>
        <w:t>Себестоимость B2C L1: ~0,15-0,25 BYN (обработка PDF, без долгого хранения ПДн).</w:t>
        <w:br/>
        <w:br/>
        <w:t>Прайс-листы, таблица себестоимости и график тарифной лестницы - таблицы 2-4, приложение А.</w:t>
      </w:r>
    </w:p>
    <w:p>
      <w:pPr>
        <w:spacing w:before="120" w:after="60"/>
      </w:pPr>
      <w:r>
        <w:rPr>
          <w:b/>
          <w:i w:val="0"/>
          <w:sz w:val="20"/>
        </w:rPr>
        <w:t>Таблица 2. Прайс-лист B2B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Тариф B2B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Цена L0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Условия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Старт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0,99 BYN/КЗ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до 1 000 КЗ/мес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Клиника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0,79 BYN/КЗ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до 10 000 КЗ/мес, мин. 5 000 BYN/мес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Сеть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0,69 BYN/КЗ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25 000+ КЗ/мес, мин. 12 000 BYN/мес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L2 методист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+0,50 BYN/КЗ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углублённый разбор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Внедрение API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15-40 тыс. BYN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разово + поддержка</w:t>
            </w:r>
          </w:p>
        </w:tc>
      </w:tr>
    </w:tbl>
    <w:p/>
    <w:p>
      <w:pPr>
        <w:spacing w:before="120" w:after="60"/>
      </w:pPr>
      <w:r>
        <w:rPr>
          <w:b/>
          <w:i w:val="0"/>
          <w:sz w:val="20"/>
        </w:rPr>
        <w:t>Таблица 3. Прайс-лист B2C (физические лица)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Тариф B2C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Базовая проверка L1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4,99 BYN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структурный разбор без LLM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Подробный отчёт L2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9,99 BYN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пояснения простым языком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Абонемент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12,99 BYN/мес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3 проверки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Промо от клиники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2,99 BYN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QR на чеке/КЗ</w:t>
            </w:r>
          </w:p>
        </w:tc>
      </w:tr>
    </w:tbl>
    <w:p/>
    <w:p>
      <w:pPr>
        <w:spacing w:before="120" w:after="60"/>
      </w:pPr>
      <w:r>
        <w:rPr>
          <w:b/>
          <w:i w:val="0"/>
          <w:sz w:val="20"/>
        </w:rPr>
        <w:t>Таблица 4. Себестоимость проверки L0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Статья себестоимости L0</w:t>
            </w:r>
          </w:p>
        </w:tc>
        <w:tc>
          <w:tcPr>
            <w:tcW w:type="dxa" w:w="4819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BYN/КЗ</w:t>
            </w:r>
          </w:p>
        </w:tc>
      </w:tr>
      <w:tr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Сервер / амортизация</w:t>
            </w:r>
          </w:p>
        </w:tc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0,02-0,05</w:t>
            </w:r>
          </w:p>
        </w:tc>
      </w:tr>
      <w:tr>
        <w:tc>
          <w:tcPr>
            <w:tcW w:type="dxa" w:w="4819"/>
            <w:shd w:fill="E8F5F1" w:val="clear"/>
          </w:tcPr>
          <w:p>
            <w:r/>
            <w:r>
              <w:rPr>
                <w:b w:val="0"/>
                <w:sz w:val="18"/>
              </w:rPr>
              <w:t>Электричество, админ</w:t>
            </w:r>
          </w:p>
        </w:tc>
        <w:tc>
          <w:tcPr>
            <w:tcW w:type="dxa" w:w="4819"/>
            <w:shd w:fill="E8F5F1" w:val="clear"/>
          </w:tcPr>
          <w:p>
            <w:r/>
            <w:r>
              <w:rPr>
                <w:b w:val="0"/>
                <w:sz w:val="18"/>
              </w:rPr>
              <w:t>0,01</w:t>
            </w:r>
          </w:p>
        </w:tc>
      </w:tr>
      <w:tr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Поддержка (0,5 FTE на 100k КЗ)</w:t>
            </w:r>
          </w:p>
        </w:tc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0,03-0,06</w:t>
            </w:r>
          </w:p>
        </w:tc>
      </w:tr>
      <w:tr>
        <w:tc>
          <w:tcPr>
            <w:tcW w:type="dxa" w:w="4819"/>
            <w:shd w:fill="E8F5F1" w:val="clear"/>
          </w:tcPr>
          <w:p>
            <w:r/>
            <w:r>
              <w:rPr>
                <w:b w:val="0"/>
                <w:sz w:val="18"/>
              </w:rPr>
              <w:t>Итого L0</w:t>
            </w:r>
          </w:p>
        </w:tc>
        <w:tc>
          <w:tcPr>
            <w:tcW w:type="dxa" w:w="4819"/>
            <w:shd w:fill="E8F5F1" w:val="clear"/>
          </w:tcPr>
          <w:p>
            <w:r/>
            <w:r>
              <w:rPr>
                <w:b w:val="0"/>
                <w:sz w:val="18"/>
              </w:rPr>
              <w:t>0,06-0,12</w:t>
            </w:r>
          </w:p>
        </w:tc>
      </w:tr>
      <w:tr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Маржа при 0,99 BYN</w:t>
            </w:r>
          </w:p>
        </w:tc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~85-90%</w:t>
            </w:r>
          </w:p>
        </w:tc>
      </w:tr>
    </w:tbl>
    <w:p/>
    <w:p>
      <w:pPr>
        <w:spacing w:before="16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80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ic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80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</w:p>
    <w:p w14:paraId="6F22D7D7" w14:textId="77777777" w:rsidR="00F32985" w:rsidRDefault="00CE55DF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>10. Конкуренты (описание основных конкурентов; возможности конкурентов (тактика и стратегия, продукция, цены, местонахождение, продажи и т.п.)</w:t>
      </w:r>
    </w:p>
    <w:p w14:paraId="06F29C1A" w14:textId="04ACAAD8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Конкурентный анализ показывает отсутствие в Республике Беларусь готового продукта «корпус КП Минздрава + предпроверка Bundle до ЭЦП + B2C для пациентов».</w:t>
        <w:br/>
        <w:br/>
        <w:t>Основные альтернативы: ручной аудит методслужбы; зарубежные CDSS без КП РБ; свободные LLM-чаты; встроенные шаблоны МИС без evidence_map.</w:t>
        <w:br/>
        <w:br/>
        <w:t>Подробная сравнительная таблица - таблица 5.</w:t>
      </w:r>
    </w:p>
    <w:p>
      <w:pPr>
        <w:spacing w:before="120" w:after="60"/>
      </w:pPr>
      <w:r>
        <w:rPr>
          <w:b/>
          <w:i w:val="0"/>
          <w:sz w:val="20"/>
        </w:rPr>
        <w:t>Таблица 5. Конкурентный анализ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Конкурент / альтернатива</w:t>
            </w:r>
          </w:p>
        </w:tc>
        <w:tc>
          <w:tcPr>
            <w:tcW w:type="dxa" w:w="4819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Слабость vs Protocol</w:t>
            </w:r>
          </w:p>
        </w:tc>
      </w:tr>
      <w:tr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Ручной аудит методслужбы</w:t>
            </w:r>
          </w:p>
        </w:tc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не масштабируется на 25k КЗ/мес</w:t>
            </w:r>
          </w:p>
        </w:tc>
      </w:tr>
      <w:tr>
        <w:tc>
          <w:tcPr>
            <w:tcW w:type="dxa" w:w="4819"/>
            <w:shd w:fill="E8F5F1" w:val="clear"/>
          </w:tcPr>
          <w:p>
            <w:r/>
            <w:r>
              <w:rPr>
                <w:b w:val="0"/>
                <w:sz w:val="18"/>
              </w:rPr>
              <w:t>Зарубежные CDSS</w:t>
            </w:r>
          </w:p>
        </w:tc>
        <w:tc>
          <w:tcPr>
            <w:tcW w:type="dxa" w:w="4819"/>
            <w:shd w:fill="E8F5F1" w:val="clear"/>
          </w:tcPr>
          <w:p>
            <w:r/>
            <w:r>
              <w:rPr>
                <w:b w:val="0"/>
                <w:sz w:val="18"/>
              </w:rPr>
              <w:t>нет КП Минздрава РБ и FHIR BY</w:t>
            </w:r>
          </w:p>
        </w:tc>
      </w:tr>
      <w:tr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ChatGPT в свободной форме</w:t>
            </w:r>
          </w:p>
        </w:tc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нет send_gate, риск ПДн</w:t>
            </w:r>
          </w:p>
        </w:tc>
      </w:tr>
      <w:tr>
        <w:tc>
          <w:tcPr>
            <w:tcW w:type="dxa" w:w="4819"/>
            <w:shd w:fill="E8F5F1" w:val="clear"/>
          </w:tcPr>
          <w:p>
            <w:r/>
            <w:r>
              <w:rPr>
                <w:b w:val="0"/>
                <w:sz w:val="18"/>
              </w:rPr>
              <w:t>Шаблоны МИС</w:t>
            </w:r>
          </w:p>
        </w:tc>
        <w:tc>
          <w:tcPr>
            <w:tcW w:type="dxa" w:w="4819"/>
            <w:shd w:fill="E8F5F1" w:val="clear"/>
          </w:tcPr>
          <w:p>
            <w:r/>
            <w:r>
              <w:rPr>
                <w:b w:val="0"/>
                <w:sz w:val="18"/>
              </w:rPr>
              <w:t>нет evidence_map и актуального корпуса КП</w:t>
            </w:r>
          </w:p>
        </w:tc>
      </w:tr>
      <w:tr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B2C «проверь КЗ»</w:t>
            </w:r>
          </w:p>
        </w:tc>
        <w:tc>
          <w:tcPr>
            <w:tcW w:type="dxa" w:w="4819"/>
            <w:shd w:fill="FFFFFF" w:val="clear"/>
          </w:tcPr>
          <w:p>
            <w:r/>
            <w:r>
              <w:rPr>
                <w:b w:val="0"/>
                <w:sz w:val="18"/>
              </w:rPr>
              <w:t>аналогов по КП Минздрава в РБ нет</w:t>
            </w:r>
          </w:p>
        </w:tc>
      </w:tr>
    </w:tbl>
    <w:p/>
    <w:p w14:paraId="5C10D08B" w14:textId="245B405A" w:rsidR="00CE55DF" w:rsidRPr="00C863AB" w:rsidRDefault="00CE55DF" w:rsidP="00F3298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>11</w:t>
      </w:r>
      <w:r w:rsidRPr="00C863AB">
        <w:rPr>
          <w:rFonts w:ascii="Times New Roman" w:hAnsi="Times New Roman"/>
          <w:bCs/>
          <w:sz w:val="24"/>
          <w:szCs w:val="24"/>
        </w:rPr>
        <w:t>. Поставщики (описание организаций-поставщиков; перечень необходимых материалов, цена и т.п.)</w:t>
      </w:r>
    </w:p>
    <w:p w14:paraId="26BF35DD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Поставщики и контрагенты:</w:t>
        <w:br/>
        <w:t>- хостинг / виртуальные машины в дата-центре РБ (on-prem площадка клиники или облако РБ);</w:t>
        <w:br/>
        <w:t>- платёжные агрегаторы для B2C (ERIP, эквайринг);</w:t>
        <w:br/>
        <w:t>- опционально API языковой модели (Gemini) или on-prem LLM для уровня L2;</w:t>
        <w:br/>
        <w:t>- НЦИС (БелГИСС) - регистрация программы для ЭВМ;</w:t>
        <w:br/>
        <w:t>- EPAM / вендор МИС «Айболит» - интеграционные работы.</w:t>
        <w:br/>
        <w:br/>
        <w:t>Материалы: не требуются (программный продукт). Сервер 2-4 GB RAM на площадку.</w:t>
      </w:r>
    </w:p>
    <w:p w14:paraId="59C7B116" w14:textId="77777777" w:rsidR="00CE55DF" w:rsidRPr="00C863AB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 xml:space="preserve">12. Производственный план (наличие материально-технической базы, потребность в оборудовании, сырье и </w:t>
      </w:r>
      <w:r w:rsidRPr="00C863AB">
        <w:rPr>
          <w:rFonts w:ascii="Times New Roman" w:hAnsi="Times New Roman"/>
          <w:bCs/>
          <w:sz w:val="24"/>
          <w:szCs w:val="24"/>
        </w:rPr>
        <w:t>материалах для производства продукции, планируемые объемы выпуска, безопасность, экологичность и т.п.)</w:t>
      </w:r>
    </w:p>
    <w:p w14:paraId="10822259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Производственный процесс - тиражирование экземпляров ПО и сопровождение:</w:t>
        <w:br/>
        <w:t>- развёртывание Docker/on-prem на площадке заказчика;</w:t>
        <w:br/>
        <w:t>- еженедельная синхронизация корпуса PDF Минздрава;</w:t>
        <w:br/>
        <w:t>- обновление каталога правил и конфигураций gate;</w:t>
        <w:br/>
        <w:t>- для B2C - изолированный публичный контур с удалением загруженных файлов после сессии.</w:t>
        <w:br/>
        <w:br/>
        <w:t>Материально-техническая база: серверная инфраструктура МЦ «Кравира»; рабочий прототип развёрнут. Потребность в новом оборудовании - умеренная (1 сервер на площадку).</w:t>
      </w:r>
    </w:p>
    <w:p w14:paraId="4EFC72B1" w14:textId="77777777" w:rsidR="00CE55DF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>13. Организационный план (кадровая структура организации</w:t>
      </w:r>
      <w:r>
        <w:rPr>
          <w:rFonts w:ascii="Times New Roman" w:eastAsia="Calibri" w:hAnsi="Times New Roman"/>
          <w:sz w:val="24"/>
          <w:szCs w:val="24"/>
          <w:lang w:eastAsia="en-US"/>
        </w:rPr>
        <w:t>, выполняющей работы</w:t>
      </w:r>
      <w:r w:rsidRPr="00C863AB">
        <w:rPr>
          <w:rFonts w:ascii="Times New Roman" w:eastAsia="Calibri" w:hAnsi="Times New Roman"/>
          <w:sz w:val="24"/>
          <w:szCs w:val="24"/>
          <w:lang w:eastAsia="en-US"/>
        </w:rPr>
        <w:t xml:space="preserve"> (персонал, структура и т.п.); график выполнения работ (календарный план); график осуществления инвестиций; формы финансирования проекта (кредит, заем, собственные средства и т.п.)</w:t>
      </w:r>
    </w:p>
    <w:p w14:paraId="6B6C799C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Организация-исполнитель: ОДО «Медицинский центр «Кравира»». Кадровая структура проекта - см. таблицу 6.</w:t>
        <w:br/>
        <w:br/>
        <w:t>График работ (ключевые вехи):</w:t>
        <w:br/>
        <w:t>- Q3-Q4 2026: production L0 on-prem, подготовка B2C beta;</w:t>
        <w:br/>
        <w:t>- Q1-Q2 2027: API в МИС «Айболит», метрики пилота;</w:t>
        <w:br/>
        <w:t>- Q3-Q4 2027: коммерческие договоры с 2-3 внешними ОЗ;</w:t>
        <w:br/>
        <w:t>- 2028: масштабирование на 5-10 клиник.</w:t>
        <w:br/>
        <w:br/>
        <w:t>Ответственный по проекту: Кузавка П.Л. (цифровая трансформация и ИТ).</w:t>
      </w:r>
    </w:p>
    <w:p>
      <w:pPr>
        <w:spacing w:before="120" w:after="60"/>
      </w:pPr>
      <w:r>
        <w:rPr>
          <w:b/>
          <w:i w:val="0"/>
          <w:sz w:val="20"/>
        </w:rPr>
        <w:t>Таблица 6. Организационная структура проекта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FTE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Функция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Руководитель проекта / главврач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0,2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методология, Минздрав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Ведущий разработчик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1,0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продукт, API, МИС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Методист-клиницист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0,5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правила, валидация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Менеджер B2B/B2C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0,5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продажи, договоры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ИТ-админ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0,2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on-prem, ИБ</w:t>
            </w:r>
          </w:p>
        </w:tc>
      </w:tr>
    </w:tbl>
    <w:p/>
    <w:p w14:paraId="122B0A63" w14:textId="77777777" w:rsidR="00CE55DF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en-US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>14. Возможные проблемы реализации проекта (финансовые и другие риски исполнения проекта и т.п.)</w:t>
      </w:r>
    </w:p>
    <w:bookmarkEnd w:id="0"/>
    <w:p w14:paraId="3B82483D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Финансовые и иные риски проекта систематизированы в таблице 7.</w:t>
        <w:br/>
        <w:br/>
        <w:t>Ключевые риски: обработка ПДн в B2C; изменение клинических протоколов Минздрава; низкая готовность платить малыми клиниками; регуляторная квалификация продукта.</w:t>
        <w:br/>
        <w:br/>
        <w:t>Митигация: on-prem L0 без выноса ПДн; автосинхронизация корпуса КП; ROI через снижение отказов ЦИСЗ; позиционирование как СПО/ИС; QR-кампании для B2C через партнёрские клиники.</w:t>
      </w:r>
    </w:p>
    <w:p>
      <w:pPr>
        <w:spacing w:before="120" w:after="60"/>
      </w:pPr>
      <w:r>
        <w:rPr>
          <w:b/>
          <w:i w:val="0"/>
          <w:sz w:val="20"/>
        </w:rPr>
        <w:t>Таблица 7. Матрица рисков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Митигация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ПДн B2C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минимизация хранения, HTTPS, on-prem L0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Изменение КП Минздрава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высокая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автосинхронизация корпуса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Низкая готовность платить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ROI: меньше отказов ЦИСЗ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Регуляторика «медизделие»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низкая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позиция СПО/ИС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Низкая конверсия B2C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средняя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QR-кампании в клиниках</w:t>
            </w:r>
          </w:p>
        </w:tc>
      </w:tr>
    </w:tbl>
    <w:p/>
    <w:p w14:paraId="2EDB88CD" w14:textId="77777777" w:rsidR="00CE55DF" w:rsidRPr="00C863AB" w:rsidRDefault="00CE55DF" w:rsidP="00CE55DF">
      <w:pPr>
        <w:widowControl w:val="0"/>
        <w:autoSpaceDE w:val="0"/>
        <w:autoSpaceDN w:val="0"/>
        <w:adjustRightInd w:val="0"/>
        <w:spacing w:after="0" w:line="240" w:lineRule="exact"/>
        <w:jc w:val="both"/>
        <w:rPr>
          <w:rFonts w:ascii="Times New Roman" w:hAnsi="Times New Roman"/>
          <w:bCs/>
          <w:sz w:val="24"/>
          <w:szCs w:val="24"/>
        </w:rPr>
      </w:pPr>
      <w:r w:rsidRPr="00C863AB">
        <w:rPr>
          <w:rFonts w:ascii="Times New Roman" w:eastAsia="Calibri" w:hAnsi="Times New Roman"/>
          <w:sz w:val="24"/>
          <w:szCs w:val="24"/>
          <w:lang w:eastAsia="en-US"/>
        </w:rPr>
        <w:t>15.</w:t>
      </w:r>
      <w:r>
        <w:rPr>
          <w:rFonts w:ascii="Times New Roman" w:eastAsia="Calibri" w:hAnsi="Times New Roman"/>
          <w:sz w:val="24"/>
          <w:szCs w:val="24"/>
          <w:lang w:eastAsia="en-US"/>
        </w:rPr>
        <w:t xml:space="preserve"> </w:t>
      </w:r>
      <w:r w:rsidRPr="00C863AB">
        <w:rPr>
          <w:rFonts w:ascii="Times New Roman" w:eastAsia="Calibri" w:hAnsi="Times New Roman"/>
          <w:sz w:val="24"/>
          <w:szCs w:val="24"/>
          <w:lang w:eastAsia="en-US"/>
        </w:rPr>
        <w:t>Финансовый план проекта (доходы; текущие производственные затраты; инвестиционные затраты (капитальные вложения, оборотный капитал); источники финансирования; характеристика эффективности проекта; характеристика финансовой состоятельности проекта; анализ чувствительности показателей проекта к изменению исходных параметров и т.п.</w:t>
      </w:r>
      <w:r w:rsidRPr="00C863AB">
        <w:rPr>
          <w:rFonts w:ascii="Times New Roman" w:hAnsi="Times New Roman"/>
          <w:bCs/>
          <w:sz w:val="24"/>
          <w:szCs w:val="24"/>
        </w:rPr>
        <w:t xml:space="preserve">) </w:t>
      </w:r>
    </w:p>
    <w:p w14:paraId="101A1BAA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t>Финансовый план на 3 года (осторожный сценарий) представлен в таблице 8 и на графике в приложении Г. Исходное допущение рынка: 25 000 КЗ/мес в Кравире = 1% платных КЗ частного сектора РБ, адресуемый рынок 2,5 млн КЗ/мес (30 млн/год).</w:t>
        <w:br/>
        <w:br/>
        <w:t>Доходы год 1 (2027): B2B Кравира 207 тыс. + B2C beta 50 тыс. = 257 тыс. BYN; EBITDA -23 тыс.</w:t>
        <w:br/>
        <w:t>Доходы год 2 (2028): B2B 675 + B2C 180 + API 25 = 880 тыс. BYN; EBITDA +460 тыс.</w:t>
        <w:br/>
        <w:t>Доходы год 3 (2029): B2B 1 800 + B2C 450 + API 75 = 2 325 тыс. BYN; EBITDA +1 675 тыс. (8% рынка, 200 000 КЗ/мес).</w:t>
        <w:br/>
        <w:br/>
        <w:t>OPEX: 280 / 420 / 650 тыс. BYN (ФОТ, инфраструктура, маркетинг, поддержка).</w:t>
        <w:br/>
        <w:br/>
        <w:t>Инвестиции: интеграция МИС 40 тыс.; B2C-витрина 25 тыс.; регистрация ПО 15 тыс. Источники: сертификат ГКНТ (571 б.в. x 42 BYN, около 24 тыс. BYN), собственные средства Кравиры.</w:t>
        <w:br/>
        <w:br/>
        <w:t>ROI якорного клиента - приложение Ж (06_ROI_Kravira.html). Чек-лист перед печатью - docx-preprint-checklist.md.</w:t>
      </w:r>
    </w:p>
    <w:p>
      <w:pPr>
        <w:spacing w:before="120" w:after="60"/>
      </w:pPr>
      <w:r>
        <w:rPr>
          <w:b/>
          <w:i w:val="0"/>
          <w:sz w:val="20"/>
        </w:rPr>
        <w:t>Таблица 8. Финансовый план на 3 года (тыс. BYN)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410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2027</w:t>
            </w:r>
          </w:p>
        </w:tc>
        <w:tc>
          <w:tcPr>
            <w:tcW w:type="dxa" w:w="2410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2028</w:t>
            </w:r>
          </w:p>
        </w:tc>
        <w:tc>
          <w:tcPr>
            <w:tcW w:type="dxa" w:w="2410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2029</w:t>
            </w:r>
          </w:p>
        </w:tc>
      </w:tr>
      <w:tr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Клиенты (ОЗ экв.)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1 (Кравира)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КЗ/мес, всего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25 000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75 000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200 000</w:t>
            </w:r>
          </w:p>
        </w:tc>
      </w:tr>
      <w:tr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Доля рынка РБ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1%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3%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8%</w:t>
            </w:r>
          </w:p>
        </w:tc>
      </w:tr>
      <w:tr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Выручка B2B, тыс. BYN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207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675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1800</w:t>
            </w:r>
          </w:p>
        </w:tc>
      </w:tr>
      <w:tr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Выручка B2C, тыс. BYN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Выручка API/МИС, тыс. BYN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OPEX, тыс. BYN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650</w:t>
            </w:r>
          </w:p>
        </w:tc>
      </w:tr>
      <w:tr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EBITDA, тыс. BYN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-23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+460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+1675</w:t>
            </w:r>
          </w:p>
        </w:tc>
      </w:tr>
    </w:tbl>
    <w:p/>
    <w:p>
      <w:pPr>
        <w:spacing w:before="16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53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</w:p>
    <w:p w14:paraId="4502FBE5" w14:textId="77777777" w:rsidR="00CE55DF" w:rsidRPr="00CE50EE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en-US"/>
        </w:rPr>
      </w:pPr>
      <w:r w:rsidRPr="009D3C9C">
        <w:rPr>
          <w:rFonts w:ascii="Times New Roman" w:hAnsi="Times New Roman"/>
          <w:bCs/>
          <w:sz w:val="24"/>
          <w:szCs w:val="24"/>
        </w:rPr>
        <w:t>1</w:t>
      </w:r>
      <w:r>
        <w:rPr>
          <w:rFonts w:ascii="Times New Roman" w:hAnsi="Times New Roman"/>
          <w:bCs/>
          <w:sz w:val="24"/>
          <w:szCs w:val="24"/>
        </w:rPr>
        <w:t>6</w:t>
      </w:r>
      <w:r w:rsidRPr="009D3C9C">
        <w:rPr>
          <w:rFonts w:ascii="Times New Roman" w:hAnsi="Times New Roman"/>
          <w:bCs/>
          <w:sz w:val="24"/>
          <w:szCs w:val="24"/>
        </w:rPr>
        <w:t>.</w:t>
      </w:r>
      <w:r>
        <w:rPr>
          <w:rFonts w:ascii="Times New Roman" w:hAnsi="Times New Roman"/>
          <w:bCs/>
          <w:sz w:val="24"/>
          <w:szCs w:val="24"/>
        </w:rPr>
        <w:t xml:space="preserve"> </w:t>
      </w:r>
      <w:r w:rsidRPr="00E320B0">
        <w:rPr>
          <w:rFonts w:ascii="Times New Roman" w:hAnsi="Times New Roman"/>
          <w:bCs/>
          <w:sz w:val="24"/>
          <w:szCs w:val="24"/>
        </w:rPr>
        <w:t>Иные сведения</w:t>
      </w:r>
      <w:r w:rsidRPr="00E320B0">
        <w:rPr>
          <w:rFonts w:ascii="Times New Roman" w:hAnsi="Times New Roman"/>
          <w:sz w:val="24"/>
          <w:szCs w:val="24"/>
          <w:lang w:eastAsia="en-US"/>
        </w:rPr>
        <w:t xml:space="preserve"> (бизнес-план может дополнительно содержать иные необходимые разделы и сведения</w:t>
      </w:r>
      <w:r>
        <w:rPr>
          <w:rFonts w:ascii="Times New Roman" w:hAnsi="Times New Roman"/>
          <w:sz w:val="24"/>
          <w:szCs w:val="24"/>
          <w:lang w:eastAsia="en-US"/>
        </w:rPr>
        <w:t>)</w:t>
      </w:r>
      <w:r w:rsidRPr="00E320B0">
        <w:rPr>
          <w:rFonts w:ascii="Times New Roman" w:hAnsi="Times New Roman"/>
          <w:sz w:val="24"/>
          <w:szCs w:val="24"/>
          <w:lang w:eastAsia="en-US"/>
        </w:rPr>
        <w:t xml:space="preserve"> </w:t>
      </w:r>
    </w:p>
    <w:p w14:paraId="54A3F185" w14:textId="77777777" w:rsidR="00F32985" w:rsidRPr="00C863AB" w:rsidRDefault="00F32985" w:rsidP="00F3298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sz w:val="22"/>
        </w:rPr>
        <w:t>Бизнес-план соответствует рекомендуемому объёму 10-40 страниц: основной текст - разделы 1-16; детальные расчёты, таблицы и графики - в приложениях А-Е и в файле 05_Biznes_plan_Prilozheniya.html (для печати в PDF). Дополнительно прилагаются architecture-kravira-fhir-mis.pdf и mvp-presentation.html.</w:t>
      </w:r>
    </w:p>
    <w:p w14:paraId="61F12E85" w14:textId="77777777" w:rsidR="00CE55DF" w:rsidRPr="00C863AB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14:paraId="7C928EB6" w14:textId="77777777" w:rsidR="00CE55DF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ind w:left="2124" w:firstLine="708"/>
        <w:rPr>
          <w:rFonts w:ascii="Times New Roman" w:hAnsi="Times New Roman"/>
          <w:sz w:val="20"/>
          <w:szCs w:val="20"/>
        </w:rPr>
      </w:pPr>
    </w:p>
    <w:p>
      <w:pPr>
        <w:spacing w:before="240" w:after="120"/>
      </w:pPr>
    </w:p>
    <w:p>
      <w:pPr>
        <w:spacing w:before="120" w:after="200"/>
      </w:pPr>
      <w:r>
        <w:rPr>
          <w:b/>
          <w:i w:val="0"/>
          <w:sz w:val="28"/>
        </w:rPr>
        <w:t>ПРИЛОЖЕНИЯ К БИЗНЕС-ПЛАНУ</w:t>
      </w:r>
    </w:p>
    <w:p>
      <w:pPr>
        <w:spacing w:before="280" w:after="80"/>
      </w:pPr>
      <w:r>
        <w:rPr>
          <w:b/>
          <w:i w:val="0"/>
          <w:sz w:val="24"/>
        </w:rPr>
        <w:t>Приложение А. Сводный прайс-лист B2B/B2C</w:t>
      </w:r>
    </w:p>
    <w:p>
      <w:pPr>
        <w:spacing w:before="120" w:after="120"/>
      </w:pPr>
      <w:r>
        <w:rPr>
          <w:b w:val="0"/>
          <w:i w:val="0"/>
          <w:sz w:val="20"/>
        </w:rPr>
        <w:t>Коммерческие тарифы для клиник и физических лиц.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2410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2410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410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Примечание</w:t>
            </w:r>
          </w:p>
        </w:tc>
      </w:tr>
      <w:tr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B2B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L0 Старт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0,99 BYN/КЗ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pay-as-you-go</w:t>
            </w:r>
          </w:p>
        </w:tc>
      </w:tr>
      <w:tr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B2B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L0 Клиника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0,79 BYN/КЗ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от 10k КЗ/мес</w:t>
            </w:r>
          </w:p>
        </w:tc>
      </w:tr>
      <w:tr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B2B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L0 Сеть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0,69 BYN/КЗ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Кравира, 25k+</w:t>
            </w:r>
          </w:p>
        </w:tc>
      </w:tr>
      <w:tr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B2B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API МИС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индивид.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15-40k внедрение</w:t>
            </w:r>
          </w:p>
        </w:tc>
      </w:tr>
      <w:tr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B2C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L1 Базовая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4,99 BYN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физлицо</w:t>
            </w:r>
          </w:p>
        </w:tc>
      </w:tr>
      <w:tr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B2C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L2 Подробная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9,99 BYN</w:t>
            </w:r>
          </w:p>
        </w:tc>
        <w:tc>
          <w:tcPr>
            <w:tcW w:type="dxa" w:w="2410"/>
            <w:shd w:fill="E8F5F1" w:val="clear"/>
          </w:tcPr>
          <w:p>
            <w:r/>
            <w:r>
              <w:rPr>
                <w:b w:val="0"/>
                <w:sz w:val="18"/>
              </w:rPr>
              <w:t>физлицо</w:t>
            </w:r>
          </w:p>
        </w:tc>
      </w:tr>
      <w:tr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B2C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Абонемент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12,99 BYN/мес</w:t>
            </w:r>
          </w:p>
        </w:tc>
        <w:tc>
          <w:tcPr>
            <w:tcW w:type="dxa" w:w="2410"/>
            <w:shd w:fill="FFFFFF" w:val="clear"/>
          </w:tcPr>
          <w:p>
            <w:r/>
            <w:r>
              <w:rPr>
                <w:b w:val="0"/>
                <w:sz w:val="18"/>
              </w:rPr>
              <w:t>3 проверки</w:t>
            </w:r>
          </w:p>
        </w:tc>
      </w:tr>
    </w:tbl>
    <w:p/>
    <w:p>
      <w:pPr>
        <w:spacing w:before="280" w:after="80"/>
      </w:pPr>
      <w:r>
        <w:rPr>
          <w:b/>
          <w:i w:val="0"/>
          <w:sz w:val="24"/>
        </w:rPr>
        <w:t>Приложение Б. Дорожная карта 2025-2029</w:t>
      </w:r>
    </w:p>
    <w:p>
      <w:pPr>
        <w:spacing w:before="120" w:after="120"/>
      </w:pPr>
      <w:r>
        <w:rPr>
          <w:b w:val="0"/>
          <w:i w:val="0"/>
          <w:sz w:val="20"/>
        </w:rPr>
        <w:t>Ключевые вехи коммерциализации Protocol.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Пилот L0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2025-Q2 2026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метрики в Кравире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API МИС Айболит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Q3 2026-Q1 2027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L0 при сохранении КЗ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B2C beta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Q4 2026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витрина 4,99/9,99 BYN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3-5 B2B клиентов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2027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договоры, пакеты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5-15% рынка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2028-2029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масштабирование</w:t>
            </w:r>
          </w:p>
        </w:tc>
      </w:tr>
    </w:tbl>
    <w:p/>
    <w:p>
      <w:pPr>
        <w:spacing w:before="280" w:after="80"/>
      </w:pPr>
      <w:r>
        <w:rPr>
          <w:b/>
          <w:i w:val="0"/>
          <w:sz w:val="24"/>
        </w:rPr>
        <w:t>Приложение В. KPI пилота (целевые)</w:t>
      </w:r>
    </w:p>
    <w:p>
      <w:pPr>
        <w:spacing w:before="120" w:after="120"/>
      </w:pPr>
      <w:r>
        <w:rPr>
          <w:b w:val="0"/>
          <w:i w:val="0"/>
          <w:sz w:val="20"/>
        </w:rPr>
        <w:t>Показатели для подтверждения эффективности на площадке Кравиры.</w:t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Целевое значение</w:t>
            </w:r>
          </w:p>
        </w:tc>
        <w:tc>
          <w:tcPr>
            <w:tcW w:type="dxa" w:w="3213"/>
            <w:shd w:fill="126B5C" w:val="clear"/>
          </w:tcPr>
          <w:p>
            <w:r/>
            <w:r>
              <w:rPr>
                <w:b/>
                <w:color w:val="FFFFFF"/>
                <w:sz w:val="18"/>
              </w:rPr>
              <w:t>Как измерять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Время L0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&lt; 2 с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лог API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Покрытие потока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100% КЗ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интеграция МИС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gate_score &lt; 70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снижение vs база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отчёт Protocol</w:t>
            </w:r>
          </w:p>
        </w:tc>
      </w:tr>
      <w:tr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Критические пробелы ЦИСЗ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снижение</w:t>
            </w:r>
          </w:p>
        </w:tc>
        <w:tc>
          <w:tcPr>
            <w:tcW w:type="dxa" w:w="3213"/>
            <w:shd w:fill="E8F5F1" w:val="clear"/>
          </w:tcPr>
          <w:p>
            <w:r/>
            <w:r>
              <w:rPr>
                <w:b w:val="0"/>
                <w:sz w:val="18"/>
              </w:rPr>
              <w:t>cisz_readiness</w:t>
            </w:r>
          </w:p>
        </w:tc>
      </w:tr>
      <w:tr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Доработки после ЭЦП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-30%</w:t>
            </w:r>
          </w:p>
        </w:tc>
        <w:tc>
          <w:tcPr>
            <w:tcW w:type="dxa" w:w="3213"/>
            <w:shd w:fill="FFFFFF" w:val="clear"/>
          </w:tcPr>
          <w:p>
            <w:r/>
            <w:r>
              <w:rPr>
                <w:b w:val="0"/>
                <w:sz w:val="18"/>
              </w:rPr>
              <w:t>сравнение периодов</w:t>
            </w:r>
          </w:p>
        </w:tc>
      </w:tr>
    </w:tbl>
    <w:p/>
    <w:p>
      <w:pPr>
        <w:spacing w:before="280" w:after="80"/>
      </w:pPr>
      <w:r>
        <w:rPr>
          <w:b/>
          <w:i w:val="0"/>
          <w:sz w:val="24"/>
        </w:rPr>
        <w:t>Приложение Г. График выручки B2B/B2C</w:t>
      </w:r>
    </w:p>
    <w:p>
      <w:pPr>
        <w:spacing w:before="120" w:after="120"/>
      </w:pPr>
      <w:r>
        <w:rPr>
          <w:b w:val="0"/>
          <w:i w:val="0"/>
          <w:sz w:val="20"/>
        </w:rPr>
        <w:t>Осторожный сценарий на 3 года.</w:t>
      </w:r>
    </w:p>
    <w:p>
      <w:pPr>
        <w:spacing w:before="16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53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3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</w:p>
    <w:p>
      <w:pPr>
        <w:spacing w:before="280" w:after="80"/>
      </w:pPr>
      <w:r>
        <w:rPr>
          <w:b/>
          <w:i w:val="0"/>
          <w:sz w:val="24"/>
        </w:rPr>
        <w:t>Приложение Д. Структура каналов монетизации (год 3)</w:t>
      </w:r>
    </w:p>
    <w:p>
      <w:pPr>
        <w:spacing w:before="120" w:after="120"/>
      </w:pPr>
      <w:r>
        <w:rPr>
          <w:b w:val="0"/>
          <w:i w:val="0"/>
          <w:sz w:val="20"/>
        </w:rPr>
        <w:t>Доля выручки по каналам.</w:t>
      </w:r>
    </w:p>
    <w:p>
      <w:pPr>
        <w:spacing w:before="16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5906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hann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590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</w:pPr>
    </w:p>
    <w:p w14:paraId="1D79D9A0" w14:textId="77777777" w:rsidR="00CE55DF" w:rsidRPr="00CE5679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CE5679">
        <w:rPr>
          <w:rFonts w:ascii="Times New Roman" w:hAnsi="Times New Roman"/>
          <w:sz w:val="24"/>
          <w:szCs w:val="24"/>
        </w:rPr>
        <w:t xml:space="preserve">Участник конкурса </w:t>
      </w:r>
      <w:r>
        <w:rPr>
          <w:rFonts w:ascii="Times New Roman" w:hAnsi="Times New Roman"/>
          <w:sz w:val="24"/>
          <w:szCs w:val="24"/>
        </w:rPr>
        <w:t xml:space="preserve">   </w:t>
      </w:r>
      <w:r w:rsidRPr="00CE5679">
        <w:rPr>
          <w:rFonts w:ascii="Times New Roman" w:hAnsi="Times New Roman"/>
          <w:sz w:val="24"/>
          <w:szCs w:val="24"/>
        </w:rPr>
        <w:t>_______________________</w:t>
      </w:r>
      <w:r>
        <w:rPr>
          <w:rFonts w:ascii="Times New Roman" w:hAnsi="Times New Roman"/>
          <w:sz w:val="24"/>
          <w:szCs w:val="24"/>
        </w:rPr>
        <w:t xml:space="preserve">            _______________</w:t>
      </w:r>
    </w:p>
    <w:p w14:paraId="669E8C31" w14:textId="77777777" w:rsidR="00CE55DF" w:rsidRPr="00623934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</w:t>
      </w:r>
      <w:r w:rsidRPr="00623934">
        <w:rPr>
          <w:rFonts w:ascii="Times New Roman" w:hAnsi="Times New Roman"/>
          <w:sz w:val="20"/>
          <w:szCs w:val="20"/>
        </w:rPr>
        <w:t>(подпись)</w:t>
      </w:r>
      <w:r w:rsidRPr="00623934"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 w:rsidRPr="00623934">
        <w:rPr>
          <w:rFonts w:ascii="Times New Roman" w:hAnsi="Times New Roman"/>
          <w:sz w:val="20"/>
          <w:szCs w:val="20"/>
        </w:rPr>
        <w:t>(инициалы, фамилия)</w:t>
      </w:r>
    </w:p>
    <w:p w14:paraId="4D52C142" w14:textId="77777777" w:rsidR="00671D8A" w:rsidRDefault="00671D8A" w:rsidP="00CE55DF">
      <w:pPr>
        <w:widowControl w:val="0"/>
        <w:autoSpaceDE w:val="0"/>
        <w:autoSpaceDN w:val="0"/>
        <w:adjustRightInd w:val="0"/>
        <w:spacing w:after="0" w:line="240" w:lineRule="auto"/>
        <w:ind w:left="2124" w:firstLine="708"/>
        <w:rPr>
          <w:rFonts w:ascii="Times New Roman" w:hAnsi="Times New Roman"/>
          <w:sz w:val="20"/>
          <w:szCs w:val="20"/>
        </w:rPr>
      </w:pPr>
    </w:p>
    <w:p w14:paraId="04CFBBCC" w14:textId="3CB6D694" w:rsidR="00CE55DF" w:rsidRPr="00623934" w:rsidRDefault="00671D8A" w:rsidP="00CE55DF">
      <w:pPr>
        <w:widowControl w:val="0"/>
        <w:autoSpaceDE w:val="0"/>
        <w:autoSpaceDN w:val="0"/>
        <w:adjustRightInd w:val="0"/>
        <w:spacing w:after="0" w:line="240" w:lineRule="auto"/>
        <w:ind w:left="2124" w:firstLine="70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</w:t>
      </w:r>
      <w:r w:rsidR="00CE55DF">
        <w:rPr>
          <w:rFonts w:ascii="Times New Roman" w:hAnsi="Times New Roman"/>
          <w:sz w:val="20"/>
          <w:szCs w:val="20"/>
        </w:rPr>
        <w:t>М.П</w:t>
      </w:r>
      <w:r w:rsidR="00CE55DF" w:rsidRPr="00623934">
        <w:rPr>
          <w:rFonts w:ascii="Times New Roman" w:hAnsi="Times New Roman"/>
          <w:sz w:val="20"/>
          <w:szCs w:val="20"/>
        </w:rPr>
        <w:t>.</w:t>
      </w:r>
      <w:r w:rsidR="00CE55DF">
        <w:rPr>
          <w:rFonts w:ascii="Times New Roman" w:hAnsi="Times New Roman"/>
          <w:sz w:val="20"/>
          <w:szCs w:val="20"/>
        </w:rPr>
        <w:t>*</w:t>
      </w:r>
    </w:p>
    <w:p w14:paraId="306432A3" w14:textId="77777777" w:rsidR="00CE55DF" w:rsidRDefault="00CE55DF" w:rsidP="00CE55DF">
      <w:pPr>
        <w:widowControl w:val="0"/>
        <w:autoSpaceDE w:val="0"/>
        <w:autoSpaceDN w:val="0"/>
        <w:adjustRightInd w:val="0"/>
        <w:spacing w:after="0" w:line="240" w:lineRule="auto"/>
        <w:ind w:left="2124" w:firstLine="708"/>
        <w:rPr>
          <w:rFonts w:ascii="Times New Roman" w:hAnsi="Times New Roman"/>
          <w:sz w:val="20"/>
          <w:szCs w:val="20"/>
        </w:rPr>
      </w:pPr>
    </w:p>
    <w:p w14:paraId="0EF77388" w14:textId="77777777" w:rsidR="00CE55DF" w:rsidRDefault="00CE55DF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4617D37D" w14:textId="77777777" w:rsidR="00CE55DF" w:rsidRDefault="00CE55DF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1B194D43" w14:textId="77777777" w:rsidR="00CE55DF" w:rsidRDefault="00CE55DF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34B5B791" w14:textId="77777777" w:rsidR="00CE55DF" w:rsidRDefault="00CE55DF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3A50004E" w14:textId="30754DF7" w:rsidR="00CE55DF" w:rsidRDefault="00CE55DF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1F3CBD9F" w14:textId="78433BC6" w:rsidR="00F32985" w:rsidRDefault="00F32985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465911EA" w14:textId="77777777" w:rsidR="00F32985" w:rsidRDefault="00F32985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2A2886E1" w14:textId="77777777" w:rsidR="00CE55DF" w:rsidRDefault="00CE55DF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216624EB" w14:textId="77777777" w:rsidR="00671D8A" w:rsidRDefault="00671D8A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16DB13B6" w14:textId="77777777" w:rsidR="00671D8A" w:rsidRDefault="00671D8A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47960BA0" w14:textId="77777777" w:rsidR="00671D8A" w:rsidRDefault="00671D8A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2111058A" w14:textId="77777777" w:rsidR="00671D8A" w:rsidRDefault="00671D8A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2F9DFAFB" w14:textId="77777777" w:rsidR="00671D8A" w:rsidRDefault="00671D8A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007AECF7" w14:textId="77777777" w:rsidR="00671D8A" w:rsidRDefault="00671D8A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</w:p>
    <w:p w14:paraId="6FCB37B5" w14:textId="77777777" w:rsidR="00CE55DF" w:rsidRDefault="00CE55DF" w:rsidP="00CE55DF">
      <w:pPr>
        <w:spacing w:after="0" w:line="240" w:lineRule="auto"/>
        <w:jc w:val="both"/>
        <w:rPr>
          <w:rFonts w:ascii="Times New Roman" w:hAnsi="Times New Roman"/>
          <w:sz w:val="30"/>
          <w:szCs w:val="30"/>
          <w:lang w:eastAsia="en-US"/>
        </w:rPr>
      </w:pPr>
      <w:r>
        <w:rPr>
          <w:rFonts w:ascii="Times New Roman" w:hAnsi="Times New Roman"/>
          <w:sz w:val="30"/>
          <w:szCs w:val="30"/>
          <w:lang w:eastAsia="en-US"/>
        </w:rPr>
        <w:t>________________________________</w:t>
      </w:r>
      <w:r w:rsidRPr="00975321">
        <w:rPr>
          <w:rFonts w:ascii="Times New Roman" w:hAnsi="Times New Roman"/>
          <w:sz w:val="30"/>
          <w:szCs w:val="30"/>
          <w:lang w:eastAsia="en-US"/>
        </w:rPr>
        <w:t xml:space="preserve"> </w:t>
      </w:r>
    </w:p>
    <w:p w14:paraId="62251004" w14:textId="77777777" w:rsidR="00FA7855" w:rsidRPr="00CE55DF" w:rsidRDefault="00CE55DF" w:rsidP="00CE55DF">
      <w:pPr>
        <w:pStyle w:val="ConsPlusNormal"/>
        <w:ind w:firstLine="709"/>
        <w:jc w:val="both"/>
      </w:pPr>
      <w:r>
        <w:rPr>
          <w:rFonts w:ascii="Times New Roman" w:hAnsi="Times New Roman" w:cs="Calibri"/>
          <w:spacing w:val="-8"/>
          <w:sz w:val="24"/>
        </w:rPr>
        <w:t>*</w:t>
      </w:r>
      <w:r w:rsidRPr="00A0557F">
        <w:rPr>
          <w:rFonts w:ascii="Times New Roman" w:hAnsi="Times New Roman" w:cs="Calibri"/>
          <w:spacing w:val="-8"/>
          <w:sz w:val="24"/>
        </w:rPr>
        <w:t>Заверяется печатью юридического лица. Печать может не проставляться организациями, которые в соответствии с законодательными актами вправе не использовать печати.</w:t>
      </w:r>
    </w:p>
    <w:sectPr w:rsidR="00FA7855" w:rsidRPr="00CE55DF" w:rsidSect="00671D8A">
      <w:pgSz w:w="11906" w:h="16838"/>
      <w:pgMar w:top="1134" w:right="566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7E9"/>
    <w:multiLevelType w:val="hybridMultilevel"/>
    <w:tmpl w:val="92C8AB08"/>
    <w:lvl w:ilvl="0" w:tplc="BA643974">
      <w:start w:val="1"/>
      <w:numFmt w:val="decimal"/>
      <w:suff w:val="space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8103EEF"/>
    <w:multiLevelType w:val="hybridMultilevel"/>
    <w:tmpl w:val="145C61E2"/>
    <w:lvl w:ilvl="0" w:tplc="57FAA2B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50690789">
    <w:abstractNumId w:val="1"/>
  </w:num>
  <w:num w:numId="2" w16cid:durableId="184670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AB"/>
    <w:rsid w:val="000D53AB"/>
    <w:rsid w:val="00275B31"/>
    <w:rsid w:val="003312FB"/>
    <w:rsid w:val="004E62D3"/>
    <w:rsid w:val="00671D8A"/>
    <w:rsid w:val="00975954"/>
    <w:rsid w:val="00CE55DF"/>
    <w:rsid w:val="00DF2AAD"/>
    <w:rsid w:val="00E32C96"/>
    <w:rsid w:val="00F32985"/>
    <w:rsid w:val="00FA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31412"/>
  <w15:chartTrackingRefBased/>
  <w15:docId w15:val="{11F08F47-84E1-4EF4-A9C4-68CF5629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3AB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D53A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table" w:styleId="a3">
    <w:name w:val="Table Grid"/>
    <w:basedOn w:val="a1"/>
    <w:uiPriority w:val="39"/>
    <w:rsid w:val="000D53AB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1433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5</cp:revision>
  <dcterms:created xsi:type="dcterms:W3CDTF">2021-05-19T08:05:00Z</dcterms:created>
  <dcterms:modified xsi:type="dcterms:W3CDTF">2025-01-13T08:42:00Z</dcterms:modified>
</cp:coreProperties>
</file>