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rFonts w:eastAsia="Arial" w:cs="Arial"/>
          <w:b/>
          <w:bCs/>
          <w:color w:val="1F4E79"/>
          <w:sz w:val="56"/>
          <w:szCs w:val="56"/>
        </w:rPr>
        <w:t>GROUPE RETAIL HORIZON</w:t>
      </w:r>
    </w:p>
    <w:p>
      <w:pPr>
        <w:pStyle w:val="Normal"/>
        <w:spacing w:before="600" w:after="0"/>
        <w:rPr/>
      </w:pPr>
      <w:r>
        <w:rPr/>
      </w:r>
    </w:p>
    <w:p>
      <w:pPr>
        <w:pStyle w:val="Normal"/>
        <w:jc w:val="center"/>
        <w:rPr/>
      </w:pPr>
      <w:r>
        <w:rPr>
          <w:rFonts w:eastAsia="Arial" w:cs="Arial"/>
          <w:b/>
          <w:bCs/>
          <w:color w:val="2E75B6"/>
          <w:sz w:val="44"/>
          <w:szCs w:val="44"/>
        </w:rPr>
        <w:t>CAHIER DES CHARGES</w:t>
      </w:r>
    </w:p>
    <w:p>
      <w:pPr>
        <w:pStyle w:val="Normal"/>
        <w:spacing w:before="200" w:after="0"/>
        <w:jc w:val="center"/>
        <w:rPr/>
      </w:pPr>
      <w:r>
        <w:rPr>
          <w:rFonts w:eastAsia="Arial" w:cs="Arial"/>
          <w:color w:val="404040"/>
          <w:sz w:val="36"/>
          <w:szCs w:val="36"/>
        </w:rPr>
        <w:t>Appel d'Offres pour la Sélection d'un ERP</w:t>
      </w:r>
    </w:p>
    <w:p>
      <w:pPr>
        <w:pStyle w:val="Normal"/>
        <w:spacing w:before="100" w:after="0"/>
        <w:jc w:val="center"/>
        <w:rPr/>
      </w:pPr>
      <w:r>
        <w:rPr>
          <w:rFonts w:eastAsia="Arial" w:cs="Arial"/>
          <w:color w:val="404040"/>
          <w:sz w:val="36"/>
          <w:szCs w:val="36"/>
        </w:rPr>
        <w:t>Retail et Commerce International</w:t>
      </w:r>
    </w:p>
    <w:p>
      <w:pPr>
        <w:pStyle w:val="Normal"/>
        <w:spacing w:before="800" w:after="0"/>
        <w:rPr/>
      </w:pPr>
      <w:r>
        <w:rPr/>
      </w:r>
    </w:p>
    <w:p>
      <w:pPr>
        <w:pStyle w:val="Normal"/>
        <w:jc w:val="center"/>
        <w:rPr/>
      </w:pPr>
      <w:r>
        <w:rPr>
          <w:rFonts w:eastAsia="Arial" w:cs="Arial"/>
          <w:b/>
          <w:bCs/>
          <w:sz w:val="24"/>
          <w:szCs w:val="24"/>
        </w:rPr>
        <w:t>Référence : AO-2026-ERP-001</w:t>
      </w:r>
    </w:p>
    <w:p>
      <w:pPr>
        <w:pStyle w:val="Normal"/>
        <w:spacing w:before="200" w:after="0"/>
        <w:jc w:val="center"/>
        <w:rPr/>
      </w:pPr>
      <w:r>
        <w:rPr>
          <w:rFonts w:eastAsia="Arial" w:cs="Arial"/>
          <w:sz w:val="22"/>
          <w:szCs w:val="22"/>
        </w:rPr>
        <w:t>Version 1.0 - Janvier 2026</w:t>
      </w:r>
    </w:p>
    <w:p>
      <w:pPr>
        <w:pStyle w:val="Normal"/>
        <w:spacing w:before="1500" w:after="0"/>
        <w:rPr/>
      </w:pPr>
      <w:r>
        <w:rPr/>
      </w:r>
    </w:p>
    <w:tbl>
      <w:tblPr>
        <w:tblW w:w="3000" w:type="pct"/>
        <w:jc w:val="center"/>
        <w:tblInd w:w="0" w:type="dxa"/>
        <w:tblLayout w:type="fixed"/>
        <w:tblCellMar>
          <w:top w:w="100" w:type="dxa"/>
          <w:left w:w="200" w:type="dxa"/>
          <w:bottom w:w="100" w:type="dxa"/>
          <w:right w:w="200" w:type="dxa"/>
        </w:tblCellMar>
      </w:tblPr>
      <w:tblGrid>
        <w:gridCol w:w="5415"/>
      </w:tblGrid>
      <w:tr>
        <w:trPr/>
        <w:tc>
          <w:tcPr>
            <w:tcW w:w="5415" w:type="dxa"/>
            <w:tcBorders>
              <w:top w:val="single" w:sz="2" w:space="0" w:color="1F4E79"/>
              <w:bottom w:val="single" w:sz="2" w:space="0" w:color="1F4E79"/>
            </w:tcBorders>
          </w:tcPr>
          <w:p>
            <w:pPr>
              <w:pStyle w:val="Normal"/>
              <w:jc w:val="center"/>
              <w:rPr/>
            </w:pPr>
            <w:r>
              <w:rPr>
                <w:rFonts w:eastAsia="Arial" w:cs="Arial"/>
                <w:b/>
                <w:bCs/>
                <w:color w:val="C00000"/>
                <w:sz w:val="20"/>
                <w:szCs w:val="20"/>
              </w:rPr>
              <w:t>DOCUMENT STRICTEMENT CONFIDENTIEL</w:t>
            </w:r>
          </w:p>
          <w:p>
            <w:pPr>
              <w:pStyle w:val="Normal"/>
              <w:spacing w:before="100" w:after="0"/>
              <w:jc w:val="center"/>
              <w:rPr/>
            </w:pPr>
            <w:r>
              <w:rPr>
                <w:rFonts w:eastAsia="Arial" w:cs="Arial"/>
                <w:i/>
                <w:iCs/>
                <w:sz w:val="18"/>
                <w:szCs w:val="18"/>
              </w:rPr>
              <w:t>Diffusion restreinte aux seuls destinataires autorisés</w:t>
            </w:r>
          </w:p>
        </w:tc>
      </w:tr>
    </w:tbl>
    <w:p>
      <w:pPr>
        <w:pStyle w:val="Normal"/>
        <w:rPr/>
      </w:pPr>
      <w:r>
        <w:rPr/>
      </w:r>
      <w:r>
        <w:br w:type="page"/>
      </w:r>
    </w:p>
    <w:p>
      <w:pPr>
        <w:pStyle w:val="Heading1"/>
        <w:spacing w:before="0" w:after="200"/>
        <w:rPr/>
      </w:pPr>
      <w:r>
        <w:rPr/>
        <w:t>Table des Matières</w:t>
      </w:r>
    </w:p>
    <w:p>
      <w:pPr>
        <w:pStyle w:val="Normal"/>
        <w:spacing w:before="200" w:after="0"/>
        <w:rPr/>
      </w:pPr>
      <w:r>
        <w:rPr/>
      </w:r>
    </w:p>
    <w:p>
      <w:pPr>
        <w:pStyle w:val="Normal"/>
        <w:spacing w:before="200" w:after="0"/>
        <w:rPr/>
      </w:pPr>
      <w:r>
        <w:rPr>
          <w:b/>
          <w:bCs/>
          <w:sz w:val="24"/>
          <w:szCs w:val="24"/>
        </w:rPr>
        <w:t>1. Préambule et Cadre Général de la Consultation</w:t>
      </w:r>
    </w:p>
    <w:p>
      <w:pPr>
        <w:pStyle w:val="Normal"/>
        <w:ind w:left="720"/>
        <w:rPr/>
      </w:pPr>
      <w:r>
        <w:rPr>
          <w:sz w:val="22"/>
          <w:szCs w:val="22"/>
        </w:rPr>
        <w:t>1.1 Objet de l'Appel d'Offres (AO) N° AO-2026-ERP-001</w:t>
      </w:r>
    </w:p>
    <w:p>
      <w:pPr>
        <w:pStyle w:val="Normal"/>
        <w:ind w:left="720"/>
        <w:rPr/>
      </w:pPr>
      <w:r>
        <w:rPr>
          <w:sz w:val="22"/>
          <w:szCs w:val="22"/>
        </w:rPr>
        <w:t>1.2 Identification de l'entité contractante et du contact référent</w:t>
      </w:r>
    </w:p>
    <w:p>
      <w:pPr>
        <w:pStyle w:val="Normal"/>
        <w:ind w:left="720"/>
        <w:rPr/>
      </w:pPr>
      <w:r>
        <w:rPr>
          <w:sz w:val="22"/>
          <w:szCs w:val="22"/>
        </w:rPr>
        <w:t>1.3 Contexte et confidentialité du présent document</w:t>
      </w:r>
    </w:p>
    <w:p>
      <w:pPr>
        <w:pStyle w:val="Normal"/>
        <w:ind w:left="720"/>
        <w:rPr/>
      </w:pPr>
      <w:r>
        <w:rPr>
          <w:sz w:val="22"/>
          <w:szCs w:val="22"/>
        </w:rPr>
        <w:t>1.4 Glossaire des acronymes et définitions</w:t>
      </w:r>
    </w:p>
    <w:p>
      <w:pPr>
        <w:pStyle w:val="Normal"/>
        <w:spacing w:before="200" w:after="0"/>
        <w:rPr/>
      </w:pPr>
      <w:r>
        <w:rPr>
          <w:b/>
          <w:bCs/>
          <w:sz w:val="24"/>
          <w:szCs w:val="24"/>
        </w:rPr>
        <w:t>2. Présentation de la Société et de la Stratégie du Projet</w:t>
      </w:r>
    </w:p>
    <w:p>
      <w:pPr>
        <w:pStyle w:val="Normal"/>
        <w:ind w:left="720"/>
        <w:rPr/>
      </w:pPr>
      <w:r>
        <w:rPr>
          <w:sz w:val="22"/>
          <w:szCs w:val="22"/>
        </w:rPr>
        <w:t>2.1 Qui sommes-nous : activité, chiffres clés et ambitions</w:t>
      </w:r>
    </w:p>
    <w:p>
      <w:pPr>
        <w:pStyle w:val="Normal"/>
        <w:ind w:left="1080"/>
        <w:rPr/>
      </w:pPr>
      <w:r>
        <w:rPr>
          <w:sz w:val="22"/>
          <w:szCs w:val="22"/>
        </w:rPr>
        <w:t>2.1.1 Notre positionnement dans le secteur du retail</w:t>
      </w:r>
    </w:p>
    <w:p>
      <w:pPr>
        <w:pStyle w:val="Normal"/>
        <w:ind w:left="1080"/>
        <w:rPr/>
      </w:pPr>
      <w:r>
        <w:rPr>
          <w:sz w:val="22"/>
          <w:szCs w:val="22"/>
        </w:rPr>
        <w:t>2.1.2 Nos spécificités liées au commerce international</w:t>
      </w:r>
    </w:p>
    <w:p>
      <w:pPr>
        <w:pStyle w:val="Normal"/>
        <w:ind w:left="720"/>
        <w:rPr/>
      </w:pPr>
      <w:r>
        <w:rPr>
          <w:sz w:val="22"/>
          <w:szCs w:val="22"/>
        </w:rPr>
        <w:t>2.2 Le projet de renouvellement ERP : vision et objectifs stratégiques</w:t>
      </w:r>
    </w:p>
    <w:p>
      <w:pPr>
        <w:pStyle w:val="Normal"/>
        <w:ind w:left="1080"/>
        <w:rPr/>
      </w:pPr>
      <w:r>
        <w:rPr>
          <w:sz w:val="22"/>
          <w:szCs w:val="22"/>
        </w:rPr>
        <w:t>2.2.1 Ambitions métiers : optimisation, croissance et expérience client</w:t>
      </w:r>
    </w:p>
    <w:p>
      <w:pPr>
        <w:pStyle w:val="Normal"/>
        <w:ind w:left="1080"/>
        <w:rPr/>
      </w:pPr>
      <w:r>
        <w:rPr>
          <w:sz w:val="22"/>
          <w:szCs w:val="22"/>
        </w:rPr>
        <w:t>2.2.2 Objectifs techniques : modernisation, sécurité et rationalisation</w:t>
      </w:r>
    </w:p>
    <w:p>
      <w:pPr>
        <w:pStyle w:val="Normal"/>
        <w:ind w:left="720"/>
        <w:rPr/>
      </w:pPr>
      <w:r>
        <w:rPr>
          <w:sz w:val="22"/>
          <w:szCs w:val="22"/>
        </w:rPr>
        <w:t>2.3 Description de l'environnement technologique et fonctionnel existant</w:t>
      </w:r>
    </w:p>
    <w:p>
      <w:pPr>
        <w:pStyle w:val="Normal"/>
        <w:ind w:left="1080"/>
        <w:rPr/>
      </w:pPr>
      <w:r>
        <w:rPr>
          <w:sz w:val="22"/>
          <w:szCs w:val="22"/>
        </w:rPr>
        <w:t>2.3.1 Cartographie applicative et description de l'ERP actuel</w:t>
      </w:r>
    </w:p>
    <w:p>
      <w:pPr>
        <w:pStyle w:val="Normal"/>
        <w:ind w:left="1080"/>
        <w:rPr/>
      </w:pPr>
      <w:r>
        <w:rPr>
          <w:sz w:val="22"/>
          <w:szCs w:val="22"/>
        </w:rPr>
        <w:t>2.3.2 Limites et points de friction identifiés justifiant le projet</w:t>
      </w:r>
    </w:p>
    <w:p>
      <w:pPr>
        <w:pStyle w:val="Normal"/>
        <w:spacing w:before="200" w:after="0"/>
        <w:rPr/>
      </w:pPr>
      <w:r>
        <w:rPr>
          <w:b/>
          <w:bCs/>
          <w:sz w:val="24"/>
          <w:szCs w:val="24"/>
        </w:rPr>
        <w:t>3. Spécifications Détaillées des Besoins (Cahier des Charges)</w:t>
      </w:r>
    </w:p>
    <w:p>
      <w:pPr>
        <w:pStyle w:val="Normal"/>
        <w:ind w:left="720"/>
        <w:rPr/>
      </w:pPr>
      <w:r>
        <w:rPr>
          <w:sz w:val="22"/>
          <w:szCs w:val="22"/>
        </w:rPr>
        <w:t>3.1 Périmètre fonctionnel</w:t>
      </w:r>
    </w:p>
    <w:p>
      <w:pPr>
        <w:pStyle w:val="Normal"/>
        <w:ind w:left="720"/>
        <w:rPr/>
      </w:pPr>
      <w:r>
        <w:rPr>
          <w:sz w:val="22"/>
          <w:szCs w:val="22"/>
        </w:rPr>
        <w:t>3.2 Exigences non-fonctionnelles</w:t>
      </w:r>
    </w:p>
    <w:p>
      <w:pPr>
        <w:pStyle w:val="Normal"/>
        <w:ind w:left="720"/>
        <w:rPr/>
      </w:pPr>
      <w:r>
        <w:rPr>
          <w:sz w:val="22"/>
          <w:szCs w:val="22"/>
        </w:rPr>
        <w:t>3.3 Exigences techniques et d'architecture</w:t>
      </w:r>
    </w:p>
    <w:p>
      <w:pPr>
        <w:pStyle w:val="Normal"/>
        <w:ind w:left="720"/>
        <w:rPr/>
      </w:pPr>
      <w:r>
        <w:rPr>
          <w:sz w:val="22"/>
          <w:szCs w:val="22"/>
        </w:rPr>
        <w:t>3.4 Exigences de sécurité et de conformité réglementaire</w:t>
      </w:r>
    </w:p>
    <w:p>
      <w:pPr>
        <w:pStyle w:val="Normal"/>
        <w:spacing w:before="200" w:after="0"/>
        <w:rPr/>
      </w:pPr>
      <w:r>
        <w:rPr>
          <w:b/>
          <w:bCs/>
          <w:sz w:val="24"/>
          <w:szCs w:val="24"/>
        </w:rPr>
        <w:t>4. Modalités de la Procédure d'Appel d'Offres</w:t>
      </w:r>
    </w:p>
    <w:p>
      <w:pPr>
        <w:pStyle w:val="Normal"/>
        <w:ind w:left="720"/>
        <w:rPr/>
      </w:pPr>
      <w:r>
        <w:rPr>
          <w:sz w:val="22"/>
          <w:szCs w:val="22"/>
        </w:rPr>
        <w:t>4.1 Organisation et déroulement de la consultation</w:t>
      </w:r>
    </w:p>
    <w:p>
      <w:pPr>
        <w:pStyle w:val="Normal"/>
        <w:ind w:left="720"/>
        <w:rPr/>
      </w:pPr>
      <w:r>
        <w:rPr>
          <w:sz w:val="22"/>
          <w:szCs w:val="22"/>
        </w:rPr>
        <w:t>4.2 Instructions pour la préparation et la soumission des propositions</w:t>
      </w:r>
    </w:p>
    <w:p>
      <w:pPr>
        <w:pStyle w:val="Normal"/>
        <w:ind w:left="720"/>
        <w:rPr/>
      </w:pPr>
      <w:r>
        <w:rPr>
          <w:sz w:val="22"/>
          <w:szCs w:val="22"/>
        </w:rPr>
        <w:t>4.3 Processus d'évaluation et critères de sélection</w:t>
      </w:r>
    </w:p>
    <w:p>
      <w:pPr>
        <w:pStyle w:val="Normal"/>
        <w:spacing w:before="200" w:after="0"/>
        <w:rPr/>
      </w:pPr>
      <w:r>
        <w:rPr>
          <w:b/>
          <w:bCs/>
          <w:sz w:val="24"/>
          <w:szCs w:val="24"/>
        </w:rPr>
        <w:t>5. Cadre Contractuel, Financier et Partenariat</w:t>
      </w:r>
    </w:p>
    <w:p>
      <w:pPr>
        <w:pStyle w:val="Normal"/>
        <w:ind w:left="720"/>
        <w:rPr/>
      </w:pPr>
      <w:r>
        <w:rPr>
          <w:sz w:val="22"/>
          <w:szCs w:val="22"/>
        </w:rPr>
        <w:t>5.1 Exigences relatives à la proposition financière</w:t>
      </w:r>
    </w:p>
    <w:p>
      <w:pPr>
        <w:pStyle w:val="Normal"/>
        <w:ind w:left="720"/>
        <w:rPr/>
      </w:pPr>
      <w:r>
        <w:rPr>
          <w:sz w:val="22"/>
          <w:szCs w:val="22"/>
        </w:rPr>
        <w:t>5.2 Clauses contractuelles et juridiques</w:t>
      </w:r>
    </w:p>
    <w:p>
      <w:pPr>
        <w:pStyle w:val="Normal"/>
        <w:ind w:left="720"/>
        <w:rPr/>
      </w:pPr>
      <w:r>
        <w:rPr>
          <w:sz w:val="22"/>
          <w:szCs w:val="22"/>
        </w:rPr>
        <w:t>5.3 Exigences relatives au partenariat et à la mise en œuvre</w:t>
      </w:r>
    </w:p>
    <w:p>
      <w:pPr>
        <w:pStyle w:val="Normal"/>
        <w:spacing w:before="200" w:after="0"/>
        <w:rPr/>
      </w:pPr>
      <w:r>
        <w:rPr>
          <w:b/>
          <w:bCs/>
          <w:sz w:val="24"/>
          <w:szCs w:val="24"/>
        </w:rPr>
        <w:t>6. Annexes</w:t>
      </w:r>
    </w:p>
    <w:p>
      <w:pPr>
        <w:pStyle w:val="Normal"/>
        <w:ind w:left="720"/>
        <w:rPr/>
      </w:pPr>
      <w:r>
        <w:rPr>
          <w:sz w:val="22"/>
          <w:szCs w:val="22"/>
        </w:rPr>
        <w:t>6.1 Annexe A : Cahier des exigences fonctionnelles</w:t>
      </w:r>
    </w:p>
    <w:p>
      <w:pPr>
        <w:pStyle w:val="Normal"/>
        <w:ind w:left="720"/>
        <w:rPr/>
      </w:pPr>
      <w:r>
        <w:rPr>
          <w:sz w:val="22"/>
          <w:szCs w:val="22"/>
        </w:rPr>
        <w:t>6.2 Annexe B : Schémas d'architecture du SI cible et existant</w:t>
      </w:r>
    </w:p>
    <w:p>
      <w:pPr>
        <w:pStyle w:val="Normal"/>
        <w:ind w:left="720"/>
        <w:rPr/>
      </w:pPr>
      <w:r>
        <w:rPr>
          <w:sz w:val="22"/>
          <w:szCs w:val="22"/>
        </w:rPr>
        <w:t>6.3 Annexe C : Matrice de conformité sécurité et RGPD</w:t>
      </w:r>
    </w:p>
    <w:p>
      <w:pPr>
        <w:pStyle w:val="Normal"/>
        <w:ind w:left="720"/>
        <w:rPr/>
      </w:pPr>
      <w:r>
        <w:rPr>
          <w:sz w:val="22"/>
          <w:szCs w:val="22"/>
        </w:rPr>
        <w:t>6.4 Annexe D : Modèle de réponse pour la proposition financière</w:t>
      </w:r>
    </w:p>
    <w:p>
      <w:pPr>
        <w:pStyle w:val="Normal"/>
        <w:rPr/>
      </w:pPr>
      <w:r>
        <w:rPr/>
      </w:r>
      <w:r>
        <w:br w:type="page"/>
      </w:r>
    </w:p>
    <w:p>
      <w:pPr>
        <w:pStyle w:val="Heading1"/>
        <w:spacing w:before="0" w:after="200"/>
        <w:rPr/>
      </w:pPr>
      <w:r>
        <w:rPr/>
        <w:t>1. Préambule et Cadre Général de la Consultation</w:t>
      </w:r>
    </w:p>
    <w:p>
      <w:pPr>
        <w:pStyle w:val="Heading2"/>
        <w:rPr/>
      </w:pPr>
      <w:r>
        <w:rPr/>
        <w:t>1.1 Objet de l'Appel d'Offres (AO) N° AO-2026-ERP-001</w:t>
      </w:r>
    </w:p>
    <w:p>
      <w:pPr>
        <w:pStyle w:val="Normal"/>
        <w:spacing w:before="120" w:after="120"/>
        <w:rPr/>
      </w:pPr>
      <w:r>
        <w:rPr/>
        <w:t>Le présent appel d'offres a pour objet la sélection d'un progiciel de gestion intégré (ERP) destiné à remplacer l'ensemble des solutions actuellement en place au sein du Groupe Retail Horizon. Cette consultation vise à identifier un partenaire éditeur capable de proposer une solution complète, évolutive et parfaitement adaptée aux exigences spécifiques du secteur du retail et du commerce international.</w:t>
      </w:r>
    </w:p>
    <w:p>
      <w:pPr>
        <w:pStyle w:val="Normal"/>
        <w:spacing w:before="120" w:after="120"/>
        <w:rPr/>
      </w:pPr>
      <w:r>
        <w:rPr/>
        <w:t>Le périmètre de cet appel d'offres couvre l'intégralité de la chaîne de valeur de notre activité, depuis la gestion des approvisionnements et des achats jusqu'à la relation client finale, en passant par la logistique, la comptabilité multi-pays et le pilotage décisionnel. La solution recherchée devra impérativement supporter un environnement omnicanal intégrant nos 347 points de vente physiques, notre plateforme e-commerce et nos activités de marketplace B2B.</w:t>
      </w:r>
    </w:p>
    <w:p>
      <w:pPr>
        <w:pStyle w:val="Normal"/>
        <w:spacing w:before="120" w:after="120"/>
        <w:rPr/>
      </w:pPr>
      <w:r>
        <w:rPr/>
        <w:t>L'objectif stratégique de cette démarche est de doter le Groupe Retail Horizon d'un outil de gestion unifié permettant d'accompagner notre plan de croissance à cinq ans, qui prévoit une expansion significative sur les marchés européens et asiatiques. La solution retenue devra démontrer sa capacité à gérer des volumétries importantes, avec un objectif de traitement de plus de 15 millions de lignes de commandes annuelles et une gestion de catalogue produits dépassant les 200 000 références actives.</w:t>
      </w:r>
    </w:p>
    <w:p>
      <w:pPr>
        <w:pStyle w:val="Normal"/>
        <w:spacing w:before="120" w:after="120"/>
        <w:rPr/>
      </w:pPr>
      <w:r>
        <w:rPr/>
        <w:t>Ce cahier des charges constitue le document de référence qui régira l'ensemble de la procédure de consultation. Il définit de manière exhaustive les besoins fonctionnels et techniques, les modalités de réponse attendues, ainsi que les critères d'évaluation qui permettront de sélectionner le partenaire le plus adapté à nos enjeux. Les candidats sont invités à prendre connaissance de l'intégralité de ce document avant de soumettre leur proposition.</w:t>
      </w:r>
    </w:p>
    <w:p>
      <w:pPr>
        <w:pStyle w:val="Normal"/>
        <w:spacing w:before="120" w:after="120"/>
        <w:rPr/>
      </w:pPr>
      <w:r>
        <w:rPr/>
        <w:t>Le budget prévisionnel alloué à ce projet, incluant les licences, les services d'intégration, la formation et la maintenance sur cinq ans, est compris dans une enveloppe de 8 à 12 millions d'euros. Les candidats devront présenter une proposition financière détaillée et transparente, permettant une analyse comparative objective du coût total de possession (TCO) de leur solution.</w:t>
      </w:r>
    </w:p>
    <w:p>
      <w:pPr>
        <w:pStyle w:val="Heading2"/>
        <w:rPr/>
      </w:pPr>
      <w:r>
        <w:rPr/>
        <w:t>1.2 Identification de l'entité contractante et du contact référent</w:t>
      </w:r>
    </w:p>
    <w:p>
      <w:pPr>
        <w:pStyle w:val="Normal"/>
        <w:spacing w:before="120" w:after="120"/>
        <w:rPr/>
      </w:pPr>
      <w:r>
        <w:rPr/>
        <w:t>L'entité contractante pour le présent appel d'offres est la société Groupe Retail Horizon SA, société anonyme au capital de 45 000 000 euros, immatriculée au Registre du Commerce et des Sociétés de Paris sous le numéro 452 789 123. Le siège social est établi au 127 avenue des Champs-Élysées, 75008 Paris, France. Le Groupe Retail Horizon est un acteur majeur du commerce de détail spécialisé, présent dans 12 pays européens et 3 pays d'Asie du Sud-Est.</w:t>
      </w:r>
    </w:p>
    <w:p>
      <w:pPr>
        <w:pStyle w:val="Normal"/>
        <w:spacing w:before="120" w:after="120"/>
        <w:rPr/>
      </w:pPr>
      <w:r>
        <w:rPr/>
        <w:t>La Direction des Systèmes d'Information (DSI) du Groupe est mandatée pour conduire l'ensemble de cette procédure de consultation. Le pilotage stratégique du projet est assuré par un comité de direction impliquant la Direction Générale, la Direction Financière, la Direction Supply Chain et la Direction Commerciale, garantissant ainsi une vision transverse et alignée sur les objectifs business de l'entreprise.</w:t>
      </w:r>
    </w:p>
    <w:p>
      <w:pPr>
        <w:pStyle w:val="Normal"/>
        <w:spacing w:before="120" w:after="120"/>
        <w:rPr/>
      </w:pPr>
      <w:r>
        <w:rPr/>
        <w:t>Le contact référent unique pour toutes les communications relatives à cet appel d'offres est Monsieur Jean-Philippe MARTIN, Directeur de Programme ERP, joignable par courriel à l'adresse ao-erp@retail-horizon.com. L'ensemble des questions, demandes de clarification et documents officiels devront impérativement être adressés à ce contact exclusif. Toute communication directe avec d'autres membres du Groupe Retail Horizon pourra entraîner l'exclusion du candidat.</w:t>
      </w:r>
    </w:p>
    <w:p>
      <w:pPr>
        <w:pStyle w:val="Normal"/>
        <w:spacing w:before="120" w:after="120"/>
        <w:rPr/>
      </w:pPr>
      <w:r>
        <w:rPr/>
        <w:t>Une équipe projet dédiée a été constituée pour accompagner cette consultation. Elle comprend des représentants de chaque direction métier concernée, des architectes SI, des experts sécurité et des juristes spécialisés en droit des technologies de l'information. Cette équipe pluridisciplinaire sera mobilisée tout au long du processus d'évaluation pour garantir une analyse approfondie et objective des propositions reçues.</w:t>
      </w:r>
    </w:p>
    <w:p>
      <w:pPr>
        <w:pStyle w:val="Normal"/>
        <w:spacing w:before="120" w:after="120"/>
        <w:rPr/>
      </w:pPr>
      <w:r>
        <w:rPr/>
        <w:t>Les candidats sont informés que le Groupe Retail Horizon a mandaté le cabinet de conseil Deloitte Digital pour l'assister dans la structuration de cet appel d'offres et dans l'évaluation des réponses. Les consultants de ce cabinet sont soumis aux mêmes obligations de confidentialité que les équipes internes et interviendront de manière neutre et indépendante dans le processus de sélection.</w:t>
      </w:r>
    </w:p>
    <w:p>
      <w:pPr>
        <w:pStyle w:val="Heading2"/>
        <w:rPr/>
      </w:pPr>
      <w:r>
        <w:rPr/>
        <w:t>1.3 Contexte et confidentialité du présent document</w:t>
      </w:r>
    </w:p>
    <w:p>
      <w:pPr>
        <w:pStyle w:val="Normal"/>
        <w:spacing w:before="120" w:after="120"/>
        <w:rPr/>
      </w:pPr>
      <w:r>
        <w:rPr/>
        <w:t>Le présent cahier des charges s'inscrit dans un contexte de transformation digitale majeure pour le Groupe Retail Horizon. Notre système d'information actuel, construit progressivement au fil des acquisitions réalisées ces quinze dernières années, présente aujourd'hui une complexité qui entrave notre agilité opérationnelle et notre capacité d'innovation. L'hétérogénéité des solutions en place génère des coûts de maintenance élevés et des difficultés d'intégration qui ne sont plus compatibles avec nos ambitions de croissance.</w:t>
      </w:r>
    </w:p>
    <w:p>
      <w:pPr>
        <w:pStyle w:val="Normal"/>
        <w:spacing w:before="120" w:after="120"/>
        <w:rPr/>
      </w:pPr>
      <w:r>
        <w:rPr/>
        <w:t>Ce projet de renouvellement ERP a été validé par le Conseil d'Administration en septembre 2025 et figure parmi les priorités stratégiques du plan d'entreprise 2026-2030. Il bénéficie d'un sponsorship au plus haut niveau de l'organisation, avec un engagement fort de la Direction Générale sur les moyens alloués et l'accompagnement du changement. Cette gouvernance renforcée témoigne de l'importance accordée à la réussite de cette transformation.</w:t>
      </w:r>
    </w:p>
    <w:p>
      <w:pPr>
        <w:pStyle w:val="Normal"/>
        <w:spacing w:before="120" w:after="120"/>
        <w:rPr/>
      </w:pPr>
      <w:r>
        <w:rPr/>
        <w:t>L'ensemble des informations contenues dans ce document revêt un caractère strictement confidentiel. Les candidats destinataires de ce cahier des charges s'engagent, par le simple fait de le recevoir, à en préserver la confidentialité absolue et à ne le communiquer qu'aux seules personnes au sein de leur organisation dont l'intervention est nécessaire pour l'élaboration de leur réponse. Toute divulgation à des tiers non autorisés est formellement interdite.</w:t>
      </w:r>
    </w:p>
    <w:p>
      <w:pPr>
        <w:pStyle w:val="Normal"/>
        <w:spacing w:before="120" w:after="120"/>
        <w:rPr/>
      </w:pPr>
      <w:r>
        <w:rPr/>
        <w:t>Les informations stratégiques, financières et organisationnelles présentes dans ce document ne pourront être utilisées par les candidats que dans le cadre exclusif de leur réponse à cet appel d'offres. Elles ne sauraient être exploitées à d'autres fins, notamment commerciales ou concurrentielles. À l'issue de la consultation, les candidats non retenus devront procéder à la destruction de l'ensemble des documents et copies en leur possession.</w:t>
      </w:r>
    </w:p>
    <w:p>
      <w:pPr>
        <w:pStyle w:val="Normal"/>
        <w:spacing w:before="120" w:after="120"/>
        <w:rPr/>
      </w:pPr>
      <w:r>
        <w:rPr/>
        <w:t>Un accord de confidentialité (NDA) sera transmis aux candidats présélectionnés pour la phase de démonstration. Ce document contractuel précisera les obligations renforcées applicables lors des échanges approfondis qui auront lieu durant cette étape, notamment concernant l'accès à des données métiers détaillées et à des informations sur notre architecture système actuelle. La signature de ce NDA conditionnera la participation à la suite du processus.</w:t>
      </w:r>
    </w:p>
    <w:p>
      <w:pPr>
        <w:pStyle w:val="Normal"/>
        <w:spacing w:before="120" w:after="120"/>
        <w:rPr/>
      </w:pPr>
      <w:r>
        <w:rPr/>
        <w:t>Le Groupe Retail Horizon se réserve le droit de modifier, suspendre ou annuler la présente procédure de consultation à tout moment, sans que les candidats puissent prétendre à une quelconque indemnisation. De même, le Groupe n'est pas tenu de donner suite à cet appel d'offres et pourra décider de ne retenir aucune des propositions reçues si celles-ci ne répondent pas de manière satisfaisante aux exigences formulées.</w:t>
      </w:r>
    </w:p>
    <w:p>
      <w:pPr>
        <w:pStyle w:val="Heading2"/>
        <w:rPr/>
      </w:pPr>
      <w:r>
        <w:rPr/>
        <w:t>1.4 Glossaire des acronymes et définitions</w:t>
      </w:r>
    </w:p>
    <w:p>
      <w:pPr>
        <w:pStyle w:val="Normal"/>
        <w:spacing w:before="120" w:after="120"/>
        <w:rPr/>
      </w:pPr>
      <w:r>
        <w:rPr/>
        <w:t>Afin de faciliter la compréhension de ce cahier des charges et d'assurer une interprétation uniforme des termes employés, le présent glossaire définit les principaux acronymes et expressions techniques utilisés dans ce document. Les candidats sont invités à se référer à ces définitions en cas d'ambiguïté dans la lecture des spécifications.</w:t>
      </w:r>
    </w:p>
    <w:p>
      <w:pPr>
        <w:pStyle w:val="Normal"/>
        <w:spacing w:before="120" w:after="120"/>
        <w:rPr/>
      </w:pPr>
      <w:r>
        <w:rPr>
          <w:b/>
          <w:bCs/>
        </w:rPr>
        <w:t xml:space="preserve">ERP (Enterprise Resource Planning) : </w:t>
      </w:r>
      <w:r>
        <w:rPr/>
        <w:t>Progiciel de gestion intégré permettant de centraliser l'ensemble des processus opérationnels d'une entreprise au sein d'une base de données unique. Dans le contexte de cet appel d'offres, l'ERP désigne la solution globale recherchée, incluant l'ensemble des modules fonctionnels décrits au chapitre 3.</w:t>
      </w:r>
    </w:p>
    <w:p>
      <w:pPr>
        <w:pStyle w:val="Normal"/>
        <w:spacing w:before="120" w:after="120"/>
        <w:rPr/>
      </w:pPr>
      <w:r>
        <w:rPr>
          <w:b/>
          <w:bCs/>
        </w:rPr>
        <w:t xml:space="preserve">WMS (Warehouse Management System) : </w:t>
      </w:r>
      <w:r>
        <w:rPr/>
        <w:t>Système de gestion d'entrepôt permettant d'optimiser les opérations logistiques incluant la réception, le stockage, la préparation de commandes et l'expédition. La solution devra proposer un module WMS intégré ou une interfaçage natif avec les solutions WMS du marché.</w:t>
      </w:r>
    </w:p>
    <w:p>
      <w:pPr>
        <w:pStyle w:val="Normal"/>
        <w:spacing w:before="120" w:after="120"/>
        <w:rPr/>
      </w:pPr>
      <w:r>
        <w:rPr>
          <w:b/>
          <w:bCs/>
        </w:rPr>
        <w:t xml:space="preserve">SaaS (Software as a Service) : </w:t>
      </w:r>
      <w:r>
        <w:rPr/>
        <w:t>Modèle de déploiement Cloud dans lequel l'application est hébergée et maintenue par l'éditeur, accessible via Internet sur la base d'un abonnement. Ce modèle de déploiement est privilégié par le Groupe Retail Horizon pour sa flexibilité et sa capacité de montée en charge.</w:t>
      </w:r>
    </w:p>
    <w:p>
      <w:pPr>
        <w:pStyle w:val="Normal"/>
        <w:spacing w:before="120" w:after="120"/>
        <w:rPr/>
      </w:pPr>
      <w:r>
        <w:rPr>
          <w:b/>
          <w:bCs/>
        </w:rPr>
        <w:t xml:space="preserve">API (Application Programming Interface) : </w:t>
      </w:r>
      <w:r>
        <w:rPr/>
        <w:t>Interface de programmation permettant l'échange de données entre applications. La solution devra exposer des API REST documentées pour permettre l'intégration avec l'écosystème applicatif existant et futur du Groupe.</w:t>
      </w:r>
    </w:p>
    <w:p>
      <w:pPr>
        <w:pStyle w:val="Normal"/>
        <w:spacing w:before="120" w:after="120"/>
        <w:rPr/>
      </w:pPr>
      <w:r>
        <w:rPr>
          <w:b/>
          <w:bCs/>
        </w:rPr>
        <w:t xml:space="preserve">PRA/PCA (Plan de Reprise/Continuité d'Activité) : </w:t>
      </w:r>
      <w:r>
        <w:rPr/>
        <w:t>Ensemble des procédures et moyens techniques permettant d'assurer la continuité des opérations en cas de sinistre majeur. Les exigences de RTO (Recovery Time Objective) et RPO (Recovery Point Objective) sont détaillées dans la section 3.2.2.</w:t>
      </w:r>
    </w:p>
    <w:p>
      <w:pPr>
        <w:pStyle w:val="Normal"/>
        <w:spacing w:before="120" w:after="120"/>
        <w:rPr/>
      </w:pPr>
      <w:r>
        <w:rPr>
          <w:b/>
          <w:bCs/>
        </w:rPr>
        <w:t xml:space="preserve">TCO (Total Cost of Ownership) : </w:t>
      </w:r>
      <w:r>
        <w:rPr/>
        <w:t>Coût total de possession d'une solution sur une période donnée, incluant les coûts directs (licences, maintenance, hébergement) et indirects (formation, intégration, évolutions). L'analyse TCO sur 5 ans sera un critère déterminant dans l'évaluation des propositions financières.</w:t>
      </w:r>
    </w:p>
    <w:p>
      <w:pPr>
        <w:pStyle w:val="Normal"/>
        <w:spacing w:before="120" w:after="120"/>
        <w:rPr/>
      </w:pPr>
      <w:r>
        <w:rPr>
          <w:b/>
          <w:bCs/>
        </w:rPr>
        <w:t xml:space="preserve">RGPD (Règlement Général sur la Protection des Données) : </w:t>
      </w:r>
      <w:r>
        <w:rPr/>
        <w:t>Réglementation européenne encadrant le traitement des données personnelles. La conformité RGPD de la solution est une exigence impérative, détaillée dans la section 3.4.3 de ce document.</w:t>
      </w:r>
    </w:p>
    <w:p>
      <w:pPr>
        <w:pStyle w:val="Normal"/>
        <w:spacing w:before="120" w:after="120"/>
        <w:rPr/>
      </w:pPr>
      <w:r>
        <w:rPr>
          <w:b/>
          <w:bCs/>
        </w:rPr>
        <w:t xml:space="preserve">SLA (Service Level Agreement) : </w:t>
      </w:r>
      <w:r>
        <w:rPr/>
        <w:t>Accord de niveau de service définissant les engagements contractuels de l'éditeur en termes de disponibilité, de performance et de support. Les SLA attendus sont précisés dans la section 5.2.2.</w:t>
      </w:r>
    </w:p>
    <w:p>
      <w:pPr>
        <w:pStyle w:val="Normal"/>
        <w:spacing w:before="120" w:after="120"/>
        <w:rPr/>
      </w:pPr>
      <w:r>
        <w:rPr>
          <w:b/>
          <w:bCs/>
        </w:rPr>
        <w:t xml:space="preserve">PoC (Proof of Concept) : </w:t>
      </w:r>
      <w:r>
        <w:rPr/>
        <w:t>Démonstration technique permettant de valider la faisabilité d'une solution sur un périmètre restreint. Les candidats présélectionnés seront invités à réaliser un PoC sur des scénarios métiers représentatifs, selon les modalités définies en section 4.1.3.</w:t>
      </w:r>
    </w:p>
    <w:p>
      <w:pPr>
        <w:pStyle w:val="Normal"/>
        <w:spacing w:before="120" w:after="120"/>
        <w:rPr/>
      </w:pPr>
      <w:r>
        <w:rPr>
          <w:b/>
          <w:bCs/>
        </w:rPr>
        <w:t xml:space="preserve">ESB (Enterprise Service Bus) : </w:t>
      </w:r>
      <w:r>
        <w:rPr/>
        <w:t>Middleware d'intégration permettant d'orchestrer les échanges entre applications au sein du système d'information. Le Groupe dispose actuellement d'un ESB MuleSoft qui devra pouvoir s'interfacer avec la future solution ERP.</w:t>
      </w:r>
      <w:r>
        <w:br w:type="page"/>
      </w:r>
    </w:p>
    <w:p>
      <w:pPr>
        <w:pStyle w:val="Heading1"/>
        <w:rPr/>
      </w:pPr>
      <w:r>
        <w:rPr/>
        <w:t>2. Présentation de la Société et de la Stratégie du Projet</w:t>
      </w:r>
    </w:p>
    <w:p>
      <w:pPr>
        <w:pStyle w:val="Heading2"/>
        <w:rPr/>
      </w:pPr>
      <w:r>
        <w:rPr/>
        <w:t>2.1 Qui sommes-nous : activité, chiffres clés et ambitions</w:t>
      </w:r>
    </w:p>
    <w:p>
      <w:pPr>
        <w:pStyle w:val="Normal"/>
        <w:spacing w:before="120" w:after="120"/>
        <w:rPr/>
      </w:pPr>
      <w:r>
        <w:rPr/>
        <w:t>Le Groupe Retail Horizon est un acteur majeur du commerce de détail spécialisé, fondé en 1987 à Lyon par la famille Delatour. Initialement positionné sur le marché français de l'équipement de la maison et de la décoration, le Groupe a connu une expansion remarquable au cours des trois dernières décennies, portée par une stratégie d'acquisitions ciblées et un développement organique soutenu. Aujourd'hui, Retail Horizon se positionne comme le troisième acteur européen de son secteur, avec une présence dans 15 pays et un chiffre d'affaires consolidé de 2,8 milliards d'euros en 2025.</w:t>
      </w:r>
    </w:p>
    <w:p>
      <w:pPr>
        <w:pStyle w:val="Normal"/>
        <w:spacing w:before="120" w:after="120"/>
        <w:rPr/>
      </w:pPr>
      <w:r>
        <w:rPr/>
        <w:t>Notre activité repose sur un modèle économique hybride combinant retail traditionnel, e-commerce et activités B2B. Le réseau de distribution compte 347 points de vente répartis entre magasins intégrés (215 unités), franchises (98 unités) et corners en grands magasins (34 implantations). La plateforme e-commerce, lancée en 2008 et entièrement refondée en 2022, représente désormais 28% du chiffre d'affaires total et constitue le principal moteur de croissance du Groupe avec une progression annuelle moyenne de 18% sur les cinq dernières années.</w:t>
      </w:r>
    </w:p>
    <w:p>
      <w:pPr>
        <w:pStyle w:val="Normal"/>
        <w:spacing w:before="120" w:after="120"/>
        <w:rPr/>
      </w:pPr>
      <w:r>
        <w:rPr/>
        <w:t>Le Groupe emploie 12 400 collaborateurs à travers le monde, dont 6 800 en France. L'effectif se répartit entre les fonctions retail (8 200 personnes), la logistique (2 100 personnes), les fonctions support siège (1 400 personnes) et les équipes digitales et IT (700 personnes). La politique RH du Groupe met l'accent sur la formation continue et le développement des compétences, avec un investissement annuel de 2,3% de la masse salariale dans les programmes de formation.</w:t>
      </w:r>
    </w:p>
    <w:p>
      <w:pPr>
        <w:pStyle w:val="Normal"/>
        <w:spacing w:before="200" w:after="100"/>
        <w:rPr/>
      </w:pPr>
      <w:r>
        <w:rPr>
          <w:b/>
          <w:bCs/>
          <w:sz w:val="24"/>
          <w:szCs w:val="24"/>
        </w:rPr>
        <w:t>Chiffres clés 2025 :</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Indicateur</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Valeur</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Chiffre d'affaires consolidé</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2,8 milliards €</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Nombre de collaborateurs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12 400</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Points de vente</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347 (15 pays)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Références produits actives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218 000</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Commandes annuelles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15,2 millions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Part e-commerce</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28% du CA</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Entrepôts logistiques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7 (320 000 m²)</w:t>
            </w:r>
          </w:p>
        </w:tc>
      </w:tr>
    </w:tbl>
    <w:p>
      <w:pPr>
        <w:pStyle w:val="Normal"/>
        <w:spacing w:before="200" w:after="120"/>
        <w:rPr/>
      </w:pPr>
      <w:r>
        <w:rPr/>
        <w:t>Notre ambition à horizon 2030 est de devenir le leader européen incontesté du retail spécialisé dans l'univers de la maison, avec un objectif de chiffre d'affaires de 4,5 milliards d'euros. Cette ambition repose sur trois piliers stratégiques : l'expansion géographique ciblée (notamment en Europe de l'Est et en Asie), l'accélération digitale avec un objectif de 40% du CA en ligne, et l'excellence opérationnelle permise par la modernisation de nos outils de gestion.</w:t>
      </w:r>
    </w:p>
    <w:p>
      <w:pPr>
        <w:pStyle w:val="Heading3"/>
        <w:rPr/>
      </w:pPr>
      <w:r>
        <w:rPr/>
        <w:t>2.1.1 Notre positionnement dans le secteur du retail</w:t>
      </w:r>
    </w:p>
    <w:p>
      <w:pPr>
        <w:pStyle w:val="Normal"/>
        <w:spacing w:before="120" w:after="120"/>
        <w:rPr/>
      </w:pPr>
      <w:r>
        <w:rPr/>
        <w:t>Le Groupe Retail Horizon opère principalement sur le segment du retail spécialisé haut de gamme et milieu de gamme dans l'univers de la maison. Notre offre couvre cinq grandes familles de produits : la décoration intérieure (35% du CA), le mobilier (28% du CA), les arts de la table et cuisine (18% du CA), le linge de maison (12% du CA) et les accessoires lifestyle (7% du CA). Cette diversification nous permet de répondre à l'ensemble des besoins d'équipement et d'embellissement du foyer de notre clientèle.</w:t>
      </w:r>
    </w:p>
    <w:p>
      <w:pPr>
        <w:pStyle w:val="Normal"/>
        <w:spacing w:before="120" w:after="120"/>
        <w:rPr/>
      </w:pPr>
      <w:r>
        <w:rPr/>
        <w:t>Notre positionnement se caractérise par une proposition de valeur articulée autour de trois engagements fondamentaux : la qualité et la durabilité des produits, avec une sélection rigoureuse de nos fournisseurs et un contrôle qualité exigeant ; le conseil expert, grâce à des équipes de vente formées et passionnées capables d'accompagner les projets d'aménagement de nos clients ; et l'inspiration créative, à travers un renouvellement constant de nos collections et une mise en scène soignée de nos espaces de vente.</w:t>
      </w:r>
    </w:p>
    <w:p>
      <w:pPr>
        <w:pStyle w:val="Normal"/>
        <w:spacing w:before="120" w:after="120"/>
        <w:rPr/>
      </w:pPr>
      <w:r>
        <w:rPr/>
        <w:t>Le modèle commercial du Groupe repose sur une stratégie omnicanale intégrée visant à offrir une expérience client fluide et cohérente quel que soit le point de contact. Les clients peuvent ainsi découvrir nos produits en magasin, sur notre site e-commerce ou via notre application mobile, puis choisir leur mode de livraison préféré : retrait en magasin (click &amp; collect), livraison à domicile standard ou express, ou livraison en point relais. Cette flexibilité constitue un avantage concurrentiel majeur dans notre secteur.</w:t>
      </w:r>
    </w:p>
    <w:p>
      <w:pPr>
        <w:pStyle w:val="Normal"/>
        <w:spacing w:before="120" w:after="120"/>
        <w:rPr/>
      </w:pPr>
      <w:r>
        <w:rPr/>
        <w:t>Notre réseau de magasins physiques représente un actif stratégique différenciant. Les points de vente, d'une surface moyenne de 1 200 m², sont implantés dans des zones commerciales premium et des centres-villes attractifs. Chaque magasin est conçu comme un lieu d'inspiration et de découverte, avec des espaces thématiques évolutifs au fil des saisons. L'expérience en magasin est enrichie par des services à valeur ajoutée : conseils décoration personnalisés, visualisation 3D des projets d'aménagement, et ateliers créatifs.</w:t>
      </w:r>
    </w:p>
    <w:p>
      <w:pPr>
        <w:pStyle w:val="Normal"/>
        <w:spacing w:before="120" w:after="120"/>
        <w:rPr/>
      </w:pPr>
      <w:r>
        <w:rPr/>
        <w:t>Face à l'intensification de la concurrence, notamment de la part des pure players et des enseignes discount, le Groupe a engagé depuis 2023 un programme de différenciation baptisé « Horizon Excellence ». Ce programme vise à renforcer notre positionnement premium à travers l'amélioration continue de l'expérience client, le développement de marques propres exclusives et l'intégration de services complémentaires tels que la décoration d'intérieur sur-mesure et la conciergerie maison.</w:t>
      </w:r>
    </w:p>
    <w:p>
      <w:pPr>
        <w:pStyle w:val="Heading3"/>
        <w:rPr/>
      </w:pPr>
      <w:r>
        <w:rPr/>
        <w:t>2.1.2 Nos spécificités liées au commerce international</w:t>
      </w:r>
    </w:p>
    <w:p>
      <w:pPr>
        <w:pStyle w:val="Normal"/>
        <w:spacing w:before="120" w:after="120"/>
        <w:rPr/>
      </w:pPr>
      <w:r>
        <w:rPr/>
        <w:t>L'internationalisation du Groupe Retail Horizon s'est accélérée à partir de 2010 avec l'acquisition successive de plusieurs enseignes européennes : HomeDeco Benelux (2010), Casa Bella Italie (2013), Nordic Living Scandinavie (2016) et Heim &amp; Stil Allemagne/Autriche (2019). Ces acquisitions ont permis de constituer un groupe paneuropéen présent dans 12 pays de l'Union Européenne, avec des positions de leader ou de challenger sur la plupart de ces marchés.</w:t>
      </w:r>
    </w:p>
    <w:p>
      <w:pPr>
        <w:pStyle w:val="Normal"/>
        <w:spacing w:before="120" w:after="120"/>
        <w:rPr/>
      </w:pPr>
      <w:r>
        <w:rPr/>
        <w:t>En 2022, le Groupe a franchi une nouvelle étape dans son développement international en s'implantant sur le marché asiatique. Trois filiales ont été créées successivement à Singapour (hub régional), en Thaïlande et au Vietnam. Cette expansion asiatique répond à une demande croissante pour les produits de décoration européens dans cette région et offre des perspectives de croissance significatives à moyen terme, avec un objectif de 50 points de vente en Asie à horizon 2030.</w:t>
      </w:r>
    </w:p>
    <w:p>
      <w:pPr>
        <w:pStyle w:val="Normal"/>
        <w:spacing w:before="120" w:after="120"/>
        <w:rPr/>
      </w:pPr>
      <w:r>
        <w:rPr/>
        <w:t>Cette dimension internationale génère des contraintes spécifiques que l'ERP devra impérativement adresser. Sur le plan réglementaire, le Groupe doit se conformer à des législations fiscales et comptables hétérogènes selon les pays, avec des exigences de reporting local différentes. La gestion multi-devises est quotidienne, avec des transactions en euros, livres sterling, couronnes scandinaves, francs suisses, dollars singapouriens, bahts thaïlandais et dongs vietnamiens.</w:t>
      </w:r>
    </w:p>
    <w:p>
      <w:pPr>
        <w:pStyle w:val="Normal"/>
        <w:spacing w:before="120" w:after="120"/>
        <w:rPr/>
      </w:pPr>
      <w:r>
        <w:rPr/>
        <w:t>L'approvisionnement international constitue un autre enjeu majeur. Le Groupe travaille avec plus de 850 fournisseurs répartis dans 35 pays, dont une part significative en Asie (Chine, Inde, Vietnam, Indonésie) pour les produits manufacturés, et en Europe pour les articles haut de gamme et artisanaux. La gestion des achats internationaux implique le suivi des réglementations douanières, le calcul des droits et taxes à l'importation, la traçabilité des origines et la conformité aux normes de responsabilité sociale et environnementale.</w:t>
      </w:r>
    </w:p>
    <w:p>
      <w:pPr>
        <w:pStyle w:val="Normal"/>
        <w:spacing w:before="120" w:after="120"/>
        <w:rPr/>
      </w:pPr>
      <w:r>
        <w:rPr/>
        <w:t>La supply chain internationale du Groupe s'appuie sur un réseau de 7 entrepôts stratégiquement positionnés : 3 en France (région parisienne, Lyon et Bordeaux), 1 aux Pays-Bas (hub Europe du Nord), 1 en Italie (hub Europe du Sud), 1 en Pologne (hub Europe de l'Est) et 1 à Singapour (hub Asie). Cette organisation logistique permet d'optimiser les délais de livraison et les coûts de transport tout en maintenant un niveau de stock adapté à chaque marché.</w:t>
      </w:r>
    </w:p>
    <w:p>
      <w:pPr>
        <w:pStyle w:val="Normal"/>
        <w:spacing w:before="120" w:after="120"/>
        <w:rPr/>
      </w:pPr>
      <w:r>
        <w:rPr/>
        <w:t>Le multilinguisme est une réalité quotidienne pour nos équipes et nos clients. L'ERP devra supporter l'intégralité des langues utilisées au sein du Groupe : français, anglais, néerlandais, allemand, italien, espagnol, portugais, suédois, danois, norvégien, finnois, polonais, tchèque et thaï. L'interface utilisateur, les rapports et les documents commerciaux devront être disponibles dans ces différentes langues, avec une gestion fine des spécificités locales (formats de date, séparateurs décimaux, etc.).</w:t>
      </w:r>
    </w:p>
    <w:p>
      <w:pPr>
        <w:pStyle w:val="Normal"/>
        <w:rPr/>
      </w:pPr>
      <w:r>
        <w:rPr/>
      </w:r>
      <w:r>
        <w:br w:type="page"/>
      </w:r>
    </w:p>
    <w:p>
      <w:pPr>
        <w:pStyle w:val="Heading2"/>
        <w:spacing w:before="0" w:after="150"/>
        <w:rPr/>
      </w:pPr>
      <w:r>
        <w:rPr/>
        <w:t>2.2 Le projet de renouvellement ERP : vision et objectifs stratégiques</w:t>
      </w:r>
    </w:p>
    <w:p>
      <w:pPr>
        <w:pStyle w:val="Normal"/>
        <w:spacing w:before="120" w:after="120"/>
        <w:rPr/>
      </w:pPr>
      <w:r>
        <w:rPr/>
        <w:t>Le projet de renouvellement ERP du Groupe Retail Horizon s'inscrit dans une démarche globale de transformation digitale initiée en 2023 et formalisée dans le plan stratégique « Horizon 2030 ». Ce projet, baptisé « Phoenix », vise à doter le Groupe d'un socle technologique moderne, unifié et évolutif capable de supporter nos ambitions de croissance et d'accompagner l'évolution de nos métiers dans un environnement en mutation permanente.</w:t>
      </w:r>
    </w:p>
    <w:p>
      <w:pPr>
        <w:pStyle w:val="Normal"/>
        <w:spacing w:before="120" w:after="120"/>
        <w:rPr/>
      </w:pPr>
      <w:r>
        <w:rPr/>
        <w:t>La vision portée par ce projet est celle d'un système d'information centré sur la donnée et sur le client, permettant une prise de décision éclairée à tous les niveaux de l'organisation. L'ERP cible doit constituer le référentiel unique et fiable de l'ensemble des données opérationnelles du Groupe : produits, clients, fournisseurs, stocks, transactions et flux financiers. Cette unicité de la donnée est un prérequis indispensable pour atteindre l'excellence opérationnelle que nous visons.</w:t>
      </w:r>
    </w:p>
    <w:p>
      <w:pPr>
        <w:pStyle w:val="Normal"/>
        <w:spacing w:before="120" w:after="120"/>
        <w:rPr/>
      </w:pPr>
      <w:r>
        <w:rPr/>
        <w:t>Le projet Phoenix a été officiellement lancé en janvier 2025 par une phase d'étude et de cadrage de six mois, conduite avec l'appui du cabinet Deloitte Digital. Cette phase a permis de formaliser les besoins métiers, de cartographier les processus cibles, d'évaluer les solutions du marché et de définir la trajectoire de transformation. Le présent appel d'offres constitue l'aboutissement de cette phase préparatoire et marque le début de la phase de sélection du partenaire éditeur.</w:t>
      </w:r>
    </w:p>
    <w:p>
      <w:pPr>
        <w:pStyle w:val="Normal"/>
        <w:spacing w:before="120" w:after="120"/>
        <w:rPr/>
      </w:pPr>
      <w:r>
        <w:rPr/>
        <w:t>Le calendrier prévisionnel du projet prévoit une sélection de l'éditeur au cours du premier semestre 2026, suivie d'une phase de conception et de paramétrage au second semestre 2026. Le déploiement progressif débutera en 2027, avec un pilote sur le périmètre France, avant une extension aux autres pays européens puis aux filiales asiatiques. La cible de déploiement complet est fixée à fin 2028, soit une durée totale de projet d'environ trois ans.</w:t>
      </w:r>
    </w:p>
    <w:p>
      <w:pPr>
        <w:pStyle w:val="Normal"/>
        <w:spacing w:before="120" w:after="120"/>
        <w:rPr/>
      </w:pPr>
      <w:r>
        <w:rPr/>
        <w:t>Le budget global alloué au projet Phoenix, validé par le Conseil d'Administration, s'établit à 15 millions d'euros sur la période 2026-2029. Cette enveloppe couvre l'ensemble des coûts directs du projet : licences ou abonnements ERP, prestations d'intégration et de paramétrage, reprise de données, développements spécifiques, infrastructure, formation des utilisateurs et accompagnement au changement. Elle n'inclut pas les coûts internes (équipe projet dédiée) ni les coûts de run post-déploiement.</w:t>
      </w:r>
    </w:p>
    <w:p>
      <w:pPr>
        <w:pStyle w:val="Heading3"/>
        <w:rPr/>
      </w:pPr>
      <w:r>
        <w:rPr/>
        <w:t>2.2.1 Ambitions métiers : optimisation, croissance et expérience client</w:t>
      </w:r>
    </w:p>
    <w:p>
      <w:pPr>
        <w:pStyle w:val="Normal"/>
        <w:spacing w:before="120" w:after="120"/>
        <w:rPr/>
      </w:pPr>
      <w:r>
        <w:rPr/>
        <w:t>La première ambition métier du projet Phoenix est l'optimisation de la performance opérationnelle à travers l'automatisation des processus et l'élimination des tâches à faible valeur ajoutée. Nos équipes consacrent aujourd'hui un temps considérable à des opérations manuelles de ressaisie, de rapprochement et de contrôle qui pourraient être automatisées. L'objectif est de réduire de 30% le temps consacré aux tâches administratives répétitives, permettant ainsi de réaffecter ces ressources à des activités à plus forte valeur ajoutée.</w:t>
      </w:r>
    </w:p>
    <w:p>
      <w:pPr>
        <w:pStyle w:val="Normal"/>
        <w:spacing w:before="120" w:after="120"/>
        <w:rPr/>
      </w:pPr>
      <w:r>
        <w:rPr/>
        <w:t>L'amélioration de la gestion des stocks constitue un enjeu financier majeur. Le taux de rupture en magasin s'établit actuellement à 4,2%, générant un manque à gagner estimé à 35 millions d'euros par an. Parallèlement, le niveau de stock dormant (articles sans mouvement depuis plus de 12 mois) représente 8% de la valeur totale des stocks. L'ERP devra permettre une gestion prévisionnelle fine des approvisionnements, intégrant les données de vente, les tendances saisonnières et les événements promotionnels pour optimiser les niveaux de stock.</w:t>
      </w:r>
    </w:p>
    <w:p>
      <w:pPr>
        <w:pStyle w:val="Normal"/>
        <w:spacing w:before="120" w:after="120"/>
        <w:rPr/>
      </w:pPr>
      <w:r>
        <w:rPr/>
        <w:t>L'accélération du cycle order-to-cash est un objectif prioritaire pour améliorer notre trésorerie et notre relation client. Le délai moyen entre la commande client et la livraison effective s'établit actuellement à 5,2 jours pour les commandes e-commerce standard. L'ambition est de réduire ce délai à 3 jours maximum, grâce à une meilleure orchestration des flux logistiques et une visibilité en temps réel sur les stocks disponibles à la vente dans l'ensemble du réseau.</w:t>
      </w:r>
    </w:p>
    <w:p>
      <w:pPr>
        <w:pStyle w:val="Normal"/>
        <w:spacing w:before="120" w:after="120"/>
        <w:rPr/>
      </w:pPr>
      <w:r>
        <w:rPr/>
        <w:t>Le projet Phoenix doit également accompagner notre stratégie de croissance externe. Le Groupe étudie régulièrement des opportunités d'acquisition en Europe et en Asie. L'ERP cible devra offrir une capacité d'intégration rapide de nouvelles entités, avec des processus standardisés permettant d'embarquer une nouvelle filiale en moins de six mois. Cette agilité organisationnelle est un facteur clé de succès pour notre stratégie de build-up.</w:t>
      </w:r>
    </w:p>
    <w:p>
      <w:pPr>
        <w:pStyle w:val="Normal"/>
        <w:spacing w:before="120" w:after="120"/>
        <w:rPr/>
      </w:pPr>
      <w:r>
        <w:rPr/>
        <w:t>L'expérience client omnicanale est au cœur de notre stratégie commerciale. L'ERP devra offrir une vision client 360° unifiée, consolidant l'historique des achats tous canaux, les préférences, les interactions avec le service client et les données du programme de fidélité. Cette connaissance client enrichie permettra de personnaliser les communications, d'optimiser les recommandations produits et d'améliorer la qualité de service à chaque point de contact.</w:t>
      </w:r>
    </w:p>
    <w:p>
      <w:pPr>
        <w:pStyle w:val="Normal"/>
        <w:spacing w:before="120" w:after="120"/>
        <w:rPr/>
      </w:pPr>
      <w:r>
        <w:rPr/>
        <w:t>Enfin, le développement de nouveaux services constitue un axe de diversification stratégique. Le Groupe souhaite développer une offre de services complémentaires : location de mobilier pour les professionnels de l'événementiel, service de décoration d'intérieur sur-mesure, marketplace ouverte aux créateurs et artisans. L'ERP devra être suffisamment flexible pour supporter ces nouveaux modèles économiques sans développements lourds ni customisation excessive.</w:t>
      </w:r>
    </w:p>
    <w:p>
      <w:pPr>
        <w:pStyle w:val="Heading3"/>
        <w:rPr/>
      </w:pPr>
      <w:r>
        <w:rPr/>
        <w:t>2.2.2 Objectifs techniques : modernisation, sécurité et rationalisation</w:t>
      </w:r>
    </w:p>
    <w:p>
      <w:pPr>
        <w:pStyle w:val="Normal"/>
        <w:spacing w:before="120" w:after="120"/>
        <w:rPr/>
      </w:pPr>
      <w:r>
        <w:rPr/>
        <w:t>Le premier objectif technique du projet Phoenix est la modernisation de notre socle applicatif. L'ERP actuel, basé sur une technologie vieillissante, ne permet plus de répondre aux exigences de réactivité et d'agilité de nos métiers. La solution cible devra s'appuyer sur une architecture moderne, nativement Cloud, offrant des capacités d'évolution continues sans interruption de service. Le modèle SaaS (Software as a Service) est privilégié pour bénéficier des innovations de l'éditeur et externaliser la complexité technique.</w:t>
      </w:r>
    </w:p>
    <w:p>
      <w:pPr>
        <w:pStyle w:val="Normal"/>
        <w:spacing w:before="120" w:after="120"/>
        <w:rPr/>
      </w:pPr>
      <w:r>
        <w:rPr/>
        <w:t>La rationalisation du paysage applicatif constitue un enjeu majeur de simplification et de réduction des coûts. Le système d'information actuel compte plus de 45 applications distinctes, dont certaines redondantes ou faiblement utilisées. L'ambition est de réduire ce nombre de 40% en substituant les outils périphériques par des fonctionnalités natives de l'ERP ou des modules complémentaires intégrés. Cette consolidation permettra de réduire les coûts de maintenance et de simplifier la gouvernance IT.</w:t>
      </w:r>
    </w:p>
    <w:p>
      <w:pPr>
        <w:pStyle w:val="Normal"/>
        <w:spacing w:before="120" w:after="120"/>
        <w:rPr/>
      </w:pPr>
      <w:r>
        <w:rPr/>
        <w:t>L'interopérabilité et l'ouverture sont des exigences fondamentales pour l'ERP cible. Malgré la volonté de consolidation, certaines applications spécialisées resteront nécessaires : WMS des entrepôts mécanisés, solution de caisse en magasin, plateforme e-commerce, outils de marketing automation, solution de BI avancée. L'ERP devra exposer des API robustes et documentées permettant une intégration fluide avec cet écosystème, idéalement à travers notre ESB MuleSoft existant.</w:t>
      </w:r>
    </w:p>
    <w:p>
      <w:pPr>
        <w:pStyle w:val="Normal"/>
        <w:spacing w:before="120" w:after="120"/>
        <w:rPr/>
      </w:pPr>
      <w:r>
        <w:rPr/>
        <w:t>La sécurité des données et la résilience du système constituent des priorités absolues. Dans un contexte de menaces cyber croissantes, l'ERP devra offrir les plus hauts standards de sécurité : chiffrement des données au repos et en transit, authentification multifacteur, gestion fine des habilitations, traçabilité complète des accès et des modifications. Les certifications ISO 27001 et SOC 2 Type II seront des critères d'éligibilité pour les candidats.</w:t>
      </w:r>
    </w:p>
    <w:p>
      <w:pPr>
        <w:pStyle w:val="Normal"/>
        <w:spacing w:before="120" w:after="120"/>
        <w:rPr/>
      </w:pPr>
      <w:r>
        <w:rPr/>
        <w:t>La performance et la scalabilité sont des exigences critiques compte tenu de nos volumétries et de nos ambitions de croissance. L'ERP devra garantir des temps de réponse inférieurs à 2 secondes pour 95% des transactions courantes, même en période de forte charge (soldes, fêtes de fin d'année). La solution devra supporter une multiplication par deux des volumes traités à horizon 2030 sans dégradation de performance ni surcoût proportionnel.</w:t>
      </w:r>
    </w:p>
    <w:p>
      <w:pPr>
        <w:pStyle w:val="Normal"/>
        <w:spacing w:before="120" w:after="120"/>
        <w:rPr/>
      </w:pPr>
      <w:r>
        <w:rPr/>
        <w:t>L'autonomie des équipes métiers dans l'utilisation et le paramétrage de l'outil est un objectif structurant. Trop souvent, les demandes d'évolution simples (nouveau rapport, modification d'un workflow, ajout d'un champ) nécessitent une intervention IT longue et coûteuse. L'ERP cible devra offrir des capacités de configuration avancées accessibles aux key users métiers, dans un cadre gouverné garantissant la cohérence et la stabilité du système.</w:t>
      </w:r>
    </w:p>
    <w:p>
      <w:pPr>
        <w:pStyle w:val="Normal"/>
        <w:rPr/>
      </w:pPr>
      <w:r>
        <w:rPr/>
      </w:r>
      <w:r>
        <w:br w:type="page"/>
      </w:r>
    </w:p>
    <w:p>
      <w:pPr>
        <w:pStyle w:val="Heading2"/>
        <w:spacing w:before="0" w:after="150"/>
        <w:rPr/>
      </w:pPr>
      <w:r>
        <w:rPr/>
        <w:t>2.3 Description de l'environnement technologique et fonctionnel existant</w:t>
      </w:r>
    </w:p>
    <w:p>
      <w:pPr>
        <w:pStyle w:val="Normal"/>
        <w:spacing w:before="120" w:after="120"/>
        <w:rPr/>
      </w:pPr>
      <w:r>
        <w:rPr/>
        <w:t>Le système d'information du Groupe Retail Horizon s'est construit progressivement au fil des années et des acquisitions, aboutissant à un paysage applicatif complexe et hétérogène. Cette architecture, si elle a permis d'accompagner la croissance du Groupe, présente aujourd'hui des limites structurelles qui freinent notre transformation et génèrent des coûts de fonctionnement élevés. La compréhension de cet existant est essentielle pour appréhender les enjeux du projet de renouvellement.</w:t>
      </w:r>
    </w:p>
    <w:p>
      <w:pPr>
        <w:pStyle w:val="Normal"/>
        <w:spacing w:before="120" w:after="120"/>
        <w:rPr/>
      </w:pPr>
      <w:r>
        <w:rPr/>
        <w:t>L'infrastructure technique repose sur un modèle hybride combinant datacenter privé et services Cloud. Le datacenter principal, situé en région parisienne, héberge les applications critiques dont l'ERP actuel. Un site de secours est opérationnel en province pour assurer la continuité d'activité. Les services Cloud (principalement Microsoft Azure et AWS) sont utilisés pour les applications web, les environnements de développement et certains services analytiques.</w:t>
      </w:r>
    </w:p>
    <w:p>
      <w:pPr>
        <w:pStyle w:val="Heading3"/>
        <w:rPr/>
      </w:pPr>
      <w:r>
        <w:rPr/>
        <w:t>2.3.1 Cartographie applicative et description de l'ERP actuel</w:t>
      </w:r>
    </w:p>
    <w:p>
      <w:pPr>
        <w:pStyle w:val="Normal"/>
        <w:spacing w:before="120" w:after="120"/>
        <w:rPr/>
      </w:pPr>
      <w:r>
        <w:rPr/>
        <w:t>L'ERP actuellement en place est la solution SAP ECC 6.0, déployée en 2011 pour remplacer un ensemble d'applications départementales disparates. Cette implémentation couvre les modules Finance (FI/CO), Achats (MM), Ventes (SD) et partiellement la logistique. SAP ECC constitue le système central de gestion pour les entités françaises du Groupe, traitant environ 60% des flux transactionnels consolidés. Les autres filiales européennes opèrent sur des systèmes hérités des acquisitions, dont certains sont interfacés avec SAP.</w:t>
      </w:r>
    </w:p>
    <w:p>
      <w:pPr>
        <w:pStyle w:val="Normal"/>
        <w:spacing w:before="120" w:after="120"/>
        <w:rPr/>
      </w:pPr>
      <w:r>
        <w:rPr/>
        <w:t>La gestion commerciale et des ventes s'appuie sur plusieurs systèmes selon les canaux. Les magasins français utilisent la solution de caisse Cegid Retail Y2, interfacée quotidiennement avec SAP pour la remontée des ventes et la gestion des stocks. La plateforme e-commerce est construite sur Salesforce Commerce Cloud (anciennement Demandware), avec une intégration temps réel vers SAP pour les commandes et les stocks. Les filiales internationales utilisent des solutions de caisse locales variées, générant des flux d'intégration complexes.</w:t>
      </w:r>
    </w:p>
    <w:p>
      <w:pPr>
        <w:pStyle w:val="Normal"/>
        <w:spacing w:before="120" w:after="120"/>
        <w:rPr/>
      </w:pPr>
      <w:r>
        <w:rPr/>
        <w:t>La gestion de la relation client est assurée par Salesforce CRM pour les activités B2C et B2B. Cette plateforme centralise les données clients, l'historique des interactions, les campagnes marketing et le programme de fidélité. L'intégration avec SAP permet de synchroniser les données clients et l'historique des commandes, mais cette synchronisation présente des latences et des incohérences qui nuisent à la qualité de la vision client unifiée.</w:t>
      </w:r>
    </w:p>
    <w:p>
      <w:pPr>
        <w:pStyle w:val="Normal"/>
        <w:spacing w:before="120" w:after="120"/>
        <w:rPr/>
      </w:pPr>
      <w:r>
        <w:rPr/>
        <w:t>La supply chain et la logistique reposent sur un ensemble d'outils spécialisés. Les entrepôts français sont équipés du WMS Manhattan Associates, offrant des fonctionnalités avancées de gestion des emplacements, de préparation de commandes et de pilotage des opérations. Les entrepôts internationaux utilisent des solutions WMS différentes selon les pays. La planification des approvisionnements est réalisée sur SAP APO (Advanced Planner and Optimizer), dont l'usage reste limité faute de compétences internes suffisantes.</w:t>
      </w:r>
    </w:p>
    <w:p>
      <w:pPr>
        <w:pStyle w:val="Normal"/>
        <w:spacing w:before="120" w:after="120"/>
        <w:rPr/>
      </w:pPr>
      <w:r>
        <w:rPr/>
        <w:t>Le reporting et le décisionnel s'appuient sur une architecture BI construite autour de SAP BW (Business Warehouse) et de Tableau Software. SAP BW consolide les données de gestion issues de l'ERP, tandis que Tableau permet la création de tableaux de bord interactifs et le self-service analytics pour les utilisateurs métiers. Cette architecture BI souffre de problèmes de fraîcheur des données (mise à jour nocturne) et de couverture incomplète des sources de données externes à SAP.</w:t>
      </w:r>
    </w:p>
    <w:p>
      <w:pPr>
        <w:pStyle w:val="Normal"/>
        <w:spacing w:before="120" w:after="120"/>
        <w:rPr/>
      </w:pPr>
      <w:r>
        <w:rPr/>
        <w:t>L'intégration entre ces différentes briques applicatives est orchestrée par la plateforme MuleSoft Anypoint, déployée en 2020 pour rationaliser les flux inter-applicatifs. Cette plateforme ESB gère aujourd'hui plus de 200 flux d'intégration, mais de nombreuses interfaces historiques point-à-point subsistent, créant une dette technique significative. La documentation des interfaces est incomplète et leur maintenance mobilise une part importante des ressources de l'équipe intégration.</w:t>
      </w:r>
    </w:p>
    <w:p>
      <w:pPr>
        <w:pStyle w:val="Normal"/>
        <w:spacing w:before="200" w:after="100"/>
        <w:rPr/>
      </w:pPr>
      <w:r>
        <w:rPr>
          <w:b/>
          <w:bCs/>
          <w:sz w:val="24"/>
          <w:szCs w:val="24"/>
        </w:rPr>
        <w:t>Cartographie des applications principales :</w:t>
      </w:r>
    </w:p>
    <w:tbl>
      <w:tblPr>
        <w:tblW w:w="5000" w:type="pct"/>
        <w:jc w:val="left"/>
        <w:tblInd w:w="0" w:type="dxa"/>
        <w:tblLayout w:type="fixed"/>
        <w:tblCellMar>
          <w:top w:w="80" w:type="dxa"/>
          <w:left w:w="120" w:type="dxa"/>
          <w:bottom w:w="80" w:type="dxa"/>
          <w:right w:w="120" w:type="dxa"/>
        </w:tblCellMar>
      </w:tblPr>
      <w:tblGrid>
        <w:gridCol w:w="2507"/>
        <w:gridCol w:w="3008"/>
        <w:gridCol w:w="3511"/>
      </w:tblGrid>
      <w:tr>
        <w:trPr/>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Domaine</w:t>
            </w:r>
          </w:p>
        </w:tc>
        <w:tc>
          <w:tcPr>
            <w:tcW w:w="30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Solution actuelle</w:t>
            </w:r>
          </w:p>
        </w:tc>
        <w:tc>
          <w:tcPr>
            <w:tcW w:w="351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Périmètre / Remarque</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ERP Central</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SAP ECC 6.0</w:t>
            </w:r>
          </w:p>
        </w:tc>
        <w:tc>
          <w:tcPr>
            <w:tcW w:w="3511" w:type="dxa"/>
            <w:tcBorders>
              <w:top w:val="single" w:sz="2" w:space="0" w:color="CCCCCC"/>
              <w:left w:val="single" w:sz="2" w:space="0" w:color="CCCCCC"/>
              <w:bottom w:val="single" w:sz="2" w:space="0" w:color="CCCCCC"/>
              <w:right w:val="single" w:sz="2" w:space="0" w:color="CCCCCC"/>
            </w:tcBorders>
          </w:tcPr>
          <w:p>
            <w:pPr>
              <w:pStyle w:val="Normal"/>
              <w:rPr/>
            </w:pPr>
            <w:r>
              <w:rPr/>
              <w:t>France + consolidation Groupe</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Caisse magasins FR</w:t>
            </w:r>
          </w:p>
        </w:tc>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Cegid Retail Y2</w:t>
            </w:r>
          </w:p>
        </w:tc>
        <w:tc>
          <w:tcPr>
            <w:tcW w:w="35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215 magasins intégrés France</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E-commerce</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Salesforce Commerce Cloud</w:t>
            </w:r>
          </w:p>
        </w:tc>
        <w:tc>
          <w:tcPr>
            <w:tcW w:w="3511" w:type="dxa"/>
            <w:tcBorders>
              <w:top w:val="single" w:sz="2" w:space="0" w:color="CCCCCC"/>
              <w:left w:val="single" w:sz="2" w:space="0" w:color="CCCCCC"/>
              <w:bottom w:val="single" w:sz="2" w:space="0" w:color="CCCCCC"/>
              <w:right w:val="single" w:sz="2" w:space="0" w:color="CCCCCC"/>
            </w:tcBorders>
          </w:tcPr>
          <w:p>
            <w:pPr>
              <w:pStyle w:val="Normal"/>
              <w:rPr/>
            </w:pPr>
            <w:r>
              <w:rPr/>
              <w:t>Multi-pays, 12 sites localisés</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CRM</w:t>
            </w:r>
          </w:p>
        </w:tc>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Salesforce CRM</w:t>
            </w:r>
          </w:p>
        </w:tc>
        <w:tc>
          <w:tcPr>
            <w:tcW w:w="35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8,5 millions clients actifs</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WMS France</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Manhattan Associates</w:t>
            </w:r>
          </w:p>
        </w:tc>
        <w:tc>
          <w:tcPr>
            <w:tcW w:w="3511" w:type="dxa"/>
            <w:tcBorders>
              <w:top w:val="single" w:sz="2" w:space="0" w:color="CCCCCC"/>
              <w:left w:val="single" w:sz="2" w:space="0" w:color="CCCCCC"/>
              <w:bottom w:val="single" w:sz="2" w:space="0" w:color="CCCCCC"/>
              <w:right w:val="single" w:sz="2" w:space="0" w:color="CCCCCC"/>
            </w:tcBorders>
          </w:tcPr>
          <w:p>
            <w:pPr>
              <w:pStyle w:val="Normal"/>
              <w:rPr/>
            </w:pPr>
            <w:r>
              <w:rPr/>
              <w:t>3 entrepôts, 180 000 m²</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BI / Reporting</w:t>
            </w:r>
          </w:p>
        </w:tc>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SAP BW + Tableau</w:t>
            </w:r>
          </w:p>
        </w:tc>
        <w:tc>
          <w:tcPr>
            <w:tcW w:w="35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Mise à jour nocturne (J-1)</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Intégration / ESB</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MuleSoft Anypoint</w:t>
            </w:r>
          </w:p>
        </w:tc>
        <w:tc>
          <w:tcPr>
            <w:tcW w:w="3511" w:type="dxa"/>
            <w:tcBorders>
              <w:top w:val="single" w:sz="2" w:space="0" w:color="CCCCCC"/>
              <w:left w:val="single" w:sz="2" w:space="0" w:color="CCCCCC"/>
              <w:bottom w:val="single" w:sz="2" w:space="0" w:color="CCCCCC"/>
              <w:right w:val="single" w:sz="2" w:space="0" w:color="CCCCCC"/>
            </w:tcBorders>
          </w:tcPr>
          <w:p>
            <w:pPr>
              <w:pStyle w:val="Normal"/>
              <w:rPr/>
            </w:pPr>
            <w:r>
              <w:rPr/>
              <w:t>200+ flux, dette technique</w:t>
            </w:r>
          </w:p>
        </w:tc>
      </w:tr>
    </w:tbl>
    <w:p>
      <w:pPr>
        <w:pStyle w:val="Heading3"/>
        <w:rPr/>
      </w:pPr>
      <w:r>
        <w:rPr/>
        <w:t>2.3.2 Limites et points de friction identifiés justifiant le projet</w:t>
      </w:r>
    </w:p>
    <w:p>
      <w:pPr>
        <w:pStyle w:val="Normal"/>
        <w:spacing w:before="120" w:after="120"/>
        <w:rPr/>
      </w:pPr>
      <w:r>
        <w:rPr/>
        <w:t>L'obsolescence technologique de SAP ECC 6.0 constitue le premier facteur déclencheur du projet de renouvellement. SAP a annoncé la fin du support mainstream de cette version pour 2027, avec une extension possible jusqu'en 2030 moyennant des coûts de maintenance majorés. Au-delà de cet enjeu de support, l'architecture technique de SAP ECC, conçue il y a plus de vingt ans, ne répond plus aux standards actuels en termes de flexibilité, d'ouverture et d'expérience utilisateur.</w:t>
      </w:r>
    </w:p>
    <w:p>
      <w:pPr>
        <w:pStyle w:val="Normal"/>
        <w:spacing w:before="120" w:after="120"/>
        <w:rPr/>
      </w:pPr>
      <w:r>
        <w:rPr/>
        <w:t>L'hétérogénéité des systèmes entre les différentes filiales du Groupe génère des inefficiences opérationnelles majeures. Chaque acquisition a apporté son propre système de gestion, créant un patchwork applicatif difficile à maintenir et à faire évoluer. Les processus métiers ne sont pas harmonisés, les référentiels de données sont éclatés, et la consolidation financière nécessite des travaux manuels importants chaque mois. Cette fragmentation freine notre capacité à piloter le Groupe de manière unifiée.</w:t>
      </w:r>
    </w:p>
    <w:p>
      <w:pPr>
        <w:pStyle w:val="Normal"/>
        <w:spacing w:before="120" w:after="120"/>
        <w:rPr/>
      </w:pPr>
      <w:r>
        <w:rPr/>
        <w:t>Les délais d'obtention de l'information décisionnelle sont incompatibles avec les exigences de réactivité de nos métiers. Les données de vente ne sont disponibles dans les outils de reporting que le lendemain (J+1), empêchant tout pilotage en temps réel des performances commerciales. Les analyses ad hoc nécessitent des extractions manuelles et des retraitements dans Excel, mobilisant des ressources importantes et introduisant des risques d'erreur. Les dirigeants manquent de visibilité pour prendre des décisions éclairées rapidement.</w:t>
      </w:r>
    </w:p>
    <w:p>
      <w:pPr>
        <w:pStyle w:val="Normal"/>
        <w:spacing w:before="120" w:after="120"/>
        <w:rPr/>
      </w:pPr>
      <w:r>
        <w:rPr/>
        <w:t>La rigidité de l'ERP actuel entrave notre capacité d'innovation commerciale. Chaque nouvelle initiative métier (nouveau canal de vente, nouveau service, nouvelle mécanique promotionnelle) nécessite des développements longs et coûteux dans SAP. Le time-to-market pour les évolutions fonctionnelles se compte en mois, voire en années pour les projets structurants. Cette inertie est un handicap concurrentiel majeur dans un secteur où l'agilité est devenue un facteur clé de succès.</w:t>
      </w:r>
    </w:p>
    <w:p>
      <w:pPr>
        <w:pStyle w:val="Normal"/>
        <w:spacing w:before="120" w:after="120"/>
        <w:rPr/>
      </w:pPr>
      <w:r>
        <w:rPr/>
        <w:t>L'expérience utilisateur de SAP ECC est unanimement critiquée par les équipes opérationnelles. L'interface, datée et peu ergonomique, nécessite des formations longues et génère des erreurs de saisie fréquentes. Les utilisateurs ont développé des « shadow IT » sous forme de fichiers Excel parallèles pour pallier les limitations de l'outil, créant des risques de désynchronisation des données et de perte d'information. Le taux de satisfaction utilisateur mesuré en 2024 s'établit à seulement 42%.</w:t>
      </w:r>
    </w:p>
    <w:p>
      <w:pPr>
        <w:pStyle w:val="Normal"/>
        <w:spacing w:before="120" w:after="120"/>
        <w:rPr/>
      </w:pPr>
      <w:r>
        <w:rPr/>
        <w:t>Les coûts de possession du système actuel sont élevés et en croissance continue. Le budget annuel de maintenance et d'évolution du SI s'établit à 18 millions d'euros, dont 40% consacrés au seul périmètre SAP. Les compétences SAP sont rares et coûteuses sur le marché, et la dépendance vis-à-vis d'intégrateurs externes fragilise notre maîtrise du système. La dette technique accumulée au fil des années de customisation rend chaque évolution plus complexe et plus risquée que la précédente.</w:t>
      </w:r>
    </w:p>
    <w:p>
      <w:pPr>
        <w:pStyle w:val="Normal"/>
        <w:spacing w:before="120" w:after="120"/>
        <w:rPr/>
      </w:pPr>
      <w:r>
        <w:rPr/>
        <w:t>La gestion des données produits souffre de lacunes importantes qui impactent l'ensemble de la chaîne de valeur. Le référentiel produits actuel ne permet pas de gérer efficacement les attributs enrichis nécessaires au e-commerce (descriptions marketing, visuels multiples, caractéristiques techniques détaillées). La synchronisation des données produits entre les différents canaux est source d'incohérences visibles par les clients, nuisant à notre image de marque et générant des réclamations.</w:t>
      </w:r>
    </w:p>
    <w:p>
      <w:pPr>
        <w:pStyle w:val="Normal"/>
        <w:spacing w:before="120" w:after="120"/>
        <w:rPr/>
      </w:pPr>
      <w:r>
        <w:rPr/>
        <w:t>Enfin, les enjeux de conformité réglementaire constituent une préoccupation croissante. Le renforcement des exigences RGPD, l'évolution des réglementations fiscales (facturation électronique obligatoire en France à partir de 2026) et les contraintes spécifiques à chaque pays d'implantation nécessitent des adaptations régulières du système. L'architecture actuelle rend ces mises en conformité complexes et coûteuses, avec un risque permanent de non-conformité en cas de retard dans les évolutions.</w:t>
      </w:r>
    </w:p>
    <w:p>
      <w:pPr>
        <w:pStyle w:val="Normal"/>
        <w:spacing w:before="120" w:after="120"/>
        <w:rPr/>
      </w:pPr>
      <w:r>
        <w:rPr/>
      </w:r>
    </w:p>
    <w:p>
      <w:pPr>
        <w:pStyle w:val="Heading1"/>
        <w:rPr/>
      </w:pPr>
      <w:r>
        <w:rPr/>
        <w:t>3. Spécifications Détaillées des Besoins (Cahier des Charges)</w:t>
      </w:r>
    </w:p>
    <w:p>
      <w:pPr>
        <w:pStyle w:val="Normal"/>
        <w:spacing w:before="120" w:after="120"/>
        <w:rPr/>
      </w:pPr>
      <w:r>
        <w:rPr/>
        <w:t>Cette section constitue le cœur du cahier des charges et détaille l'ensemble des exigences auxquelles la solution ERP devra répondre. Les spécifications sont organisées en quatre grandes catégories : le périmètre fonctionnel couvrant l'ensemble des processus métiers, les exigences non-fonctionnelles relatives à la qualité de service, les exigences techniques et d'architecture, et enfin les exigences de sécurité et de conformité réglementaire. Les candidats devront répondre point par point à ces exigences dans leur mémoire technique.</w:t>
      </w:r>
    </w:p>
    <w:p>
      <w:pPr>
        <w:pStyle w:val="Heading2"/>
        <w:rPr/>
      </w:pPr>
      <w:r>
        <w:rPr/>
        <w:t>3.1 Périmètre fonctionnel</w:t>
      </w:r>
    </w:p>
    <w:p>
      <w:pPr>
        <w:pStyle w:val="Normal"/>
        <w:spacing w:before="120" w:after="120"/>
        <w:rPr/>
      </w:pPr>
      <w:r>
        <w:rPr/>
        <w:t>Le périmètre fonctionnel de l'ERP cible couvre l'intégralité des processus opérationnels du Groupe Retail Horizon. La solution retenue devra proposer une couverture native maximale de ces besoins, limitant le recours à des développements spécifiques qui complexifient la maintenance et les montées de version. Les candidats sont invités à préciser, pour chaque domaine fonctionnel, le niveau de couverture standard de leur solution et les éventuelles adaptations nécessaires.</w:t>
      </w:r>
    </w:p>
    <w:p>
      <w:pPr>
        <w:pStyle w:val="Heading3"/>
        <w:rPr/>
      </w:pPr>
      <w:r>
        <w:rPr/>
        <w:t>3.1.1 Gestion commerciale et des ventes (omnicanal, tarification)</w:t>
      </w:r>
    </w:p>
    <w:p>
      <w:pPr>
        <w:pStyle w:val="Normal"/>
        <w:spacing w:before="120" w:after="120"/>
        <w:rPr/>
      </w:pPr>
      <w:r>
        <w:rPr/>
        <w:t>La gestion commerciale constitue le cœur de métier du Groupe Retail Horizon et doit être traitée avec une attention particulière dans la solution ERP. L'enjeu principal est de disposer d'une vision unifiée du cycle de vente, depuis la prise de commande jusqu'à l'encaissement, quel que soit le canal d'origine. La solution devra gérer nativement les spécificités du retail omnicanal moderne, incluant les parcours d'achat mixtes (web-to-store, store-to-web) et les nouvelles modalités de livraison (click &amp; collect, ship from store).</w:t>
      </w:r>
    </w:p>
    <w:p>
      <w:pPr>
        <w:pStyle w:val="Normal"/>
        <w:spacing w:before="120" w:after="120"/>
        <w:rPr/>
      </w:pPr>
      <w:r>
        <w:rPr/>
        <w:t>La gestion des commandes clients devra supporter des volumétries importantes avec des pics saisonniers marqués. En période de soldes ou de fêtes de fin d'année, le système doit pouvoir traiter jusqu'à 150 000 commandes par jour sans dégradation de performance. Chaque commande peut contenir de 1 à 50 lignes articles, avec des modes de livraison panachés. Le suivi en temps réel de l'état des commandes et la notification proactive des clients sont des fonctionnalités essentielles.</w:t>
      </w:r>
    </w:p>
    <w:p>
      <w:pPr>
        <w:pStyle w:val="Normal"/>
        <w:spacing w:before="120" w:after="120"/>
        <w:rPr/>
      </w:pPr>
      <w:r>
        <w:rPr/>
        <w:t>La tarification représente un domaine de complexité élevée pour le Groupe. La politique tarifaire s'articule autour de plusieurs dimensions : prix de base par article et par pays, grilles tarifaires B2B différenciées par catégorie de clients professionnels, promotions temporaires avec mécaniques variées (pourcentage, montant fixe, lot, produit offert), remises conditionnelles (volume, fidélité, premier achat), et soldes réglementés. L'ERP devra permettre une gestion centralisée et cohérente de ces règles tarifaires.</w:t>
      </w:r>
    </w:p>
    <w:p>
      <w:pPr>
        <w:pStyle w:val="Normal"/>
        <w:spacing w:before="120" w:after="120"/>
        <w:rPr/>
      </w:pPr>
      <w:r>
        <w:rPr/>
        <w:t>Le support des ventes en magasin nécessite une intégration étroite avec les solutions de caisse. L'ERP devra fournir en temps réel les informations nécessaires : disponibilité stock tous magasins, prix et promotions applicables, historique client pour le programme de fidélité. L'interfaçage devra être bidirectionnel pour remonter les ventes et les mouvements de stock en quasi temps réel (latence maximale de 5 minutes).</w:t>
      </w:r>
    </w:p>
    <w:p>
      <w:pPr>
        <w:pStyle w:val="Normal"/>
        <w:spacing w:before="120" w:after="120"/>
        <w:rPr/>
      </w:pPr>
      <w:r>
        <w:rPr/>
        <w:t>La gestion des retours et des avoirs constitue un processus critique impactant la satisfaction client et la gestion des stocks. L'ERP devra gérer le cycle complet du retour : demande client tous canaux, validation selon les règles métier (délai, état du produit, motif), génération de l'avoir ou du remboursement, réintégration en stock ou orientation vers le circuit de déstockage. Les statistiques de retour par produit, par motif et par canal devront alimenter les analyses qualité.</w:t>
      </w:r>
    </w:p>
    <w:p>
      <w:pPr>
        <w:pStyle w:val="Normal"/>
        <w:spacing w:before="120" w:after="120"/>
        <w:rPr/>
      </w:pPr>
      <w:r>
        <w:rPr/>
        <w:t>Les fonctionnalités attendues incluent également la gestion des devis et des commandes spéciales pour les clients professionnels et les projets d'aménagement. Ces commandes peuvent porter sur des articles sur-mesure avec des délais de fabrication étendus. Le suivi de ces commandes longues, de la validation du devis jusqu'à la livraison finale, doit être assuré avec une visibilité complète pour le client et les équipes commerciales.</w:t>
      </w:r>
    </w:p>
    <w:p>
      <w:pPr>
        <w:pStyle w:val="Heading3"/>
        <w:rPr/>
      </w:pPr>
      <w:r>
        <w:rPr/>
        <w:t>3.1.2 Gestion des achats et des approvisionnements</w:t>
      </w:r>
    </w:p>
    <w:p>
      <w:pPr>
        <w:pStyle w:val="Normal"/>
        <w:spacing w:before="120" w:after="120"/>
        <w:rPr/>
      </w:pPr>
      <w:r>
        <w:rPr/>
        <w:t>La fonction achats du Groupe Retail Horizon gère un portefeuille de plus de 850 fournisseurs actifs, répartis dans 35 pays sur quatre continents. L'ERP devra offrir une gestion complète du cycle d'approvisionnement, depuis l'expression du besoin jusqu'à la réception des marchandises, en passant par la sélection des fournisseurs, la négociation des conditions et le suivi des engagements contractuels. L'optimisation des achats représente un levier majeur de compétitivité.</w:t>
      </w:r>
    </w:p>
    <w:p>
      <w:pPr>
        <w:pStyle w:val="Normal"/>
        <w:spacing w:before="120" w:after="120"/>
        <w:rPr/>
      </w:pPr>
      <w:r>
        <w:rPr/>
        <w:t>La gestion du référentiel fournisseurs doit être exhaustive et structurée. Pour chaque fournisseur, le système devra stocker les informations administratives, les conditions commerciales négociées, les certifications et agréments, ainsi que l'historique de la relation. Un workflow de qualification et de requalification périodique des fournisseurs devra être paramétrable selon les exigences qualité et RSE du Groupe.</w:t>
      </w:r>
    </w:p>
    <w:p>
      <w:pPr>
        <w:pStyle w:val="Normal"/>
        <w:spacing w:before="120" w:after="120"/>
        <w:rPr/>
      </w:pPr>
      <w:r>
        <w:rPr/>
        <w:t>Le processus d'approvisionnement s'appuie sur plusieurs modes de déclenchement complémentaires. Le réapprovisionnement automatique sur seuil constitue le mode principal pour les articles à rotation régulière. Les achats sur prévision permettent d'anticiper les besoins saisonniers et promotionnels sur la base des plans de vente. Les achats ponctuels couvrent les besoins exceptionnels et les nouveautés.</w:t>
      </w:r>
    </w:p>
    <w:p>
      <w:pPr>
        <w:pStyle w:val="Normal"/>
        <w:spacing w:before="120" w:after="120"/>
        <w:rPr/>
      </w:pPr>
      <w:r>
        <w:rPr/>
        <w:t>La gestion des commandes fournisseurs doit supporter les spécificités du commerce international. Les commandes peuvent être libellées dans la devise du fournisseur, avec des incoterms variés définissant la répartition des responsabilités et des coûts de transport. Le système devra calculer le prix de revient complet intégrant le prix d'achat, les frais de transport, les droits de douane et les taxes à l'importation.</w:t>
      </w:r>
    </w:p>
    <w:p>
      <w:pPr>
        <w:pStyle w:val="Normal"/>
        <w:spacing w:before="120" w:after="120"/>
        <w:rPr/>
      </w:pPr>
      <w:r>
        <w:rPr/>
        <w:t>La réception des marchandises constitue un point de contrôle critique. L'ERP devra supporter la réception avec ou sans commande préalable, le contrôle quantitatif et qualitatif à réception, la gestion des écarts et le déclenchement des processus de litige fournisseur. L'intégration avec les systèmes WMS des entrepôts permettra d'automatiser la mise en stock dès validation de la réception.</w:t>
      </w:r>
    </w:p>
    <w:p>
      <w:pPr>
        <w:pStyle w:val="Normal"/>
        <w:spacing w:before="120" w:after="120"/>
        <w:rPr/>
      </w:pPr>
      <w:r>
        <w:rPr/>
        <w:t>L'évaluation de la performance fournisseurs s'appuiera sur des indicateurs objectifs : taux de service, taux de ponctualité, taux de qualité et compétitivité tarifaire. Ces indicateurs alimenteront les revues fournisseurs périodiques et les décisions de référencement. Un module de gestion des appels d'offres fournisseurs facilitera les mises en concurrence sur les familles d'achats stratégiques.</w:t>
      </w:r>
    </w:p>
    <w:p>
      <w:pPr>
        <w:pStyle w:val="Heading3"/>
        <w:rPr/>
      </w:pPr>
      <w:r>
        <w:rPr/>
        <w:t>3.1.3 Logistique et gestion de la chaîne d'approvisionnement (Supply Chain)</w:t>
      </w:r>
    </w:p>
    <w:p>
      <w:pPr>
        <w:pStyle w:val="Normal"/>
        <w:spacing w:before="120" w:after="120"/>
        <w:rPr/>
      </w:pPr>
      <w:r>
        <w:rPr/>
        <w:t>La supply chain du Groupe Retail Horizon représente un avantage compétitif majeur. Le réseau logistique, composé de 7 entrepôts totalisant 320 000 m² et traitant plus de 15 millions de commandes par an, requiert des outils de pilotage sophistiqués. La solution devra offrir une visibilité de bout en bout sur les flux physiques, depuis l'approvisionnement fournisseur jusqu'à la livraison client finale.</w:t>
      </w:r>
    </w:p>
    <w:p>
      <w:pPr>
        <w:pStyle w:val="Normal"/>
        <w:spacing w:before="120" w:after="120"/>
        <w:rPr/>
      </w:pPr>
      <w:r>
        <w:rPr/>
        <w:t>La planification de la demande constitue le point de départ de la chaîne logistique. L'ERP devra intégrer des fonctionnalités avancées de prévision des ventes, combinant analyse des historiques, saisonnalité, tendances de marché et événements promotionnels planifiés. Les algorithmes de prévision devront être paramétrables par famille de produits et pouvoir intégrer des facteurs exogènes.</w:t>
      </w:r>
    </w:p>
    <w:p>
      <w:pPr>
        <w:pStyle w:val="Normal"/>
        <w:spacing w:before="120" w:after="120"/>
        <w:rPr/>
      </w:pPr>
      <w:r>
        <w:rPr/>
        <w:t>La planification des approvisionnements transforme les prévisions de vente en propositions de commandes fournisseurs, en tenant compte des contraintes de délai, de capacité de stockage et d'optimisation des coûts de transport. Le calcul des besoins nets (MRP) devra intégrer les stocks disponibles, les commandes en cours, les réservations et les seuils de sécurité.</w:t>
      </w:r>
    </w:p>
    <w:p>
      <w:pPr>
        <w:pStyle w:val="Normal"/>
        <w:spacing w:before="120" w:after="120"/>
        <w:rPr/>
      </w:pPr>
      <w:r>
        <w:rPr/>
        <w:t>La gestion des transports amont et aval est un enjeu économique majeur représentant 6,5% du chiffre d'affaires. L'ERP devra permettre la planification des transports, l'optimisation des tournées, le suivi des expéditions en temps réel et l'analyse des coûts par transporteur. L'intégration avec les systèmes des transporteurs est indispensable pour offrir une visibilité complète.</w:t>
      </w:r>
    </w:p>
    <w:p>
      <w:pPr>
        <w:pStyle w:val="Normal"/>
        <w:spacing w:before="120" w:after="120"/>
        <w:rPr/>
      </w:pPr>
      <w:r>
        <w:rPr/>
        <w:t>Le réapprovisionnement des magasins obéit à des règles spécifiques tenant compte de la capacité de stockage limitée en point de vente, des profils de vente locaux et des contraintes de livraison. L'ERP devra proposer des suggestions de réapprovisionnement optimisées. Le cross-docking permettra d'accélérer les flux en transit pour les articles à forte rotation.</w:t>
      </w:r>
    </w:p>
    <w:p>
      <w:pPr>
        <w:pStyle w:val="Normal"/>
        <w:spacing w:before="120" w:after="120"/>
        <w:rPr/>
      </w:pPr>
      <w:r>
        <w:rPr/>
        <w:t>Les flux de commerce international génèrent des contraintes spécifiques. La gestion documentaire douanière doit être intégrée au processus logistique. Le calcul automatique des droits et taxes selon la nomenclature douanière des produits et les accords commerciaux en vigueur permettra de fiabiliser les coûts de revient.</w:t>
      </w:r>
    </w:p>
    <w:p>
      <w:pPr>
        <w:pStyle w:val="Normal"/>
        <w:spacing w:before="120" w:after="120"/>
        <w:rPr/>
      </w:pPr>
      <w:r>
        <w:rPr/>
        <w:t>Le pilotage de la performance supply chain s'appuiera sur un tableau de bord temps réel consolidant les indicateurs clés : taux de service client, taux de disponibilité produit, délai moyen de livraison, coût logistique unitaire, productivité des entrepôts. Des alertes automatiques signaleront les dérives par rapport aux objectifs définis.</w:t>
      </w:r>
    </w:p>
    <w:p>
      <w:pPr>
        <w:pStyle w:val="Normal"/>
        <w:rPr/>
      </w:pPr>
      <w:r>
        <w:rPr/>
      </w:r>
      <w:r>
        <w:br w:type="page"/>
      </w:r>
    </w:p>
    <w:p>
      <w:pPr>
        <w:pStyle w:val="Heading3"/>
        <w:spacing w:before="0" w:after="120"/>
        <w:rPr/>
      </w:pPr>
      <w:r>
        <w:rPr/>
        <w:t>3.1.4 Gestion financière et comptable (normes multi-pays)</w:t>
      </w:r>
    </w:p>
    <w:p>
      <w:pPr>
        <w:pStyle w:val="Normal"/>
        <w:spacing w:before="120" w:after="120"/>
        <w:rPr/>
      </w:pPr>
      <w:r>
        <w:rPr/>
        <w:t>La gestion financière et comptable constitue un domaine particulièrement sensible pour un groupe international. L'ERP devra garantir la conformité aux normes comptables locales de chacun des 15 pays d'implantation, tout en permettant une consolidation aux normes IFRS pour le reporting groupe. La complexité réglementaire croissante impose des fonctionnalités robustes et évolutives.</w:t>
      </w:r>
    </w:p>
    <w:p>
      <w:pPr>
        <w:pStyle w:val="Normal"/>
        <w:spacing w:before="120" w:after="120"/>
        <w:rPr/>
      </w:pPr>
      <w:r>
        <w:rPr/>
        <w:t>La comptabilité générale devra supporter un plan de comptes groupe harmonisé, déclinable selon les spécificités locales. Le système multi-sociétés permettra de gérer les différentes entités juridiques avec leurs propres exercices comptables et obligations déclaratives. Les écritures comptables seront générées automatiquement à partir des flux opérationnels.</w:t>
      </w:r>
    </w:p>
    <w:p>
      <w:pPr>
        <w:pStyle w:val="Normal"/>
        <w:spacing w:before="120" w:after="120"/>
        <w:rPr/>
      </w:pPr>
      <w:r>
        <w:rPr/>
        <w:t>La comptabilité auxiliaire clients et fournisseurs doit offrir une gestion fine des comptes tiers. Pour les clients : suivi des encours, gestion des encaissements multi-modes, lettrage automatique et recouvrement des impayés. Pour les fournisseurs : rapprochement three-way matching, gestion des acomptes et avoirs, respect des délais de paiement négociés.</w:t>
      </w:r>
    </w:p>
    <w:p>
      <w:pPr>
        <w:pStyle w:val="Normal"/>
        <w:spacing w:before="120" w:after="120"/>
        <w:rPr/>
      </w:pPr>
      <w:r>
        <w:rPr/>
        <w:t>La gestion de la TVA multi-pays représente un enjeu de conformité majeur. L'ERP devra gérer les différents régimes de TVA, les règles de territorialité, les mécanismes d'autoliquidation et de TVA sur marge. Les déclarations de TVA devront être générées automatiquement. Le régime OSS pour le e-commerce transfrontalier européen devra être supporté nativement.</w:t>
      </w:r>
    </w:p>
    <w:p>
      <w:pPr>
        <w:pStyle w:val="Normal"/>
        <w:spacing w:before="120" w:after="120"/>
        <w:rPr/>
      </w:pPr>
      <w:r>
        <w:rPr/>
        <w:t>La facturation électronique devient une obligation légale. L'ERP devra être capable d'émettre et de recevoir des factures au format structuré requis (Factur-X en France), de les transmettre via les plateformes de dématérialisation agréées, et d'assurer le e-reporting des transactions B2C. Une veille réglementaire active de l'éditeur est attendue.</w:t>
      </w:r>
    </w:p>
    <w:p>
      <w:pPr>
        <w:pStyle w:val="Normal"/>
        <w:spacing w:before="120" w:after="120"/>
        <w:rPr/>
      </w:pPr>
      <w:r>
        <w:rPr/>
        <w:t>La comptabilité analytique permettra d'analyser la rentabilité par axe d'analyse : canal de vente, famille de produits, zone géographique, magasin. Le modèle analytique devra être flexible. La ventilation des charges indirectes et le calcul des coûts complets alimenteront les analyses de marge et les décisions de pricing.</w:t>
      </w:r>
    </w:p>
    <w:p>
      <w:pPr>
        <w:pStyle w:val="Normal"/>
        <w:spacing w:before="120" w:after="120"/>
        <w:rPr/>
      </w:pPr>
      <w:r>
        <w:rPr/>
        <w:t>La gestion budgétaire et le contrôle de gestion s'appuieront sur des fonctionnalités de planification et de suivi des écarts. L'élaboration budgétaire collaborative, le suivi en cours d'année et le calcul automatique des écarts seront essentiels. L'intégration avec les outils de BI facilitera l'analyse des performances.</w:t>
      </w:r>
    </w:p>
    <w:p>
      <w:pPr>
        <w:pStyle w:val="Normal"/>
        <w:spacing w:before="120" w:after="120"/>
        <w:rPr/>
      </w:pPr>
      <w:r>
        <w:rPr/>
        <w:t>La gestion de trésorerie multi-devises est indispensable pour un groupe opérant avec 8 devises. L'ERP devra permettre le suivi des positions de trésorerie, les prévisions de flux, la gestion des couvertures de change et le rapprochement bancaire automatisé. L'intégration avec les plateformes bancaires via EBICS et SWIFT est requise.</w:t>
      </w:r>
    </w:p>
    <w:p>
      <w:pPr>
        <w:pStyle w:val="Heading3"/>
        <w:rPr/>
      </w:pPr>
      <w:r>
        <w:rPr/>
        <w:t>3.1.5 Gestion des stocks et des entrepôts (WMS)</w:t>
      </w:r>
    </w:p>
    <w:p>
      <w:pPr>
        <w:pStyle w:val="Normal"/>
        <w:spacing w:before="120" w:after="120"/>
        <w:rPr/>
      </w:pPr>
      <w:r>
        <w:rPr/>
        <w:t>La gestion des stocks représente un enjeu financier considérable avec une valeur de stock total avoisinant les 280 millions d'euros. L'ERP devra offrir une vision temps réel des stocks à tous les niveaux du réseau : entrepôts centraux, plateformes régionales, magasins et stocks en transit. Cette visibilité unifiée est le prérequis pour optimiser les niveaux de stock et réduire les ruptures.</w:t>
      </w:r>
    </w:p>
    <w:p>
      <w:pPr>
        <w:pStyle w:val="Normal"/>
        <w:spacing w:before="120" w:after="120"/>
        <w:rPr/>
      </w:pPr>
      <w:r>
        <w:rPr/>
        <w:t>Le modèle de données stock devra supporter les différentes typologies de produits : articles standards, articles à variantes, articles sérialisés, articles par lot, et articles à date de péremption. Chaque unité de stock devra pouvoir être qualifiée selon son statut : disponible à la vente, réservé, en contrôle qualité, en attente de retour, à détruire.</w:t>
      </w:r>
    </w:p>
    <w:p>
      <w:pPr>
        <w:pStyle w:val="Normal"/>
        <w:spacing w:before="120" w:after="120"/>
        <w:rPr/>
      </w:pPr>
      <w:r>
        <w:rPr/>
        <w:t>La gestion des emplacements de stockage sera partiellement assurée par l'ERP, en complément des WMS spécialisés. L'ERP devra gérer la structure des sites de stockage et les règles d'affectation des produits. Pour les magasins non équipés de WMS, l'ERP constituera l'outil principal de gestion des emplacements.</w:t>
      </w:r>
    </w:p>
    <w:p>
      <w:pPr>
        <w:pStyle w:val="Normal"/>
        <w:spacing w:before="120" w:after="120"/>
        <w:rPr/>
      </w:pPr>
      <w:r>
        <w:rPr/>
        <w:t>Les mouvements de stock devront être tracés de manière exhaustive. Chaque mouvement sera horodaté et associé à son origine. L'historique des mouvements alimentera les analyses de rotation et les optimisations de réapprovisionnement. La traçabilité complète est également requise pour les rappels produits éventuels.</w:t>
      </w:r>
    </w:p>
    <w:p>
      <w:pPr>
        <w:pStyle w:val="Normal"/>
        <w:spacing w:before="120" w:after="120"/>
        <w:rPr/>
      </w:pPr>
      <w:r>
        <w:rPr/>
        <w:t>L'inventaire devra supporter différentes modalités : inventaire annuel complet, inventaire tournant par zone ou par famille, inventaire permanent. La génération des feuilles de comptage, la saisie des écarts, le workflow de validation et la génération automatique des écritures de régularisation devront être intégrés. L'objectif est un taux de fiabilité des stocks supérieur à 98%.</w:t>
      </w:r>
    </w:p>
    <w:p>
      <w:pPr>
        <w:pStyle w:val="Normal"/>
        <w:spacing w:before="120" w:after="120"/>
        <w:rPr/>
      </w:pPr>
      <w:r>
        <w:rPr/>
        <w:t>L'intégration avec les WMS existants (Manhattan Associates pour la France) est une exigence clé. L'ERP devra échanger en temps réel pour synchroniser les stocks, transmettre les ordres de préparation et recevoir les confirmations d'expédition. Les interfaces devront être robustes avec des mécanismes de réconciliation automatique.</w:t>
      </w:r>
    </w:p>
    <w:p>
      <w:pPr>
        <w:pStyle w:val="Normal"/>
        <w:spacing w:before="120" w:after="120"/>
        <w:rPr/>
      </w:pPr>
      <w:r>
        <w:rPr/>
        <w:t>La valorisation des stocks selon différentes méthodes comptables (FIFO, CUMP, prix standard) devra être supportée. L'analyse de la valeur de stock par ancienneté permettra d'identifier les articles dormants et de piloter les actions de déstockage. Les écritures de variation de stock seront générées automatiquement.</w:t>
      </w:r>
    </w:p>
    <w:p>
      <w:pPr>
        <w:pStyle w:val="Heading3"/>
        <w:rPr/>
      </w:pPr>
      <w:r>
        <w:rPr/>
        <w:t>3.1.6 Gestion de la relation client (CRM) et marketing</w:t>
      </w:r>
    </w:p>
    <w:p>
      <w:pPr>
        <w:pStyle w:val="Normal"/>
        <w:spacing w:before="120" w:after="120"/>
        <w:rPr/>
      </w:pPr>
      <w:r>
        <w:rPr/>
        <w:t>La gestion de la relation client est au cœur de la stratégie du Groupe avec plus de 8,5 millions de clients actifs. Si le CRM Salesforce restera la plateforme principale, l'ERP devra constituer le référentiel client maître et offrir des fonctionnalités CRM intégrées couvrant les besoins opérationnels quotidiens. L'enjeu est de disposer d'une vision client 360° accessible à tous les collaborateurs.</w:t>
      </w:r>
    </w:p>
    <w:p>
      <w:pPr>
        <w:pStyle w:val="Normal"/>
        <w:spacing w:before="120" w:after="120"/>
        <w:rPr/>
      </w:pPr>
      <w:r>
        <w:rPr/>
        <w:t>Le référentiel client unifié devra consolider l'ensemble des informations : données d'identification, données de compte, données comportementales et données de fidélité. La déduplication et la fusion des fiches clients seront des fonctionnalités essentielles pour maintenir la qualité du référentiel.</w:t>
      </w:r>
    </w:p>
    <w:p>
      <w:pPr>
        <w:pStyle w:val="Normal"/>
        <w:spacing w:before="120" w:after="120"/>
        <w:rPr/>
      </w:pPr>
      <w:r>
        <w:rPr/>
        <w:t>Le programme de fidélité « Horizon Club » est un levier majeur de rétention. L'ERP devra gérer les mécaniques de cumul de points, les paliers de statut avec leurs avantages associés, et l'utilisation des points comme moyen de paiement. L'intégration temps réel avec les caisses magasins et le site e-commerce est indispensable.</w:t>
      </w:r>
    </w:p>
    <w:p>
      <w:pPr>
        <w:pStyle w:val="Normal"/>
        <w:spacing w:before="120" w:after="120"/>
        <w:rPr/>
      </w:pPr>
      <w:r>
        <w:rPr/>
        <w:t>La segmentation client devra s'appuyer sur des critères multiples : données sociodémographiques, comportement d'achat, cycle de vie client, et valeur client. Les segments pourront être statiques ou dynamiques. L'export vers les outils de marketing automation sera facilité par des connecteurs natifs.</w:t>
      </w:r>
    </w:p>
    <w:p>
      <w:pPr>
        <w:pStyle w:val="Normal"/>
        <w:spacing w:before="120" w:after="120"/>
        <w:rPr/>
      </w:pPr>
      <w:r>
        <w:rPr/>
        <w:t>La gestion des campagnes marketing opérationnelles pourra être réalisée dans l'ERP pour les besoins simples. Pour les campagnes complexes multi-canal, l'intégration avec Salesforce Marketing Cloud sera privilégiée. La cohérence entre les offres promotionnelles et les conditions tarifaires appliquées est un point de vigilance important.</w:t>
      </w:r>
    </w:p>
    <w:p>
      <w:pPr>
        <w:pStyle w:val="Normal"/>
        <w:spacing w:before="120" w:after="120"/>
        <w:rPr/>
      </w:pPr>
      <w:r>
        <w:rPr/>
        <w:t>Le service client s'appuie sur un centre de contact omnicanal. L'ERP devra fournir aux conseillers une vision complète et temps réel du dossier client. La création de tickets de réclamation, le suivi des délais de traitement et l'analyse des motifs de contact alimenteront les indicateurs de qualité de service.</w:t>
      </w:r>
    </w:p>
    <w:p>
      <w:pPr>
        <w:pStyle w:val="Normal"/>
        <w:spacing w:before="120" w:after="120"/>
        <w:rPr/>
      </w:pPr>
      <w:r>
        <w:rPr/>
        <w:t>La conformité RGPD impose des fonctionnalités spécifiques de gestion des données personnelles : traçabilité des consentements, exercice des droits des personnes, règles de conservation et de purge. Un registre des traitements et des analyses d'impact seront maintenus pour répondre aux exigences de documentation.</w:t>
      </w:r>
    </w:p>
    <w:p>
      <w:pPr>
        <w:pStyle w:val="Heading3"/>
        <w:rPr/>
      </w:pPr>
      <w:r>
        <w:rPr/>
        <w:t>3.1.7 Reporting et Business Intelligence (BI)</w:t>
      </w:r>
    </w:p>
    <w:p>
      <w:pPr>
        <w:pStyle w:val="Normal"/>
        <w:spacing w:before="120" w:after="120"/>
        <w:rPr/>
      </w:pPr>
      <w:r>
        <w:rPr/>
        <w:t>Le reporting et la Business Intelligence constituent des fonctionnalités stratégiques pour le pilotage du Groupe. L'ERP devra offrir des capacités de reporting opérationnel intégrées permettant aux utilisateurs métiers d'accéder aux informations dont ils ont besoin au quotidien. L'alimentation de la plateforme BI groupe (Tableau Software) devra être facilitée pour les analyses avancées.</w:t>
      </w:r>
    </w:p>
    <w:p>
      <w:pPr>
        <w:pStyle w:val="Normal"/>
        <w:spacing w:before="120" w:after="120"/>
        <w:rPr/>
      </w:pPr>
      <w:r>
        <w:rPr/>
        <w:t>Le reporting opérationnel standard devra couvrir l'ensemble des domaines fonctionnels avec des états paramétrables. Ces états devront être exportables dans différents formats et programmables pour un envoi automatique par email selon une fréquence définie.</w:t>
      </w:r>
    </w:p>
    <w:p>
      <w:pPr>
        <w:pStyle w:val="Normal"/>
        <w:spacing w:before="120" w:after="120"/>
        <w:rPr/>
      </w:pPr>
      <w:r>
        <w:rPr/>
        <w:t>Les capacités de self-service analytics permettront aux utilisateurs avancés de créer leurs propres analyses sans intervention technique. Un générateur de requêtes intuitif, basé sur un modèle sémantique métier compréhensible, offrira la possibilité de croiser les données selon les axes d'analyse souhaités.</w:t>
      </w:r>
    </w:p>
    <w:p>
      <w:pPr>
        <w:pStyle w:val="Normal"/>
        <w:spacing w:before="120" w:after="120"/>
        <w:rPr/>
      </w:pPr>
      <w:r>
        <w:rPr/>
        <w:t>Les tableaux de bord temps réel constituent une attente forte des directions métiers. L'ERP devra proposer des dashboards prêts à l'emploi pour les indicateurs clés de chaque domaine. Ces tableaux de bord seront accessibles sur différents supports et personnalisables.</w:t>
      </w:r>
    </w:p>
    <w:p>
      <w:pPr>
        <w:pStyle w:val="Normal"/>
        <w:spacing w:before="120" w:after="120"/>
        <w:rPr/>
      </w:pPr>
      <w:r>
        <w:rPr/>
        <w:t>L'alimentation de la plateforme BI externe s'appuiera sur des mécanismes d'extraction performants et documentés. L'ERP devra exposer ses données via des connecteurs standards ou des API dédiées. La fraîcheur des données dans la BI cible devra pouvoir atteindre le quasi temps réel pour les indicateurs prioritaires.</w:t>
      </w:r>
    </w:p>
    <w:p>
      <w:pPr>
        <w:pStyle w:val="Normal"/>
        <w:spacing w:before="120" w:after="120"/>
        <w:rPr/>
      </w:pPr>
      <w:r>
        <w:rPr/>
        <w:t>Les fonctionnalités d'analyse prédictive et d'intelligence artificielle constituent un axe de différenciation des solutions ERP modernes. Le Groupe est particulièrement intéressé par les capacités de prévision de la demande assistées par IA, de détection des anomalies et de recommandation d'actions. Les candidats détailleront les fonctionnalités disponibles nativement.</w:t>
      </w:r>
    </w:p>
    <w:p>
      <w:pPr>
        <w:pStyle w:val="Normal"/>
        <w:spacing w:before="120" w:after="120"/>
        <w:rPr/>
      </w:pPr>
      <w:r>
        <w:rPr/>
        <w:t>La traçabilité des données et la documentation des indicateurs sont essentielles. Chaque indicateur clé devra être défini de manière unique avec sa formule de calcul. Un dictionnaire de données centralisé facilitera la compréhension commune des métriques. L'auditabilité permettra de remonter de l'indicateur agrégé jusqu'aux transactions élémentaires.</w:t>
      </w:r>
    </w:p>
    <w:p>
      <w:pPr>
        <w:pStyle w:val="Normal"/>
        <w:rPr/>
      </w:pPr>
      <w:r>
        <w:rPr/>
      </w:r>
      <w:r>
        <w:br w:type="page"/>
      </w:r>
    </w:p>
    <w:p>
      <w:pPr>
        <w:pStyle w:val="Heading2"/>
        <w:spacing w:before="0" w:after="150"/>
        <w:rPr/>
      </w:pPr>
      <w:r>
        <w:rPr/>
        <w:t>3.2 Exigences non-fonctionnelles</w:t>
      </w:r>
    </w:p>
    <w:p>
      <w:pPr>
        <w:pStyle w:val="Normal"/>
        <w:spacing w:before="120" w:after="120"/>
        <w:rPr/>
      </w:pPr>
      <w:r>
        <w:rPr/>
        <w:t>Les exigences non-fonctionnelles définissent les critères de qualité attendus de la solution ERP, au-delà de la couverture fonctionnelle. Ces exigences portent sur la performance, la disponibilité, l'ergonomie et d'autres attributs qui conditionnent l'adoption de l'outil par les utilisateurs et la création de valeur pour le Groupe.</w:t>
      </w:r>
    </w:p>
    <w:p>
      <w:pPr>
        <w:pStyle w:val="Heading3"/>
        <w:rPr/>
      </w:pPr>
      <w:r>
        <w:rPr/>
        <w:t>3.2.1 Performance, scalabilité et volumétrie</w:t>
      </w:r>
    </w:p>
    <w:p>
      <w:pPr>
        <w:pStyle w:val="Normal"/>
        <w:spacing w:before="120" w:after="120"/>
        <w:rPr/>
      </w:pPr>
      <w:r>
        <w:rPr/>
        <w:t>Les exigences de performance sont critiques pour un ERP supportant les opérations quotidiennes de milliers d'utilisateurs. Le temps de réponse constitue le premier indicateur de performance perçue. L'objectif est de garantir un temps de réponse inférieur à 2 secondes pour 95% des transactions courantes et inférieur à 5 secondes pour les transactions complexes.</w:t>
      </w:r>
    </w:p>
    <w:p>
      <w:pPr>
        <w:pStyle w:val="Normal"/>
        <w:spacing w:before="120" w:after="120"/>
        <w:rPr/>
      </w:pPr>
      <w:r>
        <w:rPr/>
        <w:t>La volumétrie actuelle constitue le dimensionnement minimal : 15,2 millions de commandes annuelles, 218 000 références produits actives, 8,5 millions de fiches clients, 850 fournisseurs, 7 entrepôts et 347 points de vente, et 2 500 utilisateurs concurrents en pic.</w:t>
      </w:r>
    </w:p>
    <w:p>
      <w:pPr>
        <w:pStyle w:val="Normal"/>
        <w:spacing w:before="120" w:after="120"/>
        <w:rPr/>
      </w:pPr>
      <w:r>
        <w:rPr/>
        <w:t>La scalabilité de la solution doit permettre d'accompagner la croissance avec un objectif de doublement des volumes à horizon 2030. La solution devra démontrer sa capacité à monter en charge de manière linéaire, sans effet de seuil. Le modèle de coût devra rester proportionnel à la croissance.</w:t>
      </w:r>
    </w:p>
    <w:p>
      <w:pPr>
        <w:pStyle w:val="Normal"/>
        <w:spacing w:before="120" w:after="120"/>
        <w:rPr/>
      </w:pPr>
      <w:r>
        <w:rPr/>
        <w:t>Les traitements batch devront être optimisés pour s'exécuter dans des fenêtres horaires compatibles avec l'activité 24/7. La clôture journalière comptable devra s'achever en moins de 2 heures. Les calculs de planification devront être finalisés avant 6h00.</w:t>
      </w:r>
    </w:p>
    <w:p>
      <w:pPr>
        <w:pStyle w:val="Normal"/>
        <w:spacing w:before="120" w:after="120"/>
        <w:rPr/>
      </w:pPr>
      <w:r>
        <w:rPr/>
        <w:t>Les tests de performance feront partie intégrante du processus de recette. Les candidats devront proposer une méthodologie de tests de charge permettant de valider le respect des engagements de performance avant mise en production.</w:t>
      </w:r>
    </w:p>
    <w:p>
      <w:pPr>
        <w:pStyle w:val="Normal"/>
        <w:spacing w:before="120" w:after="120"/>
        <w:rPr/>
      </w:pPr>
      <w:r>
        <w:rPr/>
        <w:t>La purge et l'archivage des données anciennes devront être gérés nativement pour maintenir les performances dans la durée. Une politique de rétention différenciée selon la nature des données sera définie et appliquée automatiquement.</w:t>
      </w:r>
    </w:p>
    <w:p>
      <w:pPr>
        <w:pStyle w:val="Heading3"/>
        <w:rPr/>
      </w:pPr>
      <w:r>
        <w:rPr/>
        <w:t>3.2.2 Disponibilité, continuité d'activité (PRA/PCA) et RTO/RPO</w:t>
      </w:r>
    </w:p>
    <w:p>
      <w:pPr>
        <w:pStyle w:val="Normal"/>
        <w:spacing w:before="120" w:after="120"/>
        <w:rPr/>
      </w:pPr>
      <w:r>
        <w:rPr/>
        <w:t>La disponibilité de l'ERP est critique pour les opérations du Groupe qui fonctionne sur une amplitude horaire étendue. L'objectif de disponibilité est fixé à 99,9% sur les heures ouvrées étendues (6h-23h tous les jours), soit un temps d'indisponibilité maximal d'environ 8 heures par an.</w:t>
      </w:r>
    </w:p>
    <w:p>
      <w:pPr>
        <w:pStyle w:val="Normal"/>
        <w:spacing w:before="120" w:after="120"/>
        <w:rPr/>
      </w:pPr>
      <w:r>
        <w:rPr/>
        <w:t>Le Plan de Continuité d'Activité (PCA) définit les dispositions pour maintenir les activités critiques en cas de sinistre majeur. L'ERP devra s'inscrire dans une architecture résiliente avec redondance des composants critiques. Pour une solution SaaS, l'éditeur devra démontrer la robustesse de son infrastructure.</w:t>
      </w:r>
    </w:p>
    <w:p>
      <w:pPr>
        <w:pStyle w:val="Normal"/>
        <w:spacing w:before="120" w:after="120"/>
        <w:rPr/>
      </w:pPr>
      <w:r>
        <w:rPr/>
        <w:t>Le Plan de Reprise d'Activité (PRA) précise les procédures de restauration. Les objectifs sont : RTO (Recovery Time Objective) de 4 heures et RPO (Recovery Point Objective) de 1 heure. Ces objectifs impliquent une réplication des données en quasi temps réel vers un site de secours géographiquement distant.</w:t>
      </w:r>
    </w:p>
    <w:p>
      <w:pPr>
        <w:pStyle w:val="Normal"/>
        <w:spacing w:before="120" w:after="120"/>
        <w:rPr/>
      </w:pPr>
      <w:r>
        <w:rPr/>
        <w:t>Les modes dégradés devront être prévus pour permettre la poursuite des activités critiques en cas d'indisponibilité partielle. Pour les magasins, un mode caisse autonome permettra de continuer les ventes. Les procédures de fonctionnement en mode dégradé seront documentées et testées régulièrement.</w:t>
      </w:r>
    </w:p>
    <w:p>
      <w:pPr>
        <w:pStyle w:val="Normal"/>
        <w:spacing w:before="120" w:after="120"/>
        <w:rPr/>
      </w:pPr>
      <w:r>
        <w:rPr/>
        <w:t>La politique de sauvegarde garantira la capacité de restauration. Des sauvegardes complètes quotidiennes et incrémentales toutes les heures seront réalisées. Les procédures de restauration seront testées trimestriellement pour vérifier leur opérationnalité.</w:t>
      </w:r>
    </w:p>
    <w:p>
      <w:pPr>
        <w:pStyle w:val="Normal"/>
        <w:spacing w:before="120" w:after="120"/>
        <w:rPr/>
      </w:pPr>
      <w:r>
        <w:rPr/>
        <w:t>La supervision proactive permettra de détecter et d'anticiper les incidents. L'ERP devra exposer des métriques de supervision intégrables dans Datadog. Des tableaux de bord de disponibilité temps réel seront accessibles aux équipes IT et aux métiers.</w:t>
      </w:r>
    </w:p>
    <w:p>
      <w:pPr>
        <w:pStyle w:val="Heading3"/>
        <w:rPr/>
      </w:pPr>
      <w:r>
        <w:rPr/>
        <w:t>3.2.3 Ergonomie, accessibilité et support multilingue</w:t>
      </w:r>
    </w:p>
    <w:p>
      <w:pPr>
        <w:pStyle w:val="Normal"/>
        <w:spacing w:before="120" w:after="120"/>
        <w:rPr/>
      </w:pPr>
      <w:r>
        <w:rPr/>
        <w:t>L'ergonomie de l'interface utilisateur est un facteur clé d'adoption et de productivité. La solution cible devra proposer une expérience utilisateur moderne, cohérente avec les standards actuels du web. L'interface devra être épurée, avec une navigation claire et des parcours utilisateurs optimisés.</w:t>
      </w:r>
    </w:p>
    <w:p>
      <w:pPr>
        <w:pStyle w:val="Normal"/>
        <w:spacing w:before="120" w:after="120"/>
        <w:rPr/>
      </w:pPr>
      <w:r>
        <w:rPr/>
        <w:t>La personnalisation de l'interface permettra à chaque utilisateur d'adapter son environnement de travail : configuration des tableaux de bord, choix des colonnes affichées, enregistrement de filtres favoris, définition de raccourcis. Cette personnalisation sera sauvegardée dans le profil utilisateur.</w:t>
      </w:r>
    </w:p>
    <w:p>
      <w:pPr>
        <w:pStyle w:val="Normal"/>
        <w:spacing w:before="120" w:after="120"/>
        <w:rPr/>
      </w:pPr>
      <w:r>
        <w:rPr/>
        <w:t>L'accessibilité numérique est une exigence légale. La solution devra être conforme au niveau AA des WCAG 2.1, garantissant l'accès aux personnes en situation de handicap. Un audit d'accessibilité sera réalisé avant mise en production.</w:t>
      </w:r>
    </w:p>
    <w:p>
      <w:pPr>
        <w:pStyle w:val="Normal"/>
        <w:spacing w:before="120" w:after="120"/>
        <w:rPr/>
      </w:pPr>
      <w:r>
        <w:rPr/>
        <w:t>Le support multi-devices est indispensable. L'interface devra être responsive et s'adapter aux différentes tailles d'écran : postes fixes, portables, tablettes et smartphones. Les fonctionnalités critiques devront être accessibles sur tous les supports.</w:t>
      </w:r>
    </w:p>
    <w:p>
      <w:pPr>
        <w:pStyle w:val="Normal"/>
        <w:spacing w:before="120" w:after="120"/>
        <w:rPr/>
      </w:pPr>
      <w:r>
        <w:rPr/>
        <w:t>Le support multilingue complet est requis pour les 14 langues du Groupe : français, anglais, allemand, néerlandais, italien, espagnol, portugais, suédois, danois, norvégien, finnois, polonais, tchèque et thaï. La traduction devra être de qualité professionnelle.</w:t>
      </w:r>
    </w:p>
    <w:p>
      <w:pPr>
        <w:pStyle w:val="Normal"/>
        <w:spacing w:before="120" w:after="120"/>
        <w:rPr/>
      </w:pPr>
      <w:r>
        <w:rPr/>
        <w:t>Les conventions locales devront être respectées : format de date, séparateur décimal, format monétaire, premier jour de la semaine. L'ERP devra appliquer automatiquement les conventions appropriées selon la localisation de l'utilisateur.</w:t>
      </w:r>
    </w:p>
    <w:p>
      <w:pPr>
        <w:pStyle w:val="Normal"/>
        <w:rPr/>
      </w:pPr>
      <w:r>
        <w:rPr/>
      </w:r>
      <w:r>
        <w:br w:type="page"/>
      </w:r>
    </w:p>
    <w:p>
      <w:pPr>
        <w:pStyle w:val="Heading2"/>
        <w:spacing w:before="0" w:after="150"/>
        <w:rPr/>
      </w:pPr>
      <w:r>
        <w:rPr/>
        <w:t>3.3 Exigences techniques et d'architecture</w:t>
      </w:r>
    </w:p>
    <w:p>
      <w:pPr>
        <w:pStyle w:val="Normal"/>
        <w:spacing w:before="120" w:after="120"/>
        <w:rPr/>
      </w:pPr>
      <w:r>
        <w:rPr/>
        <w:t>Les exigences techniques définissent le cadre architectural dans lequel l'ERP devra s'inscrire. Ces choix structurants conditionnent la pérennité de l'investissement, la capacité d'évolution du système et son intégration dans l'écosystème applicatif du Groupe.</w:t>
      </w:r>
    </w:p>
    <w:p>
      <w:pPr>
        <w:pStyle w:val="Heading3"/>
        <w:rPr/>
      </w:pPr>
      <w:r>
        <w:rPr/>
        <w:t>3.3.1 Modèle de déploiement (Cloud SaaS privilégié, On-premise)</w:t>
      </w:r>
    </w:p>
    <w:p>
      <w:pPr>
        <w:pStyle w:val="Normal"/>
        <w:spacing w:before="120" w:after="120"/>
        <w:rPr/>
      </w:pPr>
      <w:r>
        <w:rPr/>
        <w:t>Le modèle de déploiement privilégié est le Cloud SaaS (Software as a Service). Ce choix stratégique vise à réduire la dette technique, à bénéficier des innovations continues des éditeurs et à transformer les investissements en charges d'exploitation prévisibles.</w:t>
      </w:r>
    </w:p>
    <w:p>
      <w:pPr>
        <w:pStyle w:val="Normal"/>
        <w:spacing w:before="120" w:after="120"/>
        <w:rPr/>
      </w:pPr>
      <w:r>
        <w:rPr/>
        <w:t>L'hébergement devra être assuré dans des datacenters situés dans l'Union Européenne, pour des raisons de conformité RGPD et de latence réseau. Les certifications ISO 27001, SOC 2 et Tier III minimum seront exigées.</w:t>
      </w:r>
    </w:p>
    <w:p>
      <w:pPr>
        <w:pStyle w:val="Normal"/>
        <w:spacing w:before="120" w:after="120"/>
        <w:rPr/>
      </w:pPr>
      <w:r>
        <w:rPr/>
        <w:t>Le modèle SaaS multi-tenant est acceptable sous réserve de garanties strictes d'isolation des données entre clients. Les candidats expliqueront leur architecture de multi-tenancy et les mécanismes assurant l'étanchéité des données.</w:t>
      </w:r>
    </w:p>
    <w:p>
      <w:pPr>
        <w:pStyle w:val="Normal"/>
        <w:spacing w:before="120" w:after="120"/>
        <w:rPr/>
      </w:pPr>
      <w:r>
        <w:rPr/>
        <w:t>Les montées de version devront être gérées de manière transparente avec un calendrier de releases prévisible. La compatibilité ascendante des API et des personnalisations sera garantie contractuellement.</w:t>
      </w:r>
    </w:p>
    <w:p>
      <w:pPr>
        <w:pStyle w:val="Normal"/>
        <w:spacing w:before="120" w:after="120"/>
        <w:rPr/>
      </w:pPr>
      <w:r>
        <w:rPr/>
        <w:t>Les environnements de développement, test, recette et formation devront être fournis en complément de la production. La création d'environnements temporaires à la demande devra être possible avec des délais réduits.</w:t>
      </w:r>
    </w:p>
    <w:p>
      <w:pPr>
        <w:pStyle w:val="Heading3"/>
        <w:rPr/>
      </w:pPr>
      <w:r>
        <w:rPr/>
        <w:t>3.3.2 Intégration et interopérabilité (API, ESB)</w:t>
      </w:r>
    </w:p>
    <w:p>
      <w:pPr>
        <w:pStyle w:val="Normal"/>
        <w:spacing w:before="120" w:after="120"/>
        <w:rPr/>
      </w:pPr>
      <w:r>
        <w:rPr/>
        <w:t>L'intégration de l'ERP dans l'écosystème applicatif est un facteur clé de succès. L'ERP devra échanger des données en temps réel avec de nombreuses applications : plateforme e-commerce, solutions de caisse, WMS, CRM, outils de marketing et BI.</w:t>
      </w:r>
    </w:p>
    <w:p>
      <w:pPr>
        <w:pStyle w:val="Normal"/>
        <w:spacing w:before="120" w:after="120"/>
        <w:rPr/>
      </w:pPr>
      <w:r>
        <w:rPr/>
        <w:t>L'architecture d'intégration s'appuie sur la plateforme MuleSoft Anypoint. L'ERP devra s'intégrer nativement en exposant des API RESTful documentées, respectant les standards OpenAPI/Swagger, OAuth 2.0 et JSON.</w:t>
      </w:r>
    </w:p>
    <w:p>
      <w:pPr>
        <w:pStyle w:val="Normal"/>
        <w:spacing w:before="120" w:after="120"/>
        <w:rPr/>
      </w:pPr>
      <w:r>
        <w:rPr/>
        <w:t>Le catalogue d'API disponibles sera un critère d'évaluation important. Les candidats fourniront la liste exhaustive des API couvrant les référentiels, les transactions, les événements et les services.</w:t>
      </w:r>
    </w:p>
    <w:p>
      <w:pPr>
        <w:pStyle w:val="Normal"/>
        <w:spacing w:before="120" w:after="120"/>
        <w:rPr/>
      </w:pPr>
      <w:r>
        <w:rPr/>
        <w:t>Les mécanismes d'intégration événementielle (event-driven architecture) seront privilégiés pour les échanges temps réel. L'ERP devra publier des événements vers un bus de messages et consommer des événements externes.</w:t>
      </w:r>
    </w:p>
    <w:p>
      <w:pPr>
        <w:pStyle w:val="Normal"/>
        <w:spacing w:before="120" w:after="120"/>
        <w:rPr/>
      </w:pPr>
      <w:r>
        <w:rPr/>
        <w:t>Les intégrations fichiers (batch) resteront nécessaires pour certains flux. L'ERP devra supporter les formats standards (CSV, XML, EDIFACT) avec des outils de mapping et de transformation.</w:t>
      </w:r>
    </w:p>
    <w:p>
      <w:pPr>
        <w:pStyle w:val="Normal"/>
        <w:spacing w:before="120" w:after="120"/>
        <w:rPr/>
      </w:pPr>
      <w:r>
        <w:rPr/>
        <w:t>La supervision des flux d'intégration est essentielle. L'ERP devra offrir des outils de monitoring des API avec alertes en cas d'anomalie. L'intégration avec Datadog et PagerDuty est requise.</w:t>
      </w:r>
    </w:p>
    <w:p>
      <w:pPr>
        <w:pStyle w:val="Heading3"/>
        <w:rPr/>
      </w:pPr>
      <w:r>
        <w:rPr/>
        <w:t>3.3.3 Exigences en matière de gestion des données (migration, gouvernance)</w:t>
      </w:r>
    </w:p>
    <w:p>
      <w:pPr>
        <w:pStyle w:val="Normal"/>
        <w:spacing w:before="120" w:after="120"/>
        <w:rPr/>
      </w:pPr>
      <w:r>
        <w:rPr/>
        <w:t>La migration des données depuis les systèmes actuels est un chantier critique. Les données à reprendre couvrent les référentiels et un historique transactionnel significatif (3 ans minimum). La qualité de la migration conditionnera le démarrage opérationnel.</w:t>
      </w:r>
    </w:p>
    <w:p>
      <w:pPr>
        <w:pStyle w:val="Normal"/>
        <w:spacing w:before="120" w:after="120"/>
        <w:rPr/>
      </w:pPr>
      <w:r>
        <w:rPr/>
        <w:t>La stratégie de migration sera définie conjointement avec l'intégrateur. Les candidats proposeront des outils de migration éprouvés et une méthodologie rigoureuse incluant les phases de mapping, extraction, transformation, chargement et validation.</w:t>
      </w:r>
    </w:p>
    <w:p>
      <w:pPr>
        <w:pStyle w:val="Normal"/>
        <w:spacing w:before="120" w:after="120"/>
        <w:rPr/>
      </w:pPr>
      <w:r>
        <w:rPr/>
        <w:t>La qualité des données est un enjeu majeur. Un chantier de data quality sera mené en amont de la migration. L'ERP cible devra intégrer des contrôles de qualité à la saisie et des outils de détection des anomalies en continu.</w:t>
      </w:r>
    </w:p>
    <w:p>
      <w:pPr>
        <w:pStyle w:val="Normal"/>
        <w:spacing w:before="120" w:after="120"/>
        <w:rPr/>
      </w:pPr>
      <w:r>
        <w:rPr/>
        <w:t>La gouvernance des données définit les règles de gestion du patrimoine informationnel. L'ERP devra supporter un modèle de data ownership avec des workflows de validation. Un dictionnaire de données centralisé documentera chaque attribut.</w:t>
      </w:r>
    </w:p>
    <w:p>
      <w:pPr>
        <w:pStyle w:val="Normal"/>
        <w:spacing w:before="120" w:after="120"/>
        <w:rPr/>
      </w:pPr>
      <w:r>
        <w:rPr/>
        <w:t>L'ERP devra s'intégrer avec une solution MDM (Master Data Management) à moyen terme. En attendant, l'ERP constituera le référentiel maître pour les données produits, clients et fournisseurs.</w:t>
      </w:r>
    </w:p>
    <w:p>
      <w:pPr>
        <w:pStyle w:val="Normal"/>
        <w:spacing w:before="120" w:after="120"/>
        <w:rPr/>
      </w:pPr>
      <w:r>
        <w:rPr/>
        <w:t>La confidentialité des données sera assurée par un modèle d'habilitation granulaire. Le chiffrement des données sensibles au repos et en transit sera exigé. L'anonymisation dans les environnements de test sera native.</w:t>
      </w:r>
    </w:p>
    <w:p>
      <w:pPr>
        <w:pStyle w:val="Normal"/>
        <w:rPr/>
      </w:pPr>
      <w:r>
        <w:rPr/>
      </w:r>
      <w:r>
        <w:br w:type="page"/>
      </w:r>
    </w:p>
    <w:p>
      <w:pPr>
        <w:pStyle w:val="Heading2"/>
        <w:spacing w:before="0" w:after="150"/>
        <w:rPr/>
      </w:pPr>
      <w:r>
        <w:rPr/>
        <w:t>3.4 Exigences de sécurité et de conformité réglementaire</w:t>
      </w:r>
    </w:p>
    <w:p>
      <w:pPr>
        <w:pStyle w:val="Normal"/>
        <w:spacing w:before="120" w:after="120"/>
        <w:rPr/>
      </w:pPr>
      <w:r>
        <w:rPr/>
        <w:t>La sécurité et la conformité réglementaire sont des exigences non négociables pour un ERP gérant les données sensibles d'un groupe international. Les candidats devront démontrer leur maturité en matière de sécurité et leur capacité à accompagner le Groupe dans le respect des multiples réglementations applicables.</w:t>
      </w:r>
    </w:p>
    <w:p>
      <w:pPr>
        <w:pStyle w:val="Heading3"/>
        <w:rPr/>
      </w:pPr>
      <w:r>
        <w:rPr/>
        <w:t>3.4.1 Sécurité des infrastructures et des applications</w:t>
      </w:r>
    </w:p>
    <w:p>
      <w:pPr>
        <w:pStyle w:val="Normal"/>
        <w:spacing w:before="120" w:after="120"/>
        <w:rPr/>
      </w:pPr>
      <w:r>
        <w:rPr/>
        <w:t>La sécurité de l'infrastructure d'hébergement est la première ligne de défense. Pour une solution SaaS, l'éditeur devra démontrer la robustesse : datacenters certifiés, segmentation réseau, firewalls et WAF, IDS/IPS, protection DDoS. Les rapports d'audit de sécurité seront fournis annuellement.</w:t>
      </w:r>
    </w:p>
    <w:p>
      <w:pPr>
        <w:pStyle w:val="Normal"/>
        <w:spacing w:before="120" w:after="120"/>
        <w:rPr/>
      </w:pPr>
      <w:r>
        <w:rPr/>
        <w:t>La sécurité applicative repose sur des pratiques de développement sécurisé (Security by Design). L'éditeur présentera son processus intégrant la sécurité : revue de code, tests SAST/DAST, gestion des vulnérabilités, formation OWASP. Les failles critiques seront corrigées immédiatement.</w:t>
      </w:r>
    </w:p>
    <w:p>
      <w:pPr>
        <w:pStyle w:val="Normal"/>
        <w:spacing w:before="120" w:after="120"/>
        <w:rPr/>
      </w:pPr>
      <w:r>
        <w:rPr/>
        <w:t>Le chiffrement des données est une mesure fondamentale. Les données seront chiffrées en transit (TLS 1.3) et au repos (AES-256). La gestion des clés sera rigoureuse avec rotation régulière et stockage HSM.</w:t>
      </w:r>
    </w:p>
    <w:p>
      <w:pPr>
        <w:pStyle w:val="Normal"/>
        <w:spacing w:before="120" w:after="120"/>
        <w:rPr/>
      </w:pPr>
      <w:r>
        <w:rPr/>
        <w:t>La gestion des vulnérabilités sera proactive. L'éditeur devra disposer d'un processus de veille et d'un plan de réponse aux incidents. Les correctifs critiques seront appliqués dans les plus brefs délais. Le Groupe sera informé des incidents selon une procédure définie.</w:t>
      </w:r>
    </w:p>
    <w:p>
      <w:pPr>
        <w:pStyle w:val="Normal"/>
        <w:spacing w:before="120" w:after="120"/>
        <w:rPr/>
      </w:pPr>
      <w:r>
        <w:rPr/>
        <w:t>Les tests de sécurité réguliers incluront des pentests annuels par un prestataire indépendant. L'éditeur autorisera le Groupe à réaliser ses propres audits. Les scans de vulnérabilité seront exécutés mensuellement.</w:t>
      </w:r>
    </w:p>
    <w:p>
      <w:pPr>
        <w:pStyle w:val="Normal"/>
        <w:spacing w:before="120" w:after="120"/>
        <w:rPr/>
      </w:pPr>
      <w:r>
        <w:rPr/>
        <w:t>La journalisation des événements de sécurité alimentera les capacités de détection. Tous les événements significatifs seront tracés et exportables vers le SIEM du Groupe. La rétention des logs sera de 12 mois minimum.</w:t>
      </w:r>
    </w:p>
    <w:p>
      <w:pPr>
        <w:pStyle w:val="Heading3"/>
        <w:rPr/>
      </w:pPr>
      <w:r>
        <w:rPr/>
        <w:t>3.4.2 Gestion des identités et des accès (IAM)</w:t>
      </w:r>
    </w:p>
    <w:p>
      <w:pPr>
        <w:pStyle w:val="Normal"/>
        <w:spacing w:before="120" w:after="120"/>
        <w:rPr/>
      </w:pPr>
      <w:r>
        <w:rPr/>
        <w:t>L'intégration avec Microsoft Entra ID (ex Azure AD) est impérative pour centraliser la gestion des utilisateurs. Les utilisateurs se connecteront avec leurs identifiants d'entreprise via SSO avec authentification multifacteur obligatoire.</w:t>
      </w:r>
    </w:p>
    <w:p>
      <w:pPr>
        <w:pStyle w:val="Normal"/>
        <w:spacing w:before="120" w:after="120"/>
        <w:rPr/>
      </w:pPr>
      <w:r>
        <w:rPr/>
        <w:t>Le second facteur d'authentification pourra être une application (Microsoft Authenticator), un SMS ou un token physique. Les accès depuis des réseaux non maîtrisés pourront être soumis à des contrôles renforcés.</w:t>
      </w:r>
    </w:p>
    <w:p>
      <w:pPr>
        <w:pStyle w:val="Normal"/>
        <w:spacing w:before="120" w:after="120"/>
        <w:rPr/>
      </w:pPr>
      <w:r>
        <w:rPr/>
        <w:t>Le modèle d'habilitation permettra une gestion fine des droits selon le principe du moindre privilège. Les rôles applicatifs prédéfinis seront personnalisables. Les droits seront attribuables par fonctionnalité, par données et par action.</w:t>
      </w:r>
    </w:p>
    <w:p>
      <w:pPr>
        <w:pStyle w:val="Normal"/>
        <w:spacing w:before="120" w:after="120"/>
        <w:rPr/>
      </w:pPr>
      <w:r>
        <w:rPr/>
        <w:t>Le provisioning et deprovisioning des comptes seront automatisés via l'intégration avec les systèmes RH et l'annuaire. L'arrivée, le départ et les mutations seront gérés automatiquement pour éliminer les risques liés aux oublis.</w:t>
      </w:r>
    </w:p>
    <w:p>
      <w:pPr>
        <w:pStyle w:val="Normal"/>
        <w:spacing w:before="120" w:after="120"/>
        <w:rPr/>
      </w:pPr>
      <w:r>
        <w:rPr/>
        <w:t>Les comptes à privilèges feront l'objet de mesures renforcées : accès strictement limité et tracé, comptes nominatifs, sessions enregistrées pour les actions sensibles, revue trimestrielle des habilitations privilégiées.</w:t>
      </w:r>
    </w:p>
    <w:p>
      <w:pPr>
        <w:pStyle w:val="Normal"/>
        <w:spacing w:before="120" w:after="120"/>
        <w:rPr/>
      </w:pPr>
      <w:r>
        <w:rPr/>
        <w:t>La séparation des tâches (Segregation of Duties - SoD) sera implémentée. Des règles identifieront les combinaisons de droits incompatibles. L'ERP alertera en cas de violation lors de l'attribution des droits et générera des rapports d'anomalies.</w:t>
      </w:r>
    </w:p>
    <w:p>
      <w:pPr>
        <w:pStyle w:val="Heading3"/>
        <w:rPr/>
      </w:pPr>
      <w:r>
        <w:rPr/>
        <w:t>3.4.3 Conformité (RGPD, réglementations douanières, normes comptables internationales)</w:t>
      </w:r>
    </w:p>
    <w:p>
      <w:pPr>
        <w:pStyle w:val="Normal"/>
        <w:spacing w:before="120" w:after="120"/>
        <w:rPr/>
      </w:pPr>
      <w:r>
        <w:rPr/>
        <w:t>La conformité RGPD est une obligation légale. L'ERP devra intégrer nativement : registre des traitements, gestion des consentements, exercice des droits des personnes, notification des violations, analyse d'impact. L'éditeur sera qualifié de sous-traitant au sens du RGPD.</w:t>
      </w:r>
    </w:p>
    <w:p>
      <w:pPr>
        <w:pStyle w:val="Normal"/>
        <w:spacing w:before="120" w:after="120"/>
        <w:rPr/>
      </w:pPr>
      <w:r>
        <w:rPr/>
        <w:t>Les réglementations douanières devront être supportées : nomenclatures douanières, calcul des droits et taxes, génération des documents douaniers, suivi des régimes particuliers. La mise à jour des réglementations sera assurée par l'éditeur.</w:t>
      </w:r>
    </w:p>
    <w:p>
      <w:pPr>
        <w:pStyle w:val="Normal"/>
        <w:spacing w:before="120" w:after="120"/>
        <w:rPr/>
      </w:pPr>
      <w:r>
        <w:rPr/>
        <w:t>Les normes comptables locales de chaque pays devront être respectées. L'ERP permettra la tenue de comptabilités conformes aux exigences locales tout en autorisant la consolidation IFRS. Les évolutions réglementaires seront intégrées dans les mises à jour.</w:t>
      </w:r>
    </w:p>
    <w:p>
      <w:pPr>
        <w:pStyle w:val="Normal"/>
        <w:spacing w:before="120" w:after="120"/>
        <w:rPr/>
      </w:pPr>
      <w:r>
        <w:rPr/>
        <w:t>Les obligations fiscales numériques se multiplient. L'ERP devra supporter : Factur-X français, SII espagnol, SDI italien, SAF-T nordique et polonais, et les futurs dispositifs de e-reporting européens. Une veille réglementaire active est attendue.</w:t>
      </w:r>
    </w:p>
    <w:p>
      <w:pPr>
        <w:pStyle w:val="Normal"/>
        <w:spacing w:before="120" w:after="120"/>
        <w:rPr/>
      </w:pPr>
      <w:r>
        <w:rPr/>
        <w:t>Les réglementations sectorielles retail devront être prises en compte : soldes et promotions, affichage des prix, garanties légales, droit de rétractation, éco-contributions, traçabilité. L'ERP devra offrir la flexibilité nécessaire pour paramétrer ces règles.</w:t>
      </w:r>
    </w:p>
    <w:p>
      <w:pPr>
        <w:pStyle w:val="Normal"/>
        <w:spacing w:before="120" w:after="120"/>
        <w:rPr/>
      </w:pPr>
      <w:r>
        <w:rPr/>
        <w:t>L'auditabilité du système est essentielle. L'ERP devra conserver un historique complet et inaltérable des transactions avec horodatage et identification de l'auteur. Les pistes d'audit seront exportables. Des contrôles automatisés sur les processus sensibles seront paramétrables.</w:t>
      </w:r>
    </w:p>
    <w:p>
      <w:pPr>
        <w:pStyle w:val="Normal"/>
        <w:spacing w:before="300" w:after="100"/>
        <w:rPr/>
      </w:pPr>
      <w:r>
        <w:rPr>
          <w:b/>
          <w:bCs/>
          <w:sz w:val="24"/>
          <w:szCs w:val="24"/>
        </w:rPr>
        <w:t>Synthèse des exigences clés :</w:t>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c>
          <w:tcPr>
            <w:tcW w:w="30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Domaine</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Exigence clé</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Niveau requis</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Performance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Temps de réponse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&lt; 2s pour 95% des transactions</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Disponibilité</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Taux de disponibilité</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99,9% (6h-23h)</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Reprise d'activité</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RTO / RPO</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4 heures / 1 heure</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Sécurité</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Certifications</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ISO 27001, SOC 2 Type II</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Multilingue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Langues supportées</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14 langues</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Volumétrie</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Commandes annuelles</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15,2 M (objectif 30 M en 2030)</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Hébergement</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Localisation</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Union Européenne</w:t>
            </w:r>
          </w:p>
        </w:tc>
      </w:tr>
    </w:tbl>
    <w:p>
      <w:pPr>
        <w:pStyle w:val="Normal"/>
        <w:spacing w:before="120" w:after="120"/>
        <w:rPr/>
      </w:pPr>
      <w:r>
        <w:rPr/>
      </w:r>
    </w:p>
    <w:p>
      <w:pPr>
        <w:pStyle w:val="Heading2"/>
        <w:rPr/>
      </w:pPr>
      <w:r>
        <w:rPr/>
        <w:t>3.2 Exigences non-fonctionnelles</w:t>
      </w:r>
    </w:p>
    <w:p>
      <w:pPr>
        <w:pStyle w:val="Normal"/>
        <w:spacing w:before="120" w:after="120"/>
        <w:rPr/>
      </w:pPr>
      <w:r>
        <w:rPr/>
        <w:t>Les exigences non-fonctionnelles définissent les critères de qualité attendus de la solution ERP, au-delà de la couverture fonctionnelle. Ces exigences portent sur la performance, la disponibilité, l'ergonomie et d'autres attributs qui conditionnent l'adoption de l'outil par les utilisateurs et la création de valeur pour le Groupe. Le non-respect de ces exigences pourrait compromettre le succès du projet, même avec une couverture fonctionnelle excellente. Les candidats devront s'engager contractuellement sur ces niveaux de service.</w:t>
      </w:r>
    </w:p>
    <w:p>
      <w:pPr>
        <w:pStyle w:val="Normal"/>
        <w:spacing w:before="120" w:after="120"/>
        <w:rPr/>
      </w:pPr>
      <w:r>
        <w:rPr/>
        <w:t>Ces exigences ont été définies sur la base d'une analyse approfondie des besoins métiers, des retours d'expérience sur le système actuel et des benchmarks sectoriels. Elles reflètent les attentes légitimes d'un groupe international opérant dans le retail omnicanal, où la réactivité et la fiabilité du système d'information sont des facteurs critiques de compétitivité. Chaque exigence est assortie d'indicateurs mesurables qui feront l'objet d'un suivi régulier en exploitation.</w:t>
      </w:r>
    </w:p>
    <w:p>
      <w:pPr>
        <w:pStyle w:val="Heading3"/>
        <w:rPr/>
      </w:pPr>
      <w:r>
        <w:rPr/>
        <w:t>3.2.1 Performance, scalabilité et volumétrie</w:t>
      </w:r>
    </w:p>
    <w:p>
      <w:pPr>
        <w:pStyle w:val="Normal"/>
        <w:spacing w:before="120" w:after="120"/>
        <w:rPr/>
      </w:pPr>
      <w:r>
        <w:rPr/>
        <w:t>Les exigences de performance sont critiques pour un ERP supportant les opérations quotidiennes de milliers d'utilisateurs répartis sur trois continents et quinze fuseaux horaires. Le temps de réponse constitue le premier indicateur de performance perçue par les utilisateurs et impacte directement leur productivité et leur satisfaction. Une dégradation des temps de réponse génère non seulement de la frustration mais également des erreurs de saisie et des contournements préjudiciables à la qualité des données.</w:t>
      </w:r>
    </w:p>
    <w:p>
      <w:pPr>
        <w:pStyle w:val="Normal"/>
        <w:spacing w:before="120" w:after="120"/>
        <w:rPr/>
      </w:pPr>
      <w:r>
        <w:rPr/>
        <w:t>L'objectif de temps de réponse est fixé à moins de 2 secondes pour 95% des transactions courantes, mesurées du clic utilisateur à l'affichage complet du résultat. Cette cible s'applique aux opérations de consultation (fiches article, client, commande), de saisie (création de commande, enregistrement de réception) et de validation (approbation de workflow, clôture de caisse). Les 5% restants, correspondant aux transactions complexes impliquant des calculs ou des volumes de données importants, devront s'exécuter en moins de 5 secondes.</w:t>
      </w:r>
    </w:p>
    <w:p>
      <w:pPr>
        <w:pStyle w:val="Normal"/>
        <w:spacing w:before="120" w:after="120"/>
        <w:rPr/>
      </w:pPr>
      <w:r>
        <w:rPr/>
        <w:t>Les transactions analytiques et de reporting ont des objectifs spécifiques adaptés à leur nature. L'affichage d'un tableau de bord standard devra s'effectuer en moins de 5 secondes. L'exécution d'un état paramétré sur une période d'un mois devra aboutir en moins de 30 secondes. Les exports de données volumineux (plus de 100 000 lignes) pourront être traités en mode asynchrone avec notification de l'utilisateur à l'issue du traitement. Ces temps s'entendent pour des requêtes correctement optimisées, sans requête ad hoc non maîtrisée.</w:t>
      </w:r>
    </w:p>
    <w:p>
      <w:pPr>
        <w:pStyle w:val="Normal"/>
        <w:spacing w:before="120" w:after="120"/>
        <w:rPr/>
      </w:pPr>
      <w:r>
        <w:rPr/>
        <w:t>Ces objectifs de performance s'appliquent en conditions normales d'exploitation mais également en période de charge élevée. Le système devra maintenir ses engagements de performance lors des pics d'activité prévisibles : périodes de soldes (janvier et juillet), Black Friday, fêtes de fin d'année, et opérations promotionnelles majeures. Durant ces périodes, la charge peut être multipliée par trois par rapport à une journée normale, avec des pics horaires concentrés entre 12h et 14h et entre 18h et 21h.</w:t>
      </w:r>
    </w:p>
    <w:p>
      <w:pPr>
        <w:pStyle w:val="Normal"/>
        <w:spacing w:before="200" w:after="100"/>
        <w:rPr/>
      </w:pPr>
      <w:r>
        <w:rPr>
          <w:b/>
          <w:bCs/>
          <w:sz w:val="24"/>
          <w:szCs w:val="24"/>
        </w:rPr>
        <w:t>Volumétries actuelles et cibles :</w:t>
      </w:r>
    </w:p>
    <w:tbl>
      <w:tblPr>
        <w:tblW w:w="5000" w:type="pct"/>
        <w:jc w:val="left"/>
        <w:tblInd w:w="0" w:type="dxa"/>
        <w:tblLayout w:type="fixed"/>
        <w:tblCellMar>
          <w:top w:w="80" w:type="dxa"/>
          <w:left w:w="120" w:type="dxa"/>
          <w:bottom w:w="80" w:type="dxa"/>
          <w:right w:w="120" w:type="dxa"/>
        </w:tblCellMar>
      </w:tblPr>
      <w:tblGrid>
        <w:gridCol w:w="4011"/>
        <w:gridCol w:w="2507"/>
        <w:gridCol w:w="2508"/>
      </w:tblGrid>
      <w:tr>
        <w:trPr/>
        <w:tc>
          <w:tcPr>
            <w:tcW w:w="401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Indicateur</w:t>
            </w:r>
          </w:p>
        </w:tc>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Volume actuel (2025)</w:t>
            </w:r>
          </w:p>
        </w:tc>
        <w:tc>
          <w:tcPr>
            <w:tcW w:w="25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Cible 2030</w:t>
            </w:r>
          </w:p>
        </w:tc>
      </w:tr>
      <w:tr>
        <w:trPr/>
        <w:tc>
          <w:tcPr>
            <w:tcW w:w="4011" w:type="dxa"/>
            <w:tcBorders>
              <w:top w:val="single" w:sz="2" w:space="0" w:color="CCCCCC"/>
              <w:left w:val="single" w:sz="2" w:space="0" w:color="CCCCCC"/>
              <w:bottom w:val="single" w:sz="2" w:space="0" w:color="CCCCCC"/>
              <w:right w:val="single" w:sz="2" w:space="0" w:color="CCCCCC"/>
            </w:tcBorders>
          </w:tcPr>
          <w:p>
            <w:pPr>
              <w:pStyle w:val="Normal"/>
              <w:rPr/>
            </w:pPr>
            <w:r>
              <w:rPr/>
              <w:t>Commandes annuelles</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15,2 millions</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30 millions</w:t>
            </w:r>
          </w:p>
        </w:tc>
      </w:tr>
      <w:tr>
        <w:trPr/>
        <w:tc>
          <w:tcPr>
            <w:tcW w:w="40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Lignes de commande annuelles</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52 millions</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100 millions</w:t>
            </w:r>
          </w:p>
        </w:tc>
      </w:tr>
      <w:tr>
        <w:trPr/>
        <w:tc>
          <w:tcPr>
            <w:tcW w:w="4011" w:type="dxa"/>
            <w:tcBorders>
              <w:top w:val="single" w:sz="2" w:space="0" w:color="CCCCCC"/>
              <w:left w:val="single" w:sz="2" w:space="0" w:color="CCCCCC"/>
              <w:bottom w:val="single" w:sz="2" w:space="0" w:color="CCCCCC"/>
              <w:right w:val="single" w:sz="2" w:space="0" w:color="CCCCCC"/>
            </w:tcBorders>
          </w:tcPr>
          <w:p>
            <w:pPr>
              <w:pStyle w:val="Normal"/>
              <w:rPr/>
            </w:pPr>
            <w:r>
              <w:rPr/>
              <w:t>Commandes par jour (pic)</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150 000</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300 000</w:t>
            </w:r>
          </w:p>
        </w:tc>
      </w:tr>
      <w:tr>
        <w:trPr/>
        <w:tc>
          <w:tcPr>
            <w:tcW w:w="40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Références produits actives</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218 000</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400 000</w:t>
            </w:r>
          </w:p>
        </w:tc>
      </w:tr>
      <w:tr>
        <w:trPr/>
        <w:tc>
          <w:tcPr>
            <w:tcW w:w="4011" w:type="dxa"/>
            <w:tcBorders>
              <w:top w:val="single" w:sz="2" w:space="0" w:color="CCCCCC"/>
              <w:left w:val="single" w:sz="2" w:space="0" w:color="CCCCCC"/>
              <w:bottom w:val="single" w:sz="2" w:space="0" w:color="CCCCCC"/>
              <w:right w:val="single" w:sz="2" w:space="0" w:color="CCCCCC"/>
            </w:tcBorders>
          </w:tcPr>
          <w:p>
            <w:pPr>
              <w:pStyle w:val="Normal"/>
              <w:rPr/>
            </w:pPr>
            <w:r>
              <w:rPr/>
              <w:t>Fiches clients</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8,5 millions</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15 millions</w:t>
            </w:r>
          </w:p>
        </w:tc>
      </w:tr>
      <w:tr>
        <w:trPr/>
        <w:tc>
          <w:tcPr>
            <w:tcW w:w="40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Utilisateurs nommés</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4 500</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8 000</w:t>
            </w:r>
          </w:p>
        </w:tc>
      </w:tr>
      <w:tr>
        <w:trPr/>
        <w:tc>
          <w:tcPr>
            <w:tcW w:w="4011" w:type="dxa"/>
            <w:tcBorders>
              <w:top w:val="single" w:sz="2" w:space="0" w:color="CCCCCC"/>
              <w:left w:val="single" w:sz="2" w:space="0" w:color="CCCCCC"/>
              <w:bottom w:val="single" w:sz="2" w:space="0" w:color="CCCCCC"/>
              <w:right w:val="single" w:sz="2" w:space="0" w:color="CCCCCC"/>
            </w:tcBorders>
          </w:tcPr>
          <w:p>
            <w:pPr>
              <w:pStyle w:val="Normal"/>
              <w:rPr/>
            </w:pPr>
            <w:r>
              <w:rPr/>
              <w:t>Utilisateurs concurrents (pic)</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2 500</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5 000</w:t>
            </w:r>
          </w:p>
        </w:tc>
      </w:tr>
      <w:tr>
        <w:trPr/>
        <w:tc>
          <w:tcPr>
            <w:tcW w:w="40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Points de vente</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347</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600</w:t>
            </w:r>
          </w:p>
        </w:tc>
      </w:tr>
      <w:tr>
        <w:trPr/>
        <w:tc>
          <w:tcPr>
            <w:tcW w:w="4011" w:type="dxa"/>
            <w:tcBorders>
              <w:top w:val="single" w:sz="2" w:space="0" w:color="CCCCCC"/>
              <w:left w:val="single" w:sz="2" w:space="0" w:color="CCCCCC"/>
              <w:bottom w:val="single" w:sz="2" w:space="0" w:color="CCCCCC"/>
              <w:right w:val="single" w:sz="2" w:space="0" w:color="CCCCCC"/>
            </w:tcBorders>
          </w:tcPr>
          <w:p>
            <w:pPr>
              <w:pStyle w:val="Normal"/>
              <w:rPr/>
            </w:pPr>
            <w:r>
              <w:rPr/>
              <w:t>Pays d'opération</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15</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25</w:t>
            </w:r>
          </w:p>
        </w:tc>
      </w:tr>
    </w:tbl>
    <w:p>
      <w:pPr>
        <w:pStyle w:val="Normal"/>
        <w:spacing w:before="200" w:after="120"/>
        <w:rPr/>
      </w:pPr>
      <w:r>
        <w:rPr/>
        <w:t>La scalabilité de la solution doit permettre d'accompagner la croissance du Groupe sans remise en cause de l'architecture ni dégradation des performances. L'objectif stratégique à horizon 2030 prévoit un doublement des volumes traités, porté par l'expansion géographique et la croissance organique. La solution devra démontrer sa capacité à monter en charge de manière linéaire et prévisible, sans effet de seuil ni point de rupture. Les candidats présenteront leur architecture technique et les mécanismes de scaling automatique disponibles.</w:t>
      </w:r>
    </w:p>
    <w:p>
      <w:pPr>
        <w:pStyle w:val="Normal"/>
        <w:spacing w:before="120" w:after="120"/>
        <w:rPr/>
      </w:pPr>
      <w:r>
        <w:rPr/>
        <w:t>Le modèle économique de la solution devra refléter cette scalabilité. Le coût ne devra pas croître plus rapidement que le volume d'activité traité. Idéalement, des économies d'échelle seront réalisables grâce à la mutualisation des infrastructures Cloud. Les candidats présenteront une simulation de l'évolution des coûts sur cinq ans, intégrant différents scénarios de croissance (base, optimiste, accéléré), avec identification des éventuels paliers tarifaires et de leurs seuils de déclenchement.</w:t>
      </w:r>
    </w:p>
    <w:p>
      <w:pPr>
        <w:pStyle w:val="Normal"/>
        <w:spacing w:before="120" w:after="120"/>
        <w:rPr/>
      </w:pPr>
      <w:r>
        <w:rPr/>
        <w:t>Les traitements batch (exécutions différées, calculs massifs, clôtures) devront être optimisés pour s'exécuter dans des fenêtres horaires compatibles avec l'activité quasi-continue du Groupe. La clôture journalière comptable, incluant la génération de toutes les écritures automatiques et les contrôles de cohérence, devra s'achever en moins de 2 heures. Les calculs de planification des approvisionnements, portant sur l'ensemble des références et des points de stockage, devront être finalisés avant 6h00 pour permettre le traitement des commandes fournisseurs dès l'ouverture des bureaux.</w:t>
      </w:r>
    </w:p>
    <w:p>
      <w:pPr>
        <w:pStyle w:val="Normal"/>
        <w:spacing w:before="120" w:after="120"/>
        <w:rPr/>
      </w:pPr>
      <w:r>
        <w:rPr/>
        <w:t>La mise à jour du moteur de tarification, incluant l'activation des promotions planifiées et les changements de prix, devra pouvoir s'effectuer en temps réel sans interruption de service. Les synchronisations de stock entre l'ERP et les systèmes connectés (caisses, e-commerce, WMS) devront respecter une latence maximale de 5 minutes en conditions normales et de 15 minutes en période de forte charge. Les candidats détailleront leur architecture de réplication et les mécanismes de gestion des conflits.</w:t>
      </w:r>
    </w:p>
    <w:p>
      <w:pPr>
        <w:pStyle w:val="Normal"/>
        <w:spacing w:before="120" w:after="120"/>
        <w:rPr/>
      </w:pPr>
      <w:r>
        <w:rPr/>
        <w:t>Les tests de performance feront partie intégrante du processus de recette et seront renouvelés régulièrement en exploitation. Les candidats devront proposer une méthodologie de tests de charge incluant : la définition des scénarios représentatifs (basés sur les profils d'utilisation réels), les outils de génération de charge et de mesure, les environnements de test dimensionnés de manière représentative, et les critères d'acceptation alignés sur les engagements contractuels. Un test de charge grandeur nature simulant les conditions du Black Friday sera réalisé avant le premier déploiement.</w:t>
      </w:r>
    </w:p>
    <w:p>
      <w:pPr>
        <w:pStyle w:val="Normal"/>
        <w:spacing w:before="120" w:after="120"/>
        <w:rPr/>
      </w:pPr>
      <w:r>
        <w:rPr/>
        <w:t>La surveillance des performances en production sera continue et proactive. L'ERP devra exposer des métriques de performance détaillées (temps de réponse par transaction, utilisation des ressources, files d'attente) intégrables dans les outils APM (Application Performance Monitoring) du Groupe. Des alertes automatiques seront configurées pour détecter les dégradations avant qu'elles n'impactent les utilisateurs. Un tableau de bord de performance temps réel sera accessible aux équipes IT et aux sponsors métiers pour objectiver la qualité de service délivrée.</w:t>
      </w:r>
    </w:p>
    <w:p>
      <w:pPr>
        <w:pStyle w:val="Normal"/>
        <w:spacing w:before="120" w:after="120"/>
        <w:rPr/>
      </w:pPr>
      <w:r>
        <w:rPr/>
        <w:t>La purge et l'archivage des données anciennes devront être gérés nativement par la solution pour maintenir les performances dans la durée. Une politique de rétention différenciée sera définie selon la nature des données : les données transactionnelles opérationnelles seront conservées en ligne pendant 3 ans puis archivées, les historiques analytiques seront maintenus 7 ans pour les besoins de tendance, les données personnelles seront purgées selon les durées RGPD. L'archivage préservera l'accès aux données pour les besoins d'audit et de conformité, avec des temps de restauration garantis.</w:t>
      </w:r>
    </w:p>
    <w:p>
      <w:pPr>
        <w:pStyle w:val="Normal"/>
        <w:rPr/>
      </w:pPr>
      <w:r>
        <w:rPr/>
      </w:r>
      <w:r>
        <w:br w:type="page"/>
      </w:r>
    </w:p>
    <w:p>
      <w:pPr>
        <w:pStyle w:val="Heading3"/>
        <w:spacing w:before="0" w:after="120"/>
        <w:rPr/>
      </w:pPr>
      <w:r>
        <w:rPr/>
        <w:t>3.2.2 Disponibilité, continuité d'activité (PRA/PCA) et RTO/RPO</w:t>
      </w:r>
    </w:p>
    <w:p>
      <w:pPr>
        <w:pStyle w:val="Normal"/>
        <w:spacing w:before="120" w:after="120"/>
        <w:rPr/>
      </w:pPr>
      <w:r>
        <w:rPr/>
        <w:t>La disponibilité de l'ERP est un enjeu critique pour le Groupe Retail Horizon, dont les opérations s'étendent sur une amplitude horaire très large. Les magasins sont ouverts 7 jours sur 7, de 10h à 20h en semaine et jusqu'à 21h le samedi, avec des extensions pendant les périodes commerciales fortes. La plateforme e-commerce fonctionne 24 heures sur 24 et génère des commandes en continu, avec des pics nocturnes non négligeables. Les équipes administratives travaillent sur des fuseaux horaires couvrant l'Europe et l'Asie du Sud-Est. Toute indisponibilité du système se traduit directement en perte de chiffre d'affaires et en dégradation de l'expérience client.</w:t>
      </w:r>
    </w:p>
    <w:p>
      <w:pPr>
        <w:pStyle w:val="Normal"/>
        <w:spacing w:before="120" w:after="120"/>
        <w:rPr/>
      </w:pPr>
      <w:r>
        <w:rPr/>
        <w:t>L'objectif de disponibilité est fixé à 99,9% sur les heures ouvrées étendues, définies comme la plage 6h00-23h00 heure de Paris, tous les jours de l'année y compris les week-ends et jours fériés. Ce niveau de disponibilité correspond à un temps d'indisponibilité maximal toléré d'environ 8 heures par an sur cette plage, soit moins d'une minute par jour en moyenne. Les indisponibilités planifiées (maintenance, mises à jour) devront être programmées en dehors de cette plage critique, idéalement entre 2h00 et 5h00, avec un préavis minimum de 72 heures et une validation du calendrier par le Groupe.</w:t>
      </w:r>
    </w:p>
    <w:p>
      <w:pPr>
        <w:pStyle w:val="Normal"/>
        <w:spacing w:before="120" w:after="120"/>
        <w:rPr/>
      </w:pPr>
      <w:r>
        <w:rPr/>
        <w:t>La disponibilité sera mesurée de manière objective et transparente par des outils de monitoring indépendants. Chaque incident sera tracé avec son heure de début, son heure de résolution et son impact fonctionnel. Un reporting mensuel de disponibilité sera produit et analysé lors des comités de pilotage. Les écarts par rapport aux engagements seront documentés avec leurs causes racines et les plans d'action correctifs. Des pénalités financières seront appliquées en cas de non-respect des SLA selon une grille définie contractuellement.</w:t>
      </w:r>
    </w:p>
    <w:p>
      <w:pPr>
        <w:pStyle w:val="Normal"/>
        <w:spacing w:before="200" w:after="100"/>
        <w:rPr/>
      </w:pPr>
      <w:r>
        <w:rPr>
          <w:b/>
          <w:bCs/>
          <w:sz w:val="24"/>
          <w:szCs w:val="24"/>
        </w:rPr>
        <w:t>Engagements de disponibilité (SLA) :</w:t>
      </w:r>
    </w:p>
    <w:tbl>
      <w:tblPr>
        <w:tblW w:w="5000" w:type="pct"/>
        <w:jc w:val="left"/>
        <w:tblInd w:w="0" w:type="dxa"/>
        <w:tblLayout w:type="fixed"/>
        <w:tblCellMar>
          <w:top w:w="80" w:type="dxa"/>
          <w:left w:w="120" w:type="dxa"/>
          <w:bottom w:w="80" w:type="dxa"/>
          <w:right w:w="120" w:type="dxa"/>
        </w:tblCellMar>
      </w:tblPr>
      <w:tblGrid>
        <w:gridCol w:w="3510"/>
        <w:gridCol w:w="2507"/>
        <w:gridCol w:w="3009"/>
      </w:tblGrid>
      <w:tr>
        <w:trPr/>
        <w:tc>
          <w:tcPr>
            <w:tcW w:w="351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Plage horaire</w:t>
            </w:r>
          </w:p>
        </w:tc>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Disponibilité cible</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Indisponibilité max/an</w:t>
            </w:r>
          </w:p>
        </w:tc>
      </w:tr>
      <w:tr>
        <w:trPr/>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Heures critiques (6h-23h)</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99,9%</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8 heures</w:t>
            </w:r>
          </w:p>
        </w:tc>
      </w:tr>
      <w:tr>
        <w:trPr/>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Heures non critiques (23h-6h)</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99,0%</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25 heures</w:t>
            </w:r>
          </w:p>
        </w:tc>
      </w:tr>
      <w:tr>
        <w:trPr/>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Périodes commerciales critiques*</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99,95%</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2 heures (sur la période)</w:t>
            </w:r>
          </w:p>
        </w:tc>
      </w:tr>
    </w:tbl>
    <w:p>
      <w:pPr>
        <w:pStyle w:val="Normal"/>
        <w:spacing w:before="60" w:after="120"/>
        <w:rPr/>
      </w:pPr>
      <w:r>
        <w:rPr>
          <w:i/>
          <w:iCs/>
          <w:sz w:val="20"/>
          <w:szCs w:val="20"/>
        </w:rPr>
        <w:t>* Périodes commerciales critiques : soldes d'hiver (2 semaines), soldes d'été (2 semaines), Black Friday (4 jours), période de Noël (15 nov - 31 déc)</w:t>
      </w:r>
    </w:p>
    <w:p>
      <w:pPr>
        <w:pStyle w:val="Normal"/>
        <w:spacing w:before="120" w:after="120"/>
        <w:rPr/>
      </w:pPr>
      <w:r>
        <w:rPr/>
        <w:t>Le Plan de Continuité d'Activité (PCA) définit les dispositions organisationnelles et techniques permettant de maintenir les activités critiques du Groupe en cas de sinistre majeur affectant le système d'information. L'ERP devra s'inscrire dans une architecture hautement résiliente avec redondance de tous les composants critiques : serveurs applicatifs en cluster actif-actif, bases de données répliquées en synchrone, équipements réseau doublés, alimentations électriques secourues. Aucun point unique de défaillance (SPOF) ne sera toléré sur le chemin critique des transactions.</w:t>
      </w:r>
    </w:p>
    <w:p>
      <w:pPr>
        <w:pStyle w:val="Normal"/>
        <w:spacing w:before="120" w:after="120"/>
        <w:rPr/>
      </w:pPr>
      <w:r>
        <w:rPr/>
        <w:t>Pour une solution SaaS, l'éditeur devra démontrer la robustesse de son infrastructure et la maturité de ses pratiques de continuité d'activité. Les certifications attendues incluent ISO 22301 (management de la continuité d'activité) et les certifications des datacenters (Tier III minimum selon la classification Uptime Institute, soit 99,982% de disponibilité garantie par l'infrastructure). Les rapports d'audit SOC 2 Type II, couvrant notamment les critères de disponibilité et de résilience, seront fournis annuellement. Les résultats des tests de PRA de l'éditeur seront communiqués au Groupe.</w:t>
      </w:r>
    </w:p>
    <w:p>
      <w:pPr>
        <w:pStyle w:val="Normal"/>
        <w:spacing w:before="120" w:after="120"/>
        <w:rPr/>
      </w:pPr>
      <w:r>
        <w:rPr/>
        <w:t>Le Plan de Reprise d'Activité (PRA) précise les procédures de restauration du service en cas de sinistre majeur rendant le site principal indisponible. Deux indicateurs clés définissent les objectifs de reprise. Le RTO (Recovery Time Objective) représente le délai maximal acceptable pour restaurer le service après un sinistre ; il est fixé à 4 heures pour l'ERP, ce qui signifie que le système devra être à nouveau opérationnel dans ce délai quel que soit le type de sinistre (panne matérielle, cyberattaque, catastrophe naturelle, erreur humaine).</w:t>
      </w:r>
    </w:p>
    <w:p>
      <w:pPr>
        <w:pStyle w:val="Normal"/>
        <w:spacing w:before="120" w:after="120"/>
        <w:rPr/>
      </w:pPr>
      <w:r>
        <w:rPr/>
        <w:t>Le RPO (Recovery Point Objective) représente la perte de données maximale acceptable en cas de sinistre ; il est fixé à 1 heure pour l'ERP, ce qui signifie que les données pourront être restaurées à un état datant d'au maximum une heure avant le sinistre. Ce RPO impose une réplication des données en quasi temps réel vers un site de secours géographiquement distant (minimum 100 km du site principal pour se prémunir contre les sinistres régionaux). La réplication devra être synchrone ou asynchrone avec un décalage maximal d'une heure.</w:t>
      </w:r>
    </w:p>
    <w:p>
      <w:pPr>
        <w:pStyle w:val="Normal"/>
        <w:spacing w:before="200" w:after="100"/>
        <w:rPr/>
      </w:pPr>
      <w:r>
        <w:rPr>
          <w:b/>
          <w:bCs/>
          <w:sz w:val="24"/>
          <w:szCs w:val="24"/>
        </w:rPr>
        <w:t>Objectifs de reprise par criticité :</w:t>
      </w:r>
    </w:p>
    <w:tbl>
      <w:tblPr>
        <w:tblW w:w="5000" w:type="pct"/>
        <w:jc w:val="left"/>
        <w:tblInd w:w="0" w:type="dxa"/>
        <w:tblLayout w:type="fixed"/>
        <w:tblCellMar>
          <w:top w:w="80" w:type="dxa"/>
          <w:left w:w="120" w:type="dxa"/>
          <w:bottom w:w="80" w:type="dxa"/>
          <w:right w:w="120" w:type="dxa"/>
        </w:tblCellMar>
      </w:tblPr>
      <w:tblGrid>
        <w:gridCol w:w="3510"/>
        <w:gridCol w:w="1504"/>
        <w:gridCol w:w="1504"/>
        <w:gridCol w:w="2507"/>
      </w:tblGrid>
      <w:tr>
        <w:trPr/>
        <w:tc>
          <w:tcPr>
            <w:tcW w:w="351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Composant</w:t>
            </w:r>
          </w:p>
        </w:tc>
        <w:tc>
          <w:tcPr>
            <w:tcW w:w="1504"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RTO</w:t>
            </w:r>
          </w:p>
        </w:tc>
        <w:tc>
          <w:tcPr>
            <w:tcW w:w="1504"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RPO</w:t>
            </w:r>
          </w:p>
        </w:tc>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Criticité</w:t>
            </w:r>
          </w:p>
        </w:tc>
      </w:tr>
      <w:tr>
        <w:trPr/>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ERP Core (ventes, stocks, finance)</w:t>
            </w:r>
          </w:p>
        </w:tc>
        <w:tc>
          <w:tcPr>
            <w:tcW w:w="1504" w:type="dxa"/>
            <w:tcBorders>
              <w:top w:val="single" w:sz="2" w:space="0" w:color="CCCCCC"/>
              <w:left w:val="single" w:sz="2" w:space="0" w:color="CCCCCC"/>
              <w:bottom w:val="single" w:sz="2" w:space="0" w:color="CCCCCC"/>
              <w:right w:val="single" w:sz="2" w:space="0" w:color="CCCCCC"/>
            </w:tcBorders>
          </w:tcPr>
          <w:p>
            <w:pPr>
              <w:pStyle w:val="Normal"/>
              <w:rPr/>
            </w:pPr>
            <w:r>
              <w:rPr/>
              <w:t>4 heures</w:t>
            </w:r>
          </w:p>
        </w:tc>
        <w:tc>
          <w:tcPr>
            <w:tcW w:w="1504" w:type="dxa"/>
            <w:tcBorders>
              <w:top w:val="single" w:sz="2" w:space="0" w:color="CCCCCC"/>
              <w:left w:val="single" w:sz="2" w:space="0" w:color="CCCCCC"/>
              <w:bottom w:val="single" w:sz="2" w:space="0" w:color="CCCCCC"/>
              <w:right w:val="single" w:sz="2" w:space="0" w:color="CCCCCC"/>
            </w:tcBorders>
          </w:tcPr>
          <w:p>
            <w:pPr>
              <w:pStyle w:val="Normal"/>
              <w:rPr/>
            </w:pPr>
            <w:r>
              <w:rPr/>
              <w:t>1 heure</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b/>
                <w:bCs/>
                <w:color w:val="C00000"/>
              </w:rPr>
              <w:t>CRITIQUE</w:t>
            </w:r>
          </w:p>
        </w:tc>
      </w:tr>
      <w:tr>
        <w:trPr/>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Interfaces temps réel (caisses, e-commerce)</w:t>
            </w:r>
          </w:p>
        </w:tc>
        <w:tc>
          <w:tcPr>
            <w:tcW w:w="1504"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 heures</w:t>
            </w:r>
          </w:p>
        </w:tc>
        <w:tc>
          <w:tcPr>
            <w:tcW w:w="1504"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15 min</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color w:val="C00000"/>
              </w:rPr>
              <w:t>CRITIQUE</w:t>
            </w:r>
          </w:p>
        </w:tc>
      </w:tr>
      <w:tr>
        <w:trPr/>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Reporting et BI</w:t>
            </w:r>
          </w:p>
        </w:tc>
        <w:tc>
          <w:tcPr>
            <w:tcW w:w="1504" w:type="dxa"/>
            <w:tcBorders>
              <w:top w:val="single" w:sz="2" w:space="0" w:color="CCCCCC"/>
              <w:left w:val="single" w:sz="2" w:space="0" w:color="CCCCCC"/>
              <w:bottom w:val="single" w:sz="2" w:space="0" w:color="CCCCCC"/>
              <w:right w:val="single" w:sz="2" w:space="0" w:color="CCCCCC"/>
            </w:tcBorders>
          </w:tcPr>
          <w:p>
            <w:pPr>
              <w:pStyle w:val="Normal"/>
              <w:rPr/>
            </w:pPr>
            <w:r>
              <w:rPr/>
              <w:t>8 heures</w:t>
            </w:r>
          </w:p>
        </w:tc>
        <w:tc>
          <w:tcPr>
            <w:tcW w:w="1504" w:type="dxa"/>
            <w:tcBorders>
              <w:top w:val="single" w:sz="2" w:space="0" w:color="CCCCCC"/>
              <w:left w:val="single" w:sz="2" w:space="0" w:color="CCCCCC"/>
              <w:bottom w:val="single" w:sz="2" w:space="0" w:color="CCCCCC"/>
              <w:right w:val="single" w:sz="2" w:space="0" w:color="CCCCCC"/>
            </w:tcBorders>
          </w:tcPr>
          <w:p>
            <w:pPr>
              <w:pStyle w:val="Normal"/>
              <w:rPr/>
            </w:pPr>
            <w:r>
              <w:rPr/>
              <w:t>4 heures</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b/>
                <w:bCs/>
                <w:color w:val="ED7D31"/>
              </w:rPr>
              <w:t>ÉLEVÉE</w:t>
            </w:r>
          </w:p>
        </w:tc>
      </w:tr>
      <w:tr>
        <w:trPr/>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Environnements hors production</w:t>
            </w:r>
          </w:p>
        </w:tc>
        <w:tc>
          <w:tcPr>
            <w:tcW w:w="1504"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24 heures</w:t>
            </w:r>
          </w:p>
        </w:tc>
        <w:tc>
          <w:tcPr>
            <w:tcW w:w="1504"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24 heures</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color w:val="70AD47"/>
              </w:rPr>
              <w:t>STANDARD</w:t>
            </w:r>
          </w:p>
        </w:tc>
      </w:tr>
    </w:tbl>
    <w:p>
      <w:pPr>
        <w:pStyle w:val="Normal"/>
        <w:spacing w:before="200" w:after="120"/>
        <w:rPr/>
      </w:pPr>
      <w:r>
        <w:rPr/>
        <w:t>Les modes dégradés devront être prévus et documentés pour permettre la poursuite des activités les plus critiques en cas d'indisponibilité prolongée du système central. Pour les magasins, un mode caisse autonome permettra de continuer les ventes avec enregistrement local des transactions et synchronisation différée lors du rétablissement de la connexion. Ce mode devra fonctionner pendant au moins 48 heures avec conservation de l'intégralité des données de vente, de stock et de fidélité.</w:t>
      </w:r>
    </w:p>
    <w:p>
      <w:pPr>
        <w:pStyle w:val="Normal"/>
        <w:spacing w:before="120" w:after="120"/>
        <w:rPr/>
      </w:pPr>
      <w:r>
        <w:rPr/>
        <w:t>Pour la logistique, les opérations d'expédition les plus urgentes devront pouvoir être traitées via des procédures manuelles de secours, avec édition locale des documents de transport et mise à jour ultérieure du système. Pour la comptabilité, les clôtures pourront être décalées de 24 heures maximum sans impact sur les obligations légales. Les procédures de fonctionnement en mode dégradé seront documentées, communiquées aux équipes concernées et testées lors des exercices annuels de PRA.</w:t>
      </w:r>
    </w:p>
    <w:p>
      <w:pPr>
        <w:pStyle w:val="Normal"/>
        <w:spacing w:before="120" w:after="120"/>
        <w:rPr/>
      </w:pPr>
      <w:r>
        <w:rPr/>
        <w:t>La politique de sauvegarde garantira la capacité de restauration des données en toutes circonstances. Des sauvegardes complètes de la base de données seront réalisées quotidiennement, avec une rétention de 30 jours en ligne permettant une restauration rapide. Des sauvegardes incrémentales seront effectuées toutes les heures pour minimiser la perte de données en cas de restauration. Les sauvegardes seront stockées sur un site géographiquement distant et chiffrées pour garantir leur confidentialité.</w:t>
      </w:r>
    </w:p>
    <w:p>
      <w:pPr>
        <w:pStyle w:val="Normal"/>
        <w:spacing w:before="120" w:after="120"/>
        <w:rPr/>
      </w:pPr>
      <w:r>
        <w:rPr/>
        <w:t>Les procédures de restauration seront testées trimestriellement pour vérifier leur opérationnalité et mesurer les temps effectifs de restauration. Ces tests incluront des restaurations complètes sur un environnement isolé, des restaurations partielles de tables spécifiques, et des restaurations à un point dans le temps (point-in-time recovery). Les résultats des tests seront documentés et les écarts par rapport aux objectifs feront l'objet de plans d'amélioration. Une restauration grandeur nature sera réalisée annuellement dans le cadre de l'exercice de PRA.</w:t>
      </w:r>
    </w:p>
    <w:p>
      <w:pPr>
        <w:pStyle w:val="Normal"/>
        <w:spacing w:before="120" w:after="120"/>
        <w:rPr/>
      </w:pPr>
      <w:r>
        <w:rPr/>
        <w:t>La supervision proactive permettra de détecter et d'anticiper les incidents avant qu'ils n'impactent les utilisateurs. L'ERP devra exposer des métriques de santé (health checks) interrogeables par les outils de monitoring du Groupe. Ces métriques couvriront l'état des composants applicatifs, la disponibilité des services, les métriques de performance en temps réel et les indicateurs de capacité. L'intégration avec la plateforme de supervision Datadog sera réalisée via des API standards ou des agents dédiés.</w:t>
      </w:r>
    </w:p>
    <w:p>
      <w:pPr>
        <w:pStyle w:val="Normal"/>
        <w:spacing w:before="120" w:after="120"/>
        <w:rPr/>
      </w:pPr>
      <w:r>
        <w:rPr/>
        <w:t>Un système d'alertes multi-niveaux sera configuré pour notifier les équipes appropriées selon la gravité de l'incident. Les alertes critiques (service indisponible, dégradation majeure) déclencheront une notification immédiate de l'astreinte via PagerDuty avec escalade automatique en cas de non-acquittement. Les alertes de warning (seuils approchés, anomalies détectées) seront traitées pendant les heures ouvrées. Un tableau de bord de disponibilité temps réel sera accessible aux équipes IT, aux sponsors métiers et à la direction pour suivre la qualité de service.</w:t>
      </w:r>
    </w:p>
    <w:p>
      <w:pPr>
        <w:pStyle w:val="Normal"/>
        <w:rPr/>
      </w:pPr>
      <w:r>
        <w:rPr/>
      </w:r>
      <w:r>
        <w:br w:type="page"/>
      </w:r>
    </w:p>
    <w:p>
      <w:pPr>
        <w:pStyle w:val="Heading3"/>
        <w:spacing w:before="0" w:after="120"/>
        <w:rPr/>
      </w:pPr>
      <w:r>
        <w:rPr/>
        <w:t>3.2.3 Ergonomie, accessibilité et support multilingue</w:t>
      </w:r>
    </w:p>
    <w:p>
      <w:pPr>
        <w:pStyle w:val="Normal"/>
        <w:spacing w:before="120" w:after="120"/>
        <w:rPr/>
      </w:pPr>
      <w:r>
        <w:rPr/>
        <w:t>L'ergonomie de l'interface utilisateur est un facteur déterminant pour l'adoption de l'ERP et la productivité des équipes. L'expérience utilisateur sur le système actuel SAP ECC est unanimement critiquée : interface datée et peu intuitive, navigation complexe nécessitant la mémorisation de codes de transaction, écrans surchargés d'informations non pertinentes, temps de formation long pour les nouveaux arrivants. Le taux de satisfaction mesuré en 2024 s'établit à seulement 42%, bien en deçà des standards attendus pour un outil de travail quotidien.</w:t>
      </w:r>
    </w:p>
    <w:p>
      <w:pPr>
        <w:pStyle w:val="Normal"/>
        <w:spacing w:before="120" w:after="120"/>
        <w:rPr/>
      </w:pPr>
      <w:r>
        <w:rPr/>
        <w:t>La solution cible devra proposer une expérience utilisateur moderne, cohérente avec les standards actuels du web et des applications grand public auxquelles les collaborateurs sont habitués dans leur vie personnelle. L'interface devra être épurée et aérée, privilégiant la clarté à l'exhaustivité. La navigation devra être intuitive, permettant d'accéder aux fonctionnalités courantes en trois clics maximum. Les parcours utilisateurs devront être optimisés pour les tâches les plus fréquentes, avec des assistants guidant les processus complexes.</w:t>
      </w:r>
    </w:p>
    <w:p>
      <w:pPr>
        <w:pStyle w:val="Normal"/>
        <w:spacing w:before="120" w:after="120"/>
        <w:rPr/>
      </w:pPr>
      <w:r>
        <w:rPr/>
        <w:t>L'interface devra s'adapter au profil et au contexte de l'utilisateur pour ne présenter que les informations et les actions pertinentes. Un vendeur en magasin aura un écran d'accueil centré sur la recherche de produits, la consultation des stocks et la création de commandes. Un contrôleur de gestion accédera directement à ses tableaux de bord financiers et à ses rapports d'analyse. Un acheteur visualisera ses commandes en cours et ses alertes fournisseurs. Cette contextualisation réduira la charge cognitive et accélérera l'exécution des tâches.</w:t>
      </w:r>
    </w:p>
    <w:p>
      <w:pPr>
        <w:pStyle w:val="Normal"/>
        <w:spacing w:before="120" w:after="120"/>
        <w:rPr/>
      </w:pPr>
      <w:r>
        <w:rPr/>
        <w:t>La personnalisation de l'interface permettra à chaque utilisateur d'adapter son environnement de travail à ses préférences et à ses habitudes. Les fonctionnalités de personnalisation attendues incluent : la configuration des tableaux de bord personnels avec choix des widgets et de leur disposition, la sélection des colonnes affichées dans les listes et tableaux avec possibilité de réordonner et redimensionner, l'enregistrement de filtres et de recherches favorites pour un accès rapide aux vues fréquemment utilisées, la définition de raccourcis et de favoris vers les transactions les plus utilisées.</w:t>
      </w:r>
    </w:p>
    <w:p>
      <w:pPr>
        <w:pStyle w:val="Normal"/>
        <w:spacing w:before="120" w:after="120"/>
        <w:rPr/>
      </w:pPr>
      <w:r>
        <w:rPr/>
        <w:t>Cette personnalisation devra être sauvegardée dans le profil utilisateur et synchronisée automatiquement quel que soit le poste de connexion. Un utilisateur se connectant depuis un autre ordinateur ou depuis une tablette retrouvera son environnement personnalisé. La personnalisation devra pouvoir être réinitialisée à la configuration par défaut si nécessaire. Les administrateurs pourront définir des configurations de référence par profil métier, servant de point de départ pour la personnalisation individuelle.</w:t>
      </w:r>
    </w:p>
    <w:p>
      <w:pPr>
        <w:pStyle w:val="Normal"/>
        <w:spacing w:before="120" w:after="120"/>
        <w:rPr/>
      </w:pPr>
      <w:r>
        <w:rPr/>
        <w:t>Les fonctionnalités de recherche devront être puissantes et omniprésentes. Une barre de recherche globale, accessible depuis toutes les pages, permettra de trouver rapidement n'importe quelle information : articles par référence, désignation ou code-barres, clients par nom, email ou numéro de fidélité, commandes par numéro ou par critères multiples, etc. La recherche sera tolérante aux fautes de frappe et proposera des suggestions en temps réel. L'historique des recherches récentes et les recherches sauvegardées accéléreront l'accès aux informations fréquemment consultées.</w:t>
      </w:r>
    </w:p>
    <w:p>
      <w:pPr>
        <w:pStyle w:val="Normal"/>
        <w:spacing w:before="120" w:after="120"/>
        <w:rPr/>
      </w:pPr>
      <w:r>
        <w:rPr/>
        <w:t>L'aide contextuelle et l'accompagnement des utilisateurs seront intégrés à l'interface. Chaque écran disposera d'une aide en ligne expliquant les fonctionnalités disponibles et les champs à renseigner. Des info-bulles sur les champs fourniront des explications complémentaires au survol. Des assistants (wizards) guideront les utilisateurs dans les processus complexes ou peu fréquents. Une base de connaissances consultable permettra de trouver des réponses aux questions courantes. Un système de notifications informera les utilisateurs des tâches en attente et des événements importants.</w:t>
      </w:r>
    </w:p>
    <w:p>
      <w:pPr>
        <w:pStyle w:val="Normal"/>
        <w:spacing w:before="120" w:after="120"/>
        <w:rPr/>
      </w:pPr>
      <w:r>
        <w:rPr/>
        <w:t>L'accessibilité numérique est une exigence légale en France depuis la loi du 11 février 2005, renforcée par le décret du 24 juillet 2019 qui impose aux entreprises de plus de 250 millions d'euros de chiffre d'affaires de rendre leurs outils numériques accessibles. Au-delà de l'obligation légale, l'accessibilité est un engagement éthique du Groupe envers l'ensemble de ses collaborateurs, quelles que soient leurs capacités. La solution devra être conforme au niveau AA des Web Content Accessibility Guidelines (WCAG 2.1).</w:t>
      </w:r>
    </w:p>
    <w:p>
      <w:pPr>
        <w:pStyle w:val="Normal"/>
        <w:spacing w:before="120" w:after="120"/>
        <w:rPr/>
      </w:pPr>
      <w:r>
        <w:rPr/>
        <w:t>Les fonctionnalités d'accessibilité requises incluent : la navigation complète au clavier sans nécessité d'utiliser la souris, la compatibilité avec les technologies d'assistance (lecteurs d'écran comme JAWS ou NVDA, plages braille), des contrastes de couleurs suffisants respectant les ratios WCAG (4.5:1 pour le texte normal, 3:1 pour le texte large), la possibilité d'agrandir le texte jusqu'à 200% sans perte de fonctionnalité, des alternatives textuelles pour tous les contenus non textuels (images, icônes, graphiques). Un audit d'accessibilité sera réalisé par un organisme indépendant avant la mise en production.</w:t>
      </w:r>
    </w:p>
    <w:p>
      <w:pPr>
        <w:pStyle w:val="Normal"/>
        <w:spacing w:before="120" w:after="120"/>
        <w:rPr/>
      </w:pPr>
      <w:r>
        <w:rPr/>
        <w:t>Le support multi-devices est indispensable pour répondre aux usages diversifiés des collaborateurs dans leurs différents contextes de travail. L'interface devra être responsive et s'adapter automatiquement aux différentes tailles et résolutions d'écran : postes de travail fixes avec grands écrans pour les fonctions administratives, ordinateurs portables pour les managers et les commerciaux itinérants, tablettes utilisées par les vendeurs en surface de vente et les magasiniers en entrepôt, smartphones pour la consultation en mobilité et les validations urgentes.</w:t>
      </w:r>
    </w:p>
    <w:p>
      <w:pPr>
        <w:pStyle w:val="Normal"/>
        <w:spacing w:before="120" w:after="120"/>
        <w:rPr/>
      </w:pPr>
      <w:r>
        <w:rPr/>
        <w:t>Les fonctionnalités critiques devront être accessibles et utilisables sur tous les supports, avec une ergonomie adaptée à chaque contexte d'usage. Sur tablette, les boutons et zones de toucher devront être dimensionnés pour une utilisation tactile confortable. Sur smartphone, les parcours seront simplifiés pour se concentrer sur les actions essentielles. Les candidats préciseront les navigateurs et systèmes d'exploitation supportés, avec engagement de compatibilité sur les versions récentes des principaux navigateurs (Chrome, Safari, Edge, Firefox) et des systèmes mobiles (iOS, Android).</w:t>
      </w:r>
    </w:p>
    <w:p>
      <w:pPr>
        <w:pStyle w:val="Normal"/>
        <w:spacing w:before="200" w:after="100"/>
        <w:rPr/>
      </w:pPr>
      <w:r>
        <w:rPr>
          <w:b/>
          <w:bCs/>
          <w:sz w:val="24"/>
          <w:szCs w:val="24"/>
        </w:rPr>
        <w:t>Langues supportées et priorités :</w:t>
      </w:r>
    </w:p>
    <w:tbl>
      <w:tblPr>
        <w:tblW w:w="5000" w:type="pct"/>
        <w:jc w:val="left"/>
        <w:tblInd w:w="0" w:type="dxa"/>
        <w:tblLayout w:type="fixed"/>
        <w:tblCellMar>
          <w:top w:w="80" w:type="dxa"/>
          <w:left w:w="120" w:type="dxa"/>
          <w:bottom w:w="80" w:type="dxa"/>
          <w:right w:w="120" w:type="dxa"/>
        </w:tblCellMar>
      </w:tblPr>
      <w:tblGrid>
        <w:gridCol w:w="2507"/>
        <w:gridCol w:w="3008"/>
        <w:gridCol w:w="1505"/>
        <w:gridCol w:w="2005"/>
      </w:tblGrid>
      <w:tr>
        <w:trPr/>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Langue</w:t>
            </w:r>
          </w:p>
        </w:tc>
        <w:tc>
          <w:tcPr>
            <w:tcW w:w="30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Pays concernés</w:t>
            </w:r>
          </w:p>
        </w:tc>
        <w:tc>
          <w:tcPr>
            <w:tcW w:w="15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Utilisateurs</w:t>
            </w:r>
          </w:p>
        </w:tc>
        <w:tc>
          <w:tcPr>
            <w:tcW w:w="20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Priorité</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Français</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France, Belgique, Suisse</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2 100</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P1 - Démarrage</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Anglais</w:t>
            </w:r>
          </w:p>
        </w:tc>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International, Asie</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800</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P1 - Démarrage</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Allemand</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Allemagne, Autriche, Suisse</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650</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P2 - Vague 2</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Néerlandais</w:t>
            </w:r>
          </w:p>
        </w:tc>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Pays-Bas, Belgique</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280</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P2 - Vague 2</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Italien</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Italie</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320</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P2 - Vague 2</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Espagnol</w:t>
            </w:r>
          </w:p>
        </w:tc>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Espagne</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180</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P3 - Vague 3</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Langues scandinaves</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Suède, Danemark, Norvège, Finlande</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420</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P3 - Vague 3</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Polonais, Tchèque</w:t>
            </w:r>
          </w:p>
        </w:tc>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Pologne, République tchèque</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150</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P3 - Vague 3</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Thaï</w:t>
            </w:r>
          </w:p>
        </w:tc>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Thaïlande</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100</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P4 - Vague Asie</w:t>
            </w:r>
          </w:p>
        </w:tc>
      </w:tr>
    </w:tbl>
    <w:p>
      <w:pPr>
        <w:pStyle w:val="Normal"/>
        <w:spacing w:before="200" w:after="120"/>
        <w:rPr/>
      </w:pPr>
      <w:r>
        <w:rPr/>
        <w:t>Le support multilingue complet est une exigence impérative pour un groupe international opérant dans 15 pays avec des équipes locales. L'interface utilisateur, les messages système, les libellés de champs, l'aide en ligne et les rapports devront être disponibles dans les 14 langues du Groupe listées ci-dessus. La traduction devra être de qualité professionnelle, réalisée par des traducteurs natifs connaissant le vocabulaire métier du retail. Les traductions automatiques non révisées ne seront pas acceptées. L'ajout de nouvelles langues devra être possible sans développement, via un mécanisme de fichiers de ressources.</w:t>
      </w:r>
    </w:p>
    <w:p>
      <w:pPr>
        <w:pStyle w:val="Normal"/>
        <w:spacing w:before="120" w:after="120"/>
        <w:rPr/>
      </w:pPr>
      <w:r>
        <w:rPr/>
        <w:t>Les conventions locales devront être respectées au-delà de la simple traduction linguistique. Chaque pays et chaque culture a ses spécificités en termes de formats et d'usages qu'il convient de respecter pour éviter les erreurs et les incompréhensions. Les formats de date varient significativement selon les pays : JJ/MM/AAAA en France, MM/JJ/AAAA aux États-Unis, AAAA-MM-JJ en Suède. Les séparateurs numériques diffèrent également : virgule décimale et espace pour les milliers en France, point décimal et virgule pour les milliers dans les pays anglo-saxons.</w:t>
      </w:r>
    </w:p>
    <w:p>
      <w:pPr>
        <w:pStyle w:val="Normal"/>
        <w:spacing w:before="120" w:after="120"/>
        <w:rPr/>
      </w:pPr>
      <w:r>
        <w:rPr/>
        <w:t>Les formats monétaires incluent la position du symbole (avant ou après le montant), le nombre de décimales et le séparateur. Le premier jour de la semaine est le lundi dans la plupart des pays européens mais le dimanche dans d'autres cultures. Les formats d'adresse postale varient considérablement selon les pays. L'ERP devra appliquer automatiquement les conventions appropriées selon la localisation de l'utilisateur, configurée dans son profil. Une surcharge individuelle devra être possible pour les utilisateurs travaillant dans un contexte international nécessitant des conventions spécifiques.</w:t>
      </w:r>
    </w:p>
    <w:p>
      <w:pPr>
        <w:pStyle w:val="Normal"/>
        <w:spacing w:before="120" w:after="120"/>
        <w:rPr/>
      </w:pPr>
      <w:r>
        <w:rPr/>
        <w:t>Le support des caractères spéciaux et des alphabets non latins devra être complet. Les données pourront contenir des caractères accentués (français, allemand, scandinave), des caractères spéciaux (ß allemand, ø danois) et des caractères non latins (thaï, et potentiellement chinois, japonais, coréen pour les développements futurs en Asie). L'encodage UTF-8 sera utilisé de bout en bout pour garantir l'intégrité des données. Les recherches et les tris devront respecter les règles de collation propres à chaque langue.</w:t>
      </w:r>
    </w:p>
    <w:p>
      <w:pPr>
        <w:pStyle w:val="Normal"/>
        <w:spacing w:before="120" w:after="120"/>
        <w:rPr/>
      </w:pPr>
      <w:r>
        <w:rPr/>
      </w:r>
    </w:p>
    <w:p>
      <w:pPr>
        <w:pStyle w:val="Heading2"/>
        <w:rPr/>
      </w:pPr>
      <w:r>
        <w:rPr/>
        <w:t>3.3 Exigences techniques et d'architecture</w:t>
      </w:r>
    </w:p>
    <w:p>
      <w:pPr>
        <w:pStyle w:val="Normal"/>
        <w:spacing w:before="120" w:after="120"/>
        <w:rPr/>
      </w:pPr>
      <w:r>
        <w:rPr/>
        <w:t>Les exigences techniques définissent le cadre architectural dans lequel l'ERP devra s'inscrire pour répondre aux besoins actuels et futurs du Groupe Retail Horizon. Ces choix structurants conditionnent la pérennité de l'investissement, la capacité d'évolution du système, son intégration dans l'écosystème applicatif existant et sa maintenabilité à long terme. L'architecture technique doit permettre d'atteindre les objectifs de performance, de disponibilité et de sécurité définis dans les sections précédentes.</w:t>
      </w:r>
    </w:p>
    <w:p>
      <w:pPr>
        <w:pStyle w:val="Normal"/>
        <w:spacing w:before="120" w:after="120"/>
        <w:rPr/>
      </w:pPr>
      <w:r>
        <w:rPr/>
        <w:t>La stratégie IT du Groupe s'oriente résolument vers le Cloud, avec une ambition de réduire l'empreinte des infrastructures on-premise et de bénéficier de l'agilité, de la scalabilité et de l'innovation continue offertes par les plateformes Cloud modernes. Le projet de renouvellement ERP constitue une opportunité majeure d'accélérer cette transformation et de poser les fondations d'un système d'information plus agile et plus ouvert. Les candidats détailleront leur architecture technique et démontreront son adéquation avec cette vision stratégique.</w:t>
      </w:r>
    </w:p>
    <w:p>
      <w:pPr>
        <w:pStyle w:val="Heading3"/>
        <w:rPr/>
      </w:pPr>
      <w:r>
        <w:rPr/>
        <w:t>3.3.1 Modèle de déploiement (Cloud SaaS privilégié, On-premise)</w:t>
      </w:r>
    </w:p>
    <w:p>
      <w:pPr>
        <w:pStyle w:val="Normal"/>
        <w:spacing w:before="120" w:after="120"/>
        <w:rPr/>
      </w:pPr>
      <w:r>
        <w:rPr/>
        <w:t>Le modèle de déploiement privilégié par le Groupe Retail Horizon est le Cloud SaaS (Software as a Service), dans lequel l'application est hébergée, opérée et maintenue par l'éditeur, et mise à disposition des utilisateurs via Internet sur la base d'un abonnement. Ce choix stratégique s'inscrit dans la politique IT groupe « Cloud First » adoptée en 2023, visant à réduire la dette technique, à accélérer l'innovation, à améliorer la résilience et à transformer les investissements capitalistiques en charges d'exploitation prévisibles et proportionnées à l'usage.</w:t>
      </w:r>
    </w:p>
    <w:p>
      <w:pPr>
        <w:pStyle w:val="Normal"/>
        <w:spacing w:before="120" w:after="120"/>
        <w:rPr/>
      </w:pPr>
      <w:r>
        <w:rPr/>
        <w:t>Le modèle SaaS présente de nombreux avantages pour un groupe comme Retail Horizon. Il transfère à l'éditeur la responsabilité de l'infrastructure technique (serveurs, stockage, réseau, sécurité périmétrique), des opérations courantes (supervision, sauvegarde, maintenance préventive) et des montées de version applicatives. Cette externalisation permet aux équipes IT internes de se recentrer sur les activités à valeur ajoutée : accompagnement des métiers, intégration des systèmes, exploitation des données, innovation digitale. Elle réduit également le risque d'obsolescence technologique.</w:t>
      </w:r>
    </w:p>
    <w:p>
      <w:pPr>
        <w:pStyle w:val="Normal"/>
        <w:spacing w:before="120" w:after="120"/>
        <w:rPr/>
      </w:pPr>
      <w:r>
        <w:rPr/>
        <w:t>Le modèle économique du SaaS, basé sur un abonnement récurrent plutôt que sur l'achat de licences perpétuelles, offre une meilleure visibilité budgétaire et une plus grande flexibilité. Les coûts sont lissés dans le temps et proportionnés au nombre d'utilisateurs ou au volume d'activité. L'entreprise n'a plus à financer les infrastructures et les ressources humaines nécessaires à l'hébergement et à l'exploitation. Les mises à jour sont incluses dans l'abonnement, garantissant un système toujours à jour fonctionnellement et techniquement.</w:t>
      </w:r>
    </w:p>
    <w:p>
      <w:pPr>
        <w:pStyle w:val="Normal"/>
        <w:spacing w:before="200" w:after="100"/>
        <w:rPr/>
      </w:pPr>
      <w:r>
        <w:rPr>
          <w:b/>
          <w:bCs/>
          <w:sz w:val="24"/>
          <w:szCs w:val="24"/>
        </w:rPr>
        <w:t>Comparaison des modèles de déploiement :</w:t>
      </w:r>
    </w:p>
    <w:tbl>
      <w:tblPr>
        <w:tblW w:w="5000" w:type="pct"/>
        <w:jc w:val="left"/>
        <w:tblInd w:w="0" w:type="dxa"/>
        <w:tblLayout w:type="fixed"/>
        <w:tblCellMar>
          <w:top w:w="80" w:type="dxa"/>
          <w:left w:w="120" w:type="dxa"/>
          <w:bottom w:w="80" w:type="dxa"/>
          <w:right w:w="120" w:type="dxa"/>
        </w:tblCellMar>
      </w:tblPr>
      <w:tblGrid>
        <w:gridCol w:w="2205"/>
        <w:gridCol w:w="2608"/>
        <w:gridCol w:w="2608"/>
        <w:gridCol w:w="1604"/>
      </w:tblGrid>
      <w:tr>
        <w:trPr/>
        <w:tc>
          <w:tcPr>
            <w:tcW w:w="22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Critère</w:t>
            </w:r>
          </w:p>
        </w:tc>
        <w:tc>
          <w:tcPr>
            <w:tcW w:w="26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SaaS Public</w:t>
            </w:r>
          </w:p>
        </w:tc>
        <w:tc>
          <w:tcPr>
            <w:tcW w:w="26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Cloud Privé / Hybride</w:t>
            </w:r>
          </w:p>
        </w:tc>
        <w:tc>
          <w:tcPr>
            <w:tcW w:w="1604"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On-Premise</w:t>
            </w:r>
          </w:p>
        </w:tc>
      </w:tr>
      <w:tr>
        <w:trPr/>
        <w:tc>
          <w:tcPr>
            <w:tcW w:w="2205" w:type="dxa"/>
            <w:tcBorders>
              <w:top w:val="single" w:sz="2" w:space="0" w:color="CCCCCC"/>
              <w:left w:val="single" w:sz="2" w:space="0" w:color="CCCCCC"/>
              <w:bottom w:val="single" w:sz="2" w:space="0" w:color="CCCCCC"/>
              <w:right w:val="single" w:sz="2" w:space="0" w:color="CCCCCC"/>
            </w:tcBorders>
          </w:tcPr>
          <w:p>
            <w:pPr>
              <w:pStyle w:val="Normal"/>
              <w:rPr/>
            </w:pPr>
            <w:r>
              <w:rPr/>
              <w:t>Responsabilité infra</w:t>
            </w:r>
          </w:p>
        </w:tc>
        <w:tc>
          <w:tcPr>
            <w:tcW w:w="2608" w:type="dxa"/>
            <w:tcBorders>
              <w:top w:val="single" w:sz="2" w:space="0" w:color="CCCCCC"/>
              <w:left w:val="single" w:sz="2" w:space="0" w:color="CCCCCC"/>
              <w:bottom w:val="single" w:sz="2" w:space="0" w:color="CCCCCC"/>
              <w:right w:val="single" w:sz="2" w:space="0" w:color="CCCCCC"/>
            </w:tcBorders>
          </w:tcPr>
          <w:p>
            <w:pPr>
              <w:pStyle w:val="Normal"/>
              <w:rPr/>
            </w:pPr>
            <w:r>
              <w:rPr/>
              <w:t>Éditeur</w:t>
            </w:r>
          </w:p>
        </w:tc>
        <w:tc>
          <w:tcPr>
            <w:tcW w:w="2608" w:type="dxa"/>
            <w:tcBorders>
              <w:top w:val="single" w:sz="2" w:space="0" w:color="CCCCCC"/>
              <w:left w:val="single" w:sz="2" w:space="0" w:color="CCCCCC"/>
              <w:bottom w:val="single" w:sz="2" w:space="0" w:color="CCCCCC"/>
              <w:right w:val="single" w:sz="2" w:space="0" w:color="CCCCCC"/>
            </w:tcBorders>
          </w:tcPr>
          <w:p>
            <w:pPr>
              <w:pStyle w:val="Normal"/>
              <w:rPr/>
            </w:pPr>
            <w:r>
              <w:rPr/>
              <w:t>Partagée</w:t>
            </w:r>
          </w:p>
        </w:tc>
        <w:tc>
          <w:tcPr>
            <w:tcW w:w="1604" w:type="dxa"/>
            <w:tcBorders>
              <w:top w:val="single" w:sz="2" w:space="0" w:color="CCCCCC"/>
              <w:left w:val="single" w:sz="2" w:space="0" w:color="CCCCCC"/>
              <w:bottom w:val="single" w:sz="2" w:space="0" w:color="CCCCCC"/>
              <w:right w:val="single" w:sz="2" w:space="0" w:color="CCCCCC"/>
            </w:tcBorders>
          </w:tcPr>
          <w:p>
            <w:pPr>
              <w:pStyle w:val="Normal"/>
              <w:rPr/>
            </w:pPr>
            <w:r>
              <w:rPr/>
              <w:t>Client</w:t>
            </w:r>
          </w:p>
        </w:tc>
      </w:tr>
      <w:tr>
        <w:trPr/>
        <w:tc>
          <w:tcPr>
            <w:tcW w:w="22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Mises à jour</w:t>
            </w:r>
          </w:p>
        </w:tc>
        <w:tc>
          <w:tcPr>
            <w:tcW w:w="26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Automatiques, incluses</w:t>
            </w:r>
          </w:p>
        </w:tc>
        <w:tc>
          <w:tcPr>
            <w:tcW w:w="26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Planifiées par client</w:t>
            </w:r>
          </w:p>
        </w:tc>
        <w:tc>
          <w:tcPr>
            <w:tcW w:w="1604"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À charge client</w:t>
            </w:r>
          </w:p>
        </w:tc>
      </w:tr>
      <w:tr>
        <w:trPr/>
        <w:tc>
          <w:tcPr>
            <w:tcW w:w="2205" w:type="dxa"/>
            <w:tcBorders>
              <w:top w:val="single" w:sz="2" w:space="0" w:color="CCCCCC"/>
              <w:left w:val="single" w:sz="2" w:space="0" w:color="CCCCCC"/>
              <w:bottom w:val="single" w:sz="2" w:space="0" w:color="CCCCCC"/>
              <w:right w:val="single" w:sz="2" w:space="0" w:color="CCCCCC"/>
            </w:tcBorders>
          </w:tcPr>
          <w:p>
            <w:pPr>
              <w:pStyle w:val="Normal"/>
              <w:rPr/>
            </w:pPr>
            <w:r>
              <w:rPr/>
              <w:t>Scalabilité</w:t>
            </w:r>
          </w:p>
        </w:tc>
        <w:tc>
          <w:tcPr>
            <w:tcW w:w="2608" w:type="dxa"/>
            <w:tcBorders>
              <w:top w:val="single" w:sz="2" w:space="0" w:color="CCCCCC"/>
              <w:left w:val="single" w:sz="2" w:space="0" w:color="CCCCCC"/>
              <w:bottom w:val="single" w:sz="2" w:space="0" w:color="CCCCCC"/>
              <w:right w:val="single" w:sz="2" w:space="0" w:color="CCCCCC"/>
            </w:tcBorders>
          </w:tcPr>
          <w:p>
            <w:pPr>
              <w:pStyle w:val="Normal"/>
              <w:rPr/>
            </w:pPr>
            <w:r>
              <w:rPr/>
              <w:t>Élastique, automatique</w:t>
            </w:r>
          </w:p>
        </w:tc>
        <w:tc>
          <w:tcPr>
            <w:tcW w:w="2608" w:type="dxa"/>
            <w:tcBorders>
              <w:top w:val="single" w:sz="2" w:space="0" w:color="CCCCCC"/>
              <w:left w:val="single" w:sz="2" w:space="0" w:color="CCCCCC"/>
              <w:bottom w:val="single" w:sz="2" w:space="0" w:color="CCCCCC"/>
              <w:right w:val="single" w:sz="2" w:space="0" w:color="CCCCCC"/>
            </w:tcBorders>
          </w:tcPr>
          <w:p>
            <w:pPr>
              <w:pStyle w:val="Normal"/>
              <w:rPr/>
            </w:pPr>
            <w:r>
              <w:rPr/>
              <w:t>Manuelle ou semi-auto</w:t>
            </w:r>
          </w:p>
        </w:tc>
        <w:tc>
          <w:tcPr>
            <w:tcW w:w="1604" w:type="dxa"/>
            <w:tcBorders>
              <w:top w:val="single" w:sz="2" w:space="0" w:color="CCCCCC"/>
              <w:left w:val="single" w:sz="2" w:space="0" w:color="CCCCCC"/>
              <w:bottom w:val="single" w:sz="2" w:space="0" w:color="CCCCCC"/>
              <w:right w:val="single" w:sz="2" w:space="0" w:color="CCCCCC"/>
            </w:tcBorders>
          </w:tcPr>
          <w:p>
            <w:pPr>
              <w:pStyle w:val="Normal"/>
              <w:rPr/>
            </w:pPr>
            <w:r>
              <w:rPr/>
              <w:t>Limitée, coûteuse</w:t>
            </w:r>
          </w:p>
        </w:tc>
      </w:tr>
      <w:tr>
        <w:trPr/>
        <w:tc>
          <w:tcPr>
            <w:tcW w:w="22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Personnalisation</w:t>
            </w:r>
          </w:p>
        </w:tc>
        <w:tc>
          <w:tcPr>
            <w:tcW w:w="26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Configuration, extensions</w:t>
            </w:r>
          </w:p>
        </w:tc>
        <w:tc>
          <w:tcPr>
            <w:tcW w:w="26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Large, avec contraintes</w:t>
            </w:r>
          </w:p>
        </w:tc>
        <w:tc>
          <w:tcPr>
            <w:tcW w:w="1604"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Totale</w:t>
            </w:r>
          </w:p>
        </w:tc>
      </w:tr>
      <w:tr>
        <w:trPr/>
        <w:tc>
          <w:tcPr>
            <w:tcW w:w="2205" w:type="dxa"/>
            <w:tcBorders>
              <w:top w:val="single" w:sz="2" w:space="0" w:color="CCCCCC"/>
              <w:left w:val="single" w:sz="2" w:space="0" w:color="CCCCCC"/>
              <w:bottom w:val="single" w:sz="2" w:space="0" w:color="CCCCCC"/>
              <w:right w:val="single" w:sz="2" w:space="0" w:color="CCCCCC"/>
            </w:tcBorders>
          </w:tcPr>
          <w:p>
            <w:pPr>
              <w:pStyle w:val="Normal"/>
              <w:rPr/>
            </w:pPr>
            <w:r>
              <w:rPr/>
              <w:t>Modèle de coût</w:t>
            </w:r>
          </w:p>
        </w:tc>
        <w:tc>
          <w:tcPr>
            <w:tcW w:w="2608" w:type="dxa"/>
            <w:tcBorders>
              <w:top w:val="single" w:sz="2" w:space="0" w:color="CCCCCC"/>
              <w:left w:val="single" w:sz="2" w:space="0" w:color="CCCCCC"/>
              <w:bottom w:val="single" w:sz="2" w:space="0" w:color="CCCCCC"/>
              <w:right w:val="single" w:sz="2" w:space="0" w:color="CCCCCC"/>
            </w:tcBorders>
          </w:tcPr>
          <w:p>
            <w:pPr>
              <w:pStyle w:val="Normal"/>
              <w:rPr/>
            </w:pPr>
            <w:r>
              <w:rPr/>
              <w:t>OPEX (abonnement)</w:t>
            </w:r>
          </w:p>
        </w:tc>
        <w:tc>
          <w:tcPr>
            <w:tcW w:w="2608" w:type="dxa"/>
            <w:tcBorders>
              <w:top w:val="single" w:sz="2" w:space="0" w:color="CCCCCC"/>
              <w:left w:val="single" w:sz="2" w:space="0" w:color="CCCCCC"/>
              <w:bottom w:val="single" w:sz="2" w:space="0" w:color="CCCCCC"/>
              <w:right w:val="single" w:sz="2" w:space="0" w:color="CCCCCC"/>
            </w:tcBorders>
          </w:tcPr>
          <w:p>
            <w:pPr>
              <w:pStyle w:val="Normal"/>
              <w:rPr/>
            </w:pPr>
            <w:r>
              <w:rPr/>
              <w:t>OPEX + CAPEX</w:t>
            </w:r>
          </w:p>
        </w:tc>
        <w:tc>
          <w:tcPr>
            <w:tcW w:w="1604" w:type="dxa"/>
            <w:tcBorders>
              <w:top w:val="single" w:sz="2" w:space="0" w:color="CCCCCC"/>
              <w:left w:val="single" w:sz="2" w:space="0" w:color="CCCCCC"/>
              <w:bottom w:val="single" w:sz="2" w:space="0" w:color="CCCCCC"/>
              <w:right w:val="single" w:sz="2" w:space="0" w:color="CCCCCC"/>
            </w:tcBorders>
          </w:tcPr>
          <w:p>
            <w:pPr>
              <w:pStyle w:val="Normal"/>
              <w:rPr/>
            </w:pPr>
            <w:r>
              <w:rPr/>
              <w:t>CAPEX dominant</w:t>
            </w:r>
          </w:p>
        </w:tc>
      </w:tr>
      <w:tr>
        <w:trPr/>
        <w:tc>
          <w:tcPr>
            <w:tcW w:w="22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Time-to-deploy</w:t>
            </w:r>
          </w:p>
        </w:tc>
        <w:tc>
          <w:tcPr>
            <w:tcW w:w="26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Rapide (semaines)</w:t>
            </w:r>
          </w:p>
        </w:tc>
        <w:tc>
          <w:tcPr>
            <w:tcW w:w="26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Moyen (mois)</w:t>
            </w:r>
          </w:p>
        </w:tc>
        <w:tc>
          <w:tcPr>
            <w:tcW w:w="1604"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Long (6-12 mois)</w:t>
            </w:r>
          </w:p>
        </w:tc>
      </w:tr>
      <w:tr>
        <w:trPr/>
        <w:tc>
          <w:tcPr>
            <w:tcW w:w="2205" w:type="dxa"/>
            <w:tcBorders>
              <w:top w:val="single" w:sz="2" w:space="0" w:color="CCCCCC"/>
              <w:left w:val="single" w:sz="2" w:space="0" w:color="CCCCCC"/>
              <w:bottom w:val="single" w:sz="2" w:space="0" w:color="CCCCCC"/>
              <w:right w:val="single" w:sz="2" w:space="0" w:color="CCCCCC"/>
            </w:tcBorders>
          </w:tcPr>
          <w:p>
            <w:pPr>
              <w:pStyle w:val="Normal"/>
              <w:rPr/>
            </w:pPr>
            <w:r>
              <w:rPr>
                <w:b/>
                <w:bCs/>
              </w:rPr>
              <w:t>Préférence Groupe</w:t>
            </w:r>
          </w:p>
        </w:tc>
        <w:tc>
          <w:tcPr>
            <w:tcW w:w="2608"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b/>
                <w:bCs/>
                <w:color w:val="006100"/>
              </w:rPr>
              <w:t>PRIVILÉGIÉ</w:t>
            </w:r>
          </w:p>
        </w:tc>
        <w:tc>
          <w:tcPr>
            <w:tcW w:w="2608" w:type="dxa"/>
            <w:tcBorders>
              <w:top w:val="single" w:sz="2" w:space="0" w:color="CCCCCC"/>
              <w:left w:val="single" w:sz="2" w:space="0" w:color="CCCCCC"/>
              <w:bottom w:val="single" w:sz="2" w:space="0" w:color="CCCCCC"/>
              <w:right w:val="single" w:sz="2" w:space="0" w:color="CCCCCC"/>
            </w:tcBorders>
          </w:tcPr>
          <w:p>
            <w:pPr>
              <w:pStyle w:val="Normal"/>
              <w:rPr/>
            </w:pPr>
            <w:r>
              <w:rPr/>
              <w:t>Acceptable</w:t>
            </w:r>
          </w:p>
        </w:tc>
        <w:tc>
          <w:tcPr>
            <w:tcW w:w="1604" w:type="dxa"/>
            <w:tcBorders>
              <w:top w:val="single" w:sz="2" w:space="0" w:color="CCCCCC"/>
              <w:left w:val="single" w:sz="2" w:space="0" w:color="CCCCCC"/>
              <w:bottom w:val="single" w:sz="2" w:space="0" w:color="CCCCCC"/>
              <w:right w:val="single" w:sz="2" w:space="0" w:color="CCCCCC"/>
            </w:tcBorders>
            <w:shd w:fill="FFC7CE" w:val="clear"/>
          </w:tcPr>
          <w:p>
            <w:pPr>
              <w:pStyle w:val="Normal"/>
              <w:rPr/>
            </w:pPr>
            <w:r>
              <w:rPr>
                <w:color w:val="9C0006"/>
              </w:rPr>
              <w:t>Non souhaité</w:t>
            </w:r>
          </w:p>
        </w:tc>
      </w:tr>
    </w:tbl>
    <w:p>
      <w:pPr>
        <w:pStyle w:val="Normal"/>
        <w:spacing w:before="200" w:after="120"/>
        <w:rPr/>
      </w:pPr>
      <w:r>
        <w:rPr/>
        <w:t>L'hébergement de la solution devra être assuré dans des datacenters situés dans l'Union Européenne, pour des raisons de conformité réglementaire et de performance. Le Règlement Général sur la Protection des Données (RGPD) impose des contraintes strictes sur le transfert de données personnelles hors de l'UE. Même si des mécanismes juridiques existent pour autoriser ces transferts (clauses contractuelles types, décisions d'adéquation), le Groupe préfère éviter cette complexité en exigeant un hébergement européen. Par ailleurs, la proximité géographique des datacenters garantit une latence réseau optimale pour les utilisateurs européens qui représentent 95% de l'effectif.</w:t>
      </w:r>
    </w:p>
    <w:p>
      <w:pPr>
        <w:pStyle w:val="Normal"/>
        <w:spacing w:before="120" w:after="120"/>
        <w:rPr/>
      </w:pPr>
      <w:r>
        <w:rPr/>
        <w:t>La localisation précise des datacenters (principal et secours) devra être communiquée par les candidats. Les datacenters devront disposer des certifications attestant de leur niveau de sécurité et de disponibilité : certification Tier III minimum selon la classification Uptime Institute (garantissant une disponibilité de 99,982% au niveau infrastructure), certification ISO 27001 pour le management de la sécurité de l'information, et rapports SOC 2 Type II couvrant les critères de sécurité, disponibilité, intégrité du traitement, confidentialité et respect de la vie privée.</w:t>
      </w:r>
    </w:p>
    <w:p>
      <w:pPr>
        <w:pStyle w:val="Normal"/>
        <w:spacing w:before="120" w:after="120"/>
        <w:rPr/>
      </w:pPr>
      <w:r>
        <w:rPr/>
        <w:t>Le Groupe privilégiera les solutions hébergées sur des infrastructures Cloud publiques de premier plan : Microsoft Azure, Amazon Web Services (AWS) ou Google Cloud Platform (GCP). Ces hyperscalers offrent les meilleurs standards en termes de sécurité, de résilience et de capacité de scaling. Ils disposent de multiples datacenters en Europe (France, Allemagne, Pays-Bas, Irlande) permettant une redondance géographique efficace. Leurs certifications et leurs pratiques de sécurité font l'objet d'audits réguliers par des tiers indépendants. Leur santé financière garantit la pérennité du service.</w:t>
      </w:r>
    </w:p>
    <w:p>
      <w:pPr>
        <w:pStyle w:val="Normal"/>
        <w:spacing w:before="120" w:after="120"/>
        <w:rPr/>
      </w:pPr>
      <w:r>
        <w:rPr/>
        <w:t>Le modèle SaaS multi-tenant, dans lequel plusieurs clients partagent la même instance applicative et la même infrastructure, est acceptable sous réserve de garanties strictes d'isolation des données. Les candidats expliqueront en détail leur architecture de multi-tenancy et les mécanismes assurant l'étanchéité absolue des données entre clients : isolation logique au niveau base de données (schémas séparés, row-level security) ou isolation physique (bases de données dédiées), chiffrement des données avec clés spécifiques par client, contrôles d'accès stricts empêchant tout accès croisé.</w:t>
      </w:r>
    </w:p>
    <w:p>
      <w:pPr>
        <w:pStyle w:val="Normal"/>
        <w:spacing w:before="120" w:after="120"/>
        <w:rPr/>
      </w:pPr>
      <w:r>
        <w:rPr/>
        <w:t>Les performances devront être garanties contractuellement, indépendamment de la charge générée par les autres clients de la plateforme mutualisée. Les candidats expliqueront comment ils gèrent la notion de « noisy neighbor » (voisin bruyant) où l'activité d'un client pourrait impacter les performances des autres. Les mécanismes de réservation de ressources, de throttling et de fair-use seront détaillés. Des tests de performance en conditions réelles, sur l'environnement de production mutualisé, seront réalisés avant mise en service pour valider les engagements.</w:t>
      </w:r>
    </w:p>
    <w:p>
      <w:pPr>
        <w:pStyle w:val="Normal"/>
        <w:spacing w:before="120" w:after="120"/>
        <w:rPr/>
      </w:pPr>
      <w:r>
        <w:rPr/>
        <w:t>Les montées de version de la solution SaaS devront être gérées de manière transparente et maîtrisée, sans impact négatif sur les opérations du Groupe. L'éditeur proposera un calendrier de releases prévisible et stable, idéalement trimestriel pour les évolutions fonctionnelles majeures, avec possibilité de correctifs de sécurité ou de bugs critiques déployés plus fréquemment. Les changements seront communiqués avec un préavis minimum de 30 jours, incluant les release notes détaillées, les impacts potentiels et les actions de préparation recommandées.</w:t>
      </w:r>
    </w:p>
    <w:p>
      <w:pPr>
        <w:pStyle w:val="Normal"/>
        <w:spacing w:before="120" w:after="120"/>
        <w:rPr/>
      </w:pPr>
      <w:r>
        <w:rPr/>
        <w:t>Les évolutions majeures impactant les processus métiers, les interfaces utilisateur significatives ou les API devront faire l'objet d'une phase de test préalable en environnement de recette. Le Groupe disposera d'un accès anticipé aux nouvelles versions (programme early adopter ou preview) permettant de valider la compatibilité avec ses personnalisations et ses intégrations avant le déploiement en production. La possibilité de différer temporairement une mise à jour (opt-out limité dans le temps) sera appréciée pour les périodes commerciales critiques.</w:t>
      </w:r>
    </w:p>
    <w:p>
      <w:pPr>
        <w:pStyle w:val="Normal"/>
        <w:spacing w:before="120" w:after="120"/>
        <w:rPr/>
      </w:pPr>
      <w:r>
        <w:rPr/>
        <w:t>La compatibilité ascendante des API et des personnalisations sera garantie contractuellement. Les interfaces programmatiques exposées par l'ERP devront rester stables entre les versions, avec une politique de dépréciation progressive (minimum 12 mois) pour les API amenées à évoluer. Les personnalisations réalisées dans le cadre des mécanismes d'extension prévus par l'éditeur (configurations, workflows, champs personnalisés, extensions low-code) devront être préservées lors des montées de version sans intervention manuelle.</w:t>
      </w:r>
    </w:p>
    <w:p>
      <w:pPr>
        <w:pStyle w:val="Normal"/>
        <w:spacing w:before="200" w:after="100"/>
        <w:rPr/>
      </w:pPr>
      <w:r>
        <w:rPr>
          <w:b/>
          <w:bCs/>
          <w:sz w:val="24"/>
          <w:szCs w:val="24"/>
        </w:rPr>
        <w:t>Environnements requis :</w:t>
      </w:r>
    </w:p>
    <w:tbl>
      <w:tblPr>
        <w:tblW w:w="5000" w:type="pct"/>
        <w:jc w:val="left"/>
        <w:tblInd w:w="0" w:type="dxa"/>
        <w:tblLayout w:type="fixed"/>
        <w:tblCellMar>
          <w:top w:w="80" w:type="dxa"/>
          <w:left w:w="120" w:type="dxa"/>
          <w:bottom w:w="80" w:type="dxa"/>
          <w:right w:w="120" w:type="dxa"/>
        </w:tblCellMar>
      </w:tblPr>
      <w:tblGrid>
        <w:gridCol w:w="2005"/>
        <w:gridCol w:w="2507"/>
        <w:gridCol w:w="2508"/>
        <w:gridCol w:w="2005"/>
      </w:tblGrid>
      <w:tr>
        <w:trPr/>
        <w:tc>
          <w:tcPr>
            <w:tcW w:w="20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Environnement</w:t>
            </w:r>
          </w:p>
        </w:tc>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Usage</w:t>
            </w:r>
          </w:p>
        </w:tc>
        <w:tc>
          <w:tcPr>
            <w:tcW w:w="25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Dimensionnement</w:t>
            </w:r>
          </w:p>
        </w:tc>
        <w:tc>
          <w:tcPr>
            <w:tcW w:w="20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Données</w:t>
            </w:r>
          </w:p>
        </w:tc>
      </w:tr>
      <w:tr>
        <w:trPr/>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Production</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Exploitation réelle</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100% capacité cible</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Données réelles</w:t>
            </w:r>
          </w:p>
        </w:tc>
      </w:tr>
      <w:tr>
        <w:trPr/>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Pré-production</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Validation pré-MEP, tests de charge</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80% capacité prod</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Copie anonymisée</w:t>
            </w:r>
          </w:p>
        </w:tc>
      </w:tr>
      <w:tr>
        <w:trPr/>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Recette (UAT)</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Tests fonctionnels métier</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50% capacité prod</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Jeu de données test</w:t>
            </w:r>
          </w:p>
        </w:tc>
      </w:tr>
      <w:tr>
        <w:trPr/>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Intégration</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Tests des interfaces</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30% capacité prod</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Données synthétiques</w:t>
            </w:r>
          </w:p>
        </w:tc>
      </w:tr>
      <w:tr>
        <w:trPr/>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Développement</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Développements, configurations</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20% capacité prod</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Données synthétiques</w:t>
            </w:r>
          </w:p>
        </w:tc>
      </w:tr>
      <w:tr>
        <w:trPr/>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Formation</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Formation des utilisateurs</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20% capacité prod</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Données pédagogiques</w:t>
            </w:r>
          </w:p>
        </w:tc>
      </w:tr>
      <w:tr>
        <w:trPr/>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Sandbox</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POC, expérimentations</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À la demande</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Vide ou minimal</w:t>
            </w:r>
          </w:p>
        </w:tc>
      </w:tr>
    </w:tbl>
    <w:p>
      <w:pPr>
        <w:pStyle w:val="Normal"/>
        <w:spacing w:before="200" w:after="120"/>
        <w:rPr/>
      </w:pPr>
      <w:r>
        <w:rPr/>
        <w:t>Les environnements hors production seront dimensionnés de manière appropriée à leur usage. L'environnement de pré-production devra être suffisamment dimensionné pour permettre des tests de charge représentatifs des conditions réelles d'exploitation. La création d'environnements temporaires à la demande (sandbox) devra être possible avec des délais courts (moins de 24 heures) pour les besoins de POC, d'expérimentation ou de reproduction d'incidents. Le coût de l'ensemble des environnements sera inclus dans la proposition financière des candidats.</w:t>
      </w:r>
    </w:p>
    <w:p>
      <w:pPr>
        <w:pStyle w:val="Normal"/>
        <w:spacing w:before="120" w:after="120"/>
        <w:rPr/>
      </w:pPr>
      <w:r>
        <w:rPr/>
        <w:t>Bien que le modèle SaaS soit privilégié, le Groupe reste ouvert aux propositions alternatives si elles présentent des avantages significatifs démontrés. Le modèle Cloud privé (hébergement dédié sur infrastructure Cloud gérée par l'éditeur ou le client) pourra être envisagé si des contraintes réglementaires ou des exigences de personnalisation le justifient. Le modèle hybride (combinaison de composants SaaS et on-premise) pourra être pertinent pour les fonctionnalités nécessitant une intégration très étroite avec des systèmes internes. Les propositions on-premise ne seront considérées qu'en dernier recours.</w:t>
      </w:r>
    </w:p>
    <w:p>
      <w:pPr>
        <w:pStyle w:val="Normal"/>
        <w:rPr/>
      </w:pPr>
      <w:r>
        <w:rPr/>
      </w:r>
      <w:r>
        <w:br w:type="page"/>
      </w:r>
    </w:p>
    <w:p>
      <w:pPr>
        <w:pStyle w:val="Heading3"/>
        <w:spacing w:before="0" w:after="120"/>
        <w:rPr/>
      </w:pPr>
      <w:r>
        <w:rPr/>
        <w:t>3.3.2 Intégration et interopérabilité (API, ESB)</w:t>
      </w:r>
    </w:p>
    <w:p>
      <w:pPr>
        <w:pStyle w:val="Normal"/>
        <w:spacing w:before="120" w:after="120"/>
        <w:rPr/>
      </w:pPr>
      <w:r>
        <w:rPr/>
        <w:t>L'intégration de l'ERP dans l'écosystème applicatif du Groupe Retail Horizon est un facteur clé de succès du projet. L'ERP ne fonctionnera pas en silo mais constituera le hub central d'un système d'information distribué, échangeant des données en temps réel ou en batch avec de nombreuses applications périphériques. La qualité, la robustesse et la performance des interfaces conditionnent directement la fiabilité des données consolidées et l'efficacité des processus métiers transverses.</w:t>
      </w:r>
    </w:p>
    <w:p>
      <w:pPr>
        <w:pStyle w:val="Normal"/>
        <w:spacing w:before="120" w:after="120"/>
        <w:rPr/>
      </w:pPr>
      <w:r>
        <w:rPr/>
        <w:t>L'architecture d'intégration cible du Groupe s'appuie sur un ESB (Enterprise Service Bus) centralisé, la plateforme MuleSoft Anypoint, déployée en 2020 pour rationaliser les flux inter-applicatifs et réduire la complexité des intégrations point-à-point. MuleSoft orchestre les échanges de données, assure la transformation des formats, gère les erreurs et offre une supervision centralisée des flux. L'ERP devra s'intégrer nativement dans cette architecture, en exposant ses fonctionnalités via des interfaces standardisées consommables par l'ESB.</w:t>
      </w:r>
    </w:p>
    <w:p>
      <w:pPr>
        <w:pStyle w:val="Normal"/>
        <w:spacing w:before="200" w:after="100"/>
        <w:rPr/>
      </w:pPr>
      <w:r>
        <w:rPr>
          <w:b/>
          <w:bCs/>
          <w:sz w:val="24"/>
          <w:szCs w:val="24"/>
        </w:rPr>
        <w:t>Écosystème applicatif et intégrations clés :</w:t>
      </w:r>
    </w:p>
    <w:tbl>
      <w:tblPr>
        <w:tblW w:w="5000" w:type="pct"/>
        <w:jc w:val="left"/>
        <w:tblInd w:w="0" w:type="dxa"/>
        <w:tblLayout w:type="fixed"/>
        <w:tblCellMar>
          <w:top w:w="80" w:type="dxa"/>
          <w:left w:w="120" w:type="dxa"/>
          <w:bottom w:w="80" w:type="dxa"/>
          <w:right w:w="120" w:type="dxa"/>
        </w:tblCellMar>
      </w:tblPr>
      <w:tblGrid>
        <w:gridCol w:w="2507"/>
        <w:gridCol w:w="2306"/>
        <w:gridCol w:w="2007"/>
        <w:gridCol w:w="2205"/>
      </w:tblGrid>
      <w:tr>
        <w:trPr/>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Application</w:t>
            </w:r>
          </w:p>
        </w:tc>
        <w:tc>
          <w:tcPr>
            <w:tcW w:w="230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Données échangées</w:t>
            </w:r>
          </w:p>
        </w:tc>
        <w:tc>
          <w:tcPr>
            <w:tcW w:w="20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Mode</w:t>
            </w:r>
          </w:p>
        </w:tc>
        <w:tc>
          <w:tcPr>
            <w:tcW w:w="22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Fréquence/SLA</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Salesforce Commerce Cloud (e-commerce)</w:t>
            </w:r>
          </w:p>
        </w:tc>
        <w:tc>
          <w:tcPr>
            <w:tcW w:w="2306" w:type="dxa"/>
            <w:tcBorders>
              <w:top w:val="single" w:sz="2" w:space="0" w:color="CCCCCC"/>
              <w:left w:val="single" w:sz="2" w:space="0" w:color="CCCCCC"/>
              <w:bottom w:val="single" w:sz="2" w:space="0" w:color="CCCCCC"/>
              <w:right w:val="single" w:sz="2" w:space="0" w:color="CCCCCC"/>
            </w:tcBorders>
          </w:tcPr>
          <w:p>
            <w:pPr>
              <w:pStyle w:val="Normal"/>
              <w:rPr/>
            </w:pPr>
            <w:r>
              <w:rPr/>
              <w:t>Commandes, stocks, prix, clients</w:t>
            </w:r>
          </w:p>
        </w:tc>
        <w:tc>
          <w:tcPr>
            <w:tcW w:w="2007" w:type="dxa"/>
            <w:tcBorders>
              <w:top w:val="single" w:sz="2" w:space="0" w:color="CCCCCC"/>
              <w:left w:val="single" w:sz="2" w:space="0" w:color="CCCCCC"/>
              <w:bottom w:val="single" w:sz="2" w:space="0" w:color="CCCCCC"/>
              <w:right w:val="single" w:sz="2" w:space="0" w:color="CCCCCC"/>
            </w:tcBorders>
          </w:tcPr>
          <w:p>
            <w:pPr>
              <w:pStyle w:val="Normal"/>
              <w:rPr/>
            </w:pPr>
            <w:r>
              <w:rPr/>
              <w:t>Temps réel (API)</w:t>
            </w:r>
          </w:p>
        </w:tc>
        <w:tc>
          <w:tcPr>
            <w:tcW w:w="2205" w:type="dxa"/>
            <w:tcBorders>
              <w:top w:val="single" w:sz="2" w:space="0" w:color="CCCCCC"/>
              <w:left w:val="single" w:sz="2" w:space="0" w:color="CCCCCC"/>
              <w:bottom w:val="single" w:sz="2" w:space="0" w:color="CCCCCC"/>
              <w:right w:val="single" w:sz="2" w:space="0" w:color="CCCCCC"/>
            </w:tcBorders>
          </w:tcPr>
          <w:p>
            <w:pPr>
              <w:pStyle w:val="Normal"/>
              <w:rPr/>
            </w:pPr>
            <w:r>
              <w:rPr/>
              <w:t>&lt; 2 sec</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Cegid Retail Y2 (caisses)</w:t>
            </w:r>
          </w:p>
        </w:tc>
        <w:tc>
          <w:tcPr>
            <w:tcW w:w="23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Ventes, stocks, fidélité</w:t>
            </w:r>
          </w:p>
        </w:tc>
        <w:tc>
          <w:tcPr>
            <w:tcW w:w="20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Quasi temps réel</w:t>
            </w:r>
          </w:p>
        </w:tc>
        <w:tc>
          <w:tcPr>
            <w:tcW w:w="22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&lt; 5 min</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Manhattan WMS (entrepôts)</w:t>
            </w:r>
          </w:p>
        </w:tc>
        <w:tc>
          <w:tcPr>
            <w:tcW w:w="2306" w:type="dxa"/>
            <w:tcBorders>
              <w:top w:val="single" w:sz="2" w:space="0" w:color="CCCCCC"/>
              <w:left w:val="single" w:sz="2" w:space="0" w:color="CCCCCC"/>
              <w:bottom w:val="single" w:sz="2" w:space="0" w:color="CCCCCC"/>
              <w:right w:val="single" w:sz="2" w:space="0" w:color="CCCCCC"/>
            </w:tcBorders>
          </w:tcPr>
          <w:p>
            <w:pPr>
              <w:pStyle w:val="Normal"/>
              <w:rPr/>
            </w:pPr>
            <w:r>
              <w:rPr/>
              <w:t>Ordres, réceptions, expéditions</w:t>
            </w:r>
          </w:p>
        </w:tc>
        <w:tc>
          <w:tcPr>
            <w:tcW w:w="2007" w:type="dxa"/>
            <w:tcBorders>
              <w:top w:val="single" w:sz="2" w:space="0" w:color="CCCCCC"/>
              <w:left w:val="single" w:sz="2" w:space="0" w:color="CCCCCC"/>
              <w:bottom w:val="single" w:sz="2" w:space="0" w:color="CCCCCC"/>
              <w:right w:val="single" w:sz="2" w:space="0" w:color="CCCCCC"/>
            </w:tcBorders>
          </w:tcPr>
          <w:p>
            <w:pPr>
              <w:pStyle w:val="Normal"/>
              <w:rPr/>
            </w:pPr>
            <w:r>
              <w:rPr/>
              <w:t>Temps réel (API)</w:t>
            </w:r>
          </w:p>
        </w:tc>
        <w:tc>
          <w:tcPr>
            <w:tcW w:w="2205" w:type="dxa"/>
            <w:tcBorders>
              <w:top w:val="single" w:sz="2" w:space="0" w:color="CCCCCC"/>
              <w:left w:val="single" w:sz="2" w:space="0" w:color="CCCCCC"/>
              <w:bottom w:val="single" w:sz="2" w:space="0" w:color="CCCCCC"/>
              <w:right w:val="single" w:sz="2" w:space="0" w:color="CCCCCC"/>
            </w:tcBorders>
          </w:tcPr>
          <w:p>
            <w:pPr>
              <w:pStyle w:val="Normal"/>
              <w:rPr/>
            </w:pPr>
            <w:r>
              <w:rPr/>
              <w:t>&lt; 1 min</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Salesforce CRM</w:t>
            </w:r>
          </w:p>
        </w:tc>
        <w:tc>
          <w:tcPr>
            <w:tcW w:w="23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Clients, historique, fidélité</w:t>
            </w:r>
          </w:p>
        </w:tc>
        <w:tc>
          <w:tcPr>
            <w:tcW w:w="20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Bidirectionnel (API)</w:t>
            </w:r>
          </w:p>
        </w:tc>
        <w:tc>
          <w:tcPr>
            <w:tcW w:w="22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&lt; 5 min</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Tableau (BI)</w:t>
            </w:r>
          </w:p>
        </w:tc>
        <w:tc>
          <w:tcPr>
            <w:tcW w:w="2306" w:type="dxa"/>
            <w:tcBorders>
              <w:top w:val="single" w:sz="2" w:space="0" w:color="CCCCCC"/>
              <w:left w:val="single" w:sz="2" w:space="0" w:color="CCCCCC"/>
              <w:bottom w:val="single" w:sz="2" w:space="0" w:color="CCCCCC"/>
              <w:right w:val="single" w:sz="2" w:space="0" w:color="CCCCCC"/>
            </w:tcBorders>
          </w:tcPr>
          <w:p>
            <w:pPr>
              <w:pStyle w:val="Normal"/>
              <w:rPr/>
            </w:pPr>
            <w:r>
              <w:rPr/>
              <w:t>Données analytiques</w:t>
            </w:r>
          </w:p>
        </w:tc>
        <w:tc>
          <w:tcPr>
            <w:tcW w:w="2007" w:type="dxa"/>
            <w:tcBorders>
              <w:top w:val="single" w:sz="2" w:space="0" w:color="CCCCCC"/>
              <w:left w:val="single" w:sz="2" w:space="0" w:color="CCCCCC"/>
              <w:bottom w:val="single" w:sz="2" w:space="0" w:color="CCCCCC"/>
              <w:right w:val="single" w:sz="2" w:space="0" w:color="CCCCCC"/>
            </w:tcBorders>
          </w:tcPr>
          <w:p>
            <w:pPr>
              <w:pStyle w:val="Normal"/>
              <w:rPr/>
            </w:pPr>
            <w:r>
              <w:rPr/>
              <w:t>Extraction (batch/API)</w:t>
            </w:r>
          </w:p>
        </w:tc>
        <w:tc>
          <w:tcPr>
            <w:tcW w:w="2205" w:type="dxa"/>
            <w:tcBorders>
              <w:top w:val="single" w:sz="2" w:space="0" w:color="CCCCCC"/>
              <w:left w:val="single" w:sz="2" w:space="0" w:color="CCCCCC"/>
              <w:bottom w:val="single" w:sz="2" w:space="0" w:color="CCCCCC"/>
              <w:right w:val="single" w:sz="2" w:space="0" w:color="CCCCCC"/>
            </w:tcBorders>
          </w:tcPr>
          <w:p>
            <w:pPr>
              <w:pStyle w:val="Normal"/>
              <w:rPr/>
            </w:pPr>
            <w:r>
              <w:rPr/>
              <w:t>Horaire à temps réel</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Banques (trésorerie)</w:t>
            </w:r>
          </w:p>
        </w:tc>
        <w:tc>
          <w:tcPr>
            <w:tcW w:w="23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Relevés, paiements</w:t>
            </w:r>
          </w:p>
        </w:tc>
        <w:tc>
          <w:tcPr>
            <w:tcW w:w="20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Fichiers (EBICS)</w:t>
            </w:r>
          </w:p>
        </w:tc>
        <w:tc>
          <w:tcPr>
            <w:tcW w:w="22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Quotidien</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Transporteurs</w:t>
            </w:r>
          </w:p>
        </w:tc>
        <w:tc>
          <w:tcPr>
            <w:tcW w:w="2306" w:type="dxa"/>
            <w:tcBorders>
              <w:top w:val="single" w:sz="2" w:space="0" w:color="CCCCCC"/>
              <w:left w:val="single" w:sz="2" w:space="0" w:color="CCCCCC"/>
              <w:bottom w:val="single" w:sz="2" w:space="0" w:color="CCCCCC"/>
              <w:right w:val="single" w:sz="2" w:space="0" w:color="CCCCCC"/>
            </w:tcBorders>
          </w:tcPr>
          <w:p>
            <w:pPr>
              <w:pStyle w:val="Normal"/>
              <w:rPr/>
            </w:pPr>
            <w:r>
              <w:rPr/>
              <w:t>Expéditions, tracking</w:t>
            </w:r>
          </w:p>
        </w:tc>
        <w:tc>
          <w:tcPr>
            <w:tcW w:w="2007" w:type="dxa"/>
            <w:tcBorders>
              <w:top w:val="single" w:sz="2" w:space="0" w:color="CCCCCC"/>
              <w:left w:val="single" w:sz="2" w:space="0" w:color="CCCCCC"/>
              <w:bottom w:val="single" w:sz="2" w:space="0" w:color="CCCCCC"/>
              <w:right w:val="single" w:sz="2" w:space="0" w:color="CCCCCC"/>
            </w:tcBorders>
          </w:tcPr>
          <w:p>
            <w:pPr>
              <w:pStyle w:val="Normal"/>
              <w:rPr/>
            </w:pPr>
            <w:r>
              <w:rPr/>
              <w:t>API / EDI</w:t>
            </w:r>
          </w:p>
        </w:tc>
        <w:tc>
          <w:tcPr>
            <w:tcW w:w="2205" w:type="dxa"/>
            <w:tcBorders>
              <w:top w:val="single" w:sz="2" w:space="0" w:color="CCCCCC"/>
              <w:left w:val="single" w:sz="2" w:space="0" w:color="CCCCCC"/>
              <w:bottom w:val="single" w:sz="2" w:space="0" w:color="CCCCCC"/>
              <w:right w:val="single" w:sz="2" w:space="0" w:color="CCCCCC"/>
            </w:tcBorders>
          </w:tcPr>
          <w:p>
            <w:pPr>
              <w:pStyle w:val="Normal"/>
              <w:rPr/>
            </w:pPr>
            <w:r>
              <w:rPr/>
              <w:t>Temps réel</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Fournisseurs (EDI)</w:t>
            </w:r>
          </w:p>
        </w:tc>
        <w:tc>
          <w:tcPr>
            <w:tcW w:w="23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Commandes, factures, ASN</w:t>
            </w:r>
          </w:p>
        </w:tc>
        <w:tc>
          <w:tcPr>
            <w:tcW w:w="20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Fichiers (EDIFACT)</w:t>
            </w:r>
          </w:p>
        </w:tc>
        <w:tc>
          <w:tcPr>
            <w:tcW w:w="22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Plusieurs fois/jour</w:t>
            </w:r>
          </w:p>
        </w:tc>
      </w:tr>
    </w:tbl>
    <w:p>
      <w:pPr>
        <w:pStyle w:val="Normal"/>
        <w:spacing w:before="200" w:after="120"/>
        <w:rPr/>
      </w:pPr>
      <w:r>
        <w:rPr/>
        <w:t>L'ERP devra exposer ses données et ses fonctionnalités via des API RESTful modernes et documentées. Les API devront respecter les standards et les bonnes pratiques du marché : architecture REST avec utilisation appropriée des verbes HTTP (GET, POST, PUT, PATCH, DELETE), format d'échange JSON, documentation au format OpenAPI/Swagger 3.0 permettant la génération automatique de clients et de documentation, versioning des API pour gérer les évolutions sans casser les intégrations existantes.</w:t>
      </w:r>
    </w:p>
    <w:p>
      <w:pPr>
        <w:pStyle w:val="Normal"/>
        <w:spacing w:before="120" w:after="120"/>
        <w:rPr/>
      </w:pPr>
      <w:r>
        <w:rPr/>
        <w:t>La sécurité des API sera assurée selon les standards du marché. L'authentification utilisera le protocole OAuth 2.0 avec les flux appropriés selon les cas d'usage (client credentials pour les intégrations machine-to-machine, authorization code pour les accès utilisateur). Les tokens JWT (JSON Web Tokens) permettront une authentification stateless et une validation côté client. Le chiffrement TLS 1.3 sera obligatoire pour toutes les communications. Des mécanismes de rate limiting protégeront les API contre les abus et les attaques par déni de service.</w:t>
      </w:r>
    </w:p>
    <w:p>
      <w:pPr>
        <w:pStyle w:val="Normal"/>
        <w:spacing w:before="120" w:after="120"/>
        <w:rPr/>
      </w:pPr>
      <w:r>
        <w:rPr/>
        <w:t>Le catalogue d'API disponibles sera un critère d'évaluation important de la maturité de la solution. Les candidats fourniront la liste exhaustive des API proposées avec leur documentation technique complète. La couverture fonctionnelle des API devra inclure a minima les domaines suivants : les référentiels (articles avec tous leurs attributs, clients, fournisseurs, tarifs et conditions commerciales, structure organisationnelle), les transactions (commandes clients et fournisseurs, factures, mouvements de stock, écritures comptables), les événements pour les intégrations événementielles, et les services métiers (calcul de disponibilité, simulation de prix, validation de commande, calcul de frais de port).</w:t>
      </w:r>
    </w:p>
    <w:p>
      <w:pPr>
        <w:pStyle w:val="Normal"/>
        <w:spacing w:before="120" w:after="120"/>
        <w:rPr/>
      </w:pPr>
      <w:r>
        <w:rPr/>
        <w:t>Les mécanismes d'intégration événementielle (event-driven architecture) seront privilégiés pour les échanges nécessitant une réactivité maximale. L'ERP devra être capable de publier des événements métiers vers un bus de messages pour notifier les systèmes abonnés des changements survenant dans l'ERP. Les événements couvriront les créations, modifications et suppressions des objets métiers principaux, ainsi que les changements d'état significatifs (commande validée, facture émise, paiement reçu). Le format des événements sera documenté et versionné.</w:t>
      </w:r>
    </w:p>
    <w:p>
      <w:pPr>
        <w:pStyle w:val="Normal"/>
        <w:spacing w:before="120" w:after="120"/>
        <w:rPr/>
      </w:pPr>
      <w:r>
        <w:rPr/>
        <w:t>Le Groupe utilise Apache Kafka comme plateforme de streaming d'événements. L'ERP devra être capable de publier nativement vers Kafka ou via un connecteur fourni par l'éditeur. Inversement, l'ERP devra pouvoir consommer des événements externes publiés sur Kafka pour réagir aux changements survenant dans d'autres systèmes (mise à jour de stock depuis le WMS, nouvelle commande depuis le e-commerce). Cette architecture découplée garantit la scalabilité des intégrations et permet une évolution indépendante des systèmes.</w:t>
      </w:r>
    </w:p>
    <w:p>
      <w:pPr>
        <w:pStyle w:val="Normal"/>
        <w:spacing w:before="120" w:after="120"/>
        <w:rPr/>
      </w:pPr>
      <w:r>
        <w:rPr/>
        <w:t>Les intégrations fichiers (batch) resteront nécessaires pour certains flux non temps réel ou avec des partenaires ne disposant pas de capacités API. Les cas d'usage incluent : les échanges EDI avec les fournisseurs (commandes, avis d'expédition, factures au format EDIFACT ou équivalent), les imports de tarifs et de catalogues fournisseurs, les exports comptables vers les systèmes legacy des filiales non encore migrées, les échanges bancaires (relevés CAMT, ordres de paiement PAIN). L'ERP devra supporter les formats d'échange standards (CSV, XML, JSON, EDIFACT) et proposer des outils de mapping et de transformation.</w:t>
      </w:r>
    </w:p>
    <w:p>
      <w:pPr>
        <w:pStyle w:val="Normal"/>
        <w:spacing w:before="120" w:after="120"/>
        <w:rPr/>
      </w:pPr>
      <w:r>
        <w:rPr/>
        <w:t>La planification, le suivi et la reprise sur erreur des traitements batch seront gérés par l'ordonnanceur du Groupe (Control-M). L'ERP devra exposer des interfaces permettant le déclenchement de jobs depuis l'ordonnanceur externe, le monitoring de leur exécution et la notification de leur statut de fin (succès, échec, avertissement). Les fichiers d'échange seront déposés sur des espaces de stockage sécurisés (SFTP, stockage Cloud) avec des conventions de nommage et d'archivage définies.</w:t>
      </w:r>
    </w:p>
    <w:p>
      <w:pPr>
        <w:pStyle w:val="Normal"/>
        <w:spacing w:before="120" w:after="120"/>
        <w:rPr/>
      </w:pPr>
      <w:r>
        <w:rPr/>
        <w:t>La supervision des flux d'intégration est essentielle pour garantir la qualité des données échangées et réagir rapidement aux anomalies. L'ERP devra offrir des outils natifs de monitoring des API : volumétrie des appels par endpoint, temps de réponse (moyenne, percentiles, distribution), taux d'erreur par code HTTP, identification des consommateurs. Ces métriques seront exposées dans un format standard (Prometheus, OpenTelemetry) permettant leur intégration dans les outils de supervision du Groupe.</w:t>
      </w:r>
    </w:p>
    <w:p>
      <w:pPr>
        <w:pStyle w:val="Normal"/>
        <w:spacing w:before="120" w:after="120"/>
        <w:rPr/>
      </w:pPr>
      <w:r>
        <w:rPr/>
        <w:t>Un journal des échanges conservera la trace de toutes les transactions d'intégration pour faciliter l'analyse des incidents, le débogage et les réconciliations. Ce journal inclura : l'horodatage précis, l'identifiant de corrélation permettant de tracer une transaction de bout en bout, le système source et le système cible, le payload échangé (avec masquage des données sensibles), le code retour et le message d'erreur éventuel. La rétention de ce journal sera de 90 jours minimum, avec archivage pour les besoins d'audit.</w:t>
      </w:r>
    </w:p>
    <w:p>
      <w:pPr>
        <w:pStyle w:val="Normal"/>
        <w:spacing w:before="120" w:after="120"/>
        <w:rPr/>
      </w:pPr>
      <w:r>
        <w:rPr/>
        <w:t>Des alertes automatiques seront configurées pour notifier les équipes en cas d'anomalie sur les flux d'intégration : échec d'un flux critique, taux d'erreur dépassant un seuil, temps de réponse dégradé, volumétrie anormale (trop haute ou trop basse pouvant indiquer un problème). L'intégration avec les outils d'alerte du Groupe (Datadog, PagerDuty) permettra une prise en charge rapide des incidents selon leur criticité. Des tableaux de bord de santé des intégrations seront accessibles aux équipes IT et aux métiers concernés.</w:t>
      </w:r>
    </w:p>
    <w:p>
      <w:pPr>
        <w:pStyle w:val="Normal"/>
        <w:rPr/>
      </w:pPr>
      <w:r>
        <w:rPr/>
      </w:r>
      <w:r>
        <w:br w:type="page"/>
      </w:r>
    </w:p>
    <w:p>
      <w:pPr>
        <w:pStyle w:val="Heading3"/>
        <w:spacing w:before="0" w:after="120"/>
        <w:rPr/>
      </w:pPr>
      <w:r>
        <w:rPr/>
        <w:t>3.3.3 Exigences en matière de gestion des données (migration, gouvernance)</w:t>
      </w:r>
    </w:p>
    <w:p>
      <w:pPr>
        <w:pStyle w:val="Normal"/>
        <w:spacing w:before="120" w:after="120"/>
        <w:rPr/>
      </w:pPr>
      <w:r>
        <w:rPr/>
        <w:t>La gestion des données constitue un enjeu stratégique du projet de renouvellement ERP. Les données sont le patrimoine informationnel du Groupe Retail Horizon, accumulé au fil des années d'activité. Leur migration vers le nouveau système, leur qualité, leur gouvernance et leur protection conditionnent directement la réussite du projet et la création de valeur attendue. Cette section détaille les exigences relatives à la gestion des données tout au long du cycle de vie du projet et en exploitation.</w:t>
      </w:r>
    </w:p>
    <w:p>
      <w:pPr>
        <w:pStyle w:val="Normal"/>
        <w:spacing w:before="120" w:after="120"/>
        <w:rPr/>
      </w:pPr>
      <w:r>
        <w:rPr/>
        <w:t>La migration des données depuis les systèmes actuels vers le nouvel ERP constitue un chantier critique du projet, souvent sous-estimé en complexité et en effort. Les données à reprendre couvrent l'ensemble des référentiels maîtres (articles, clients, fournisseurs, tarifs, structure organisationnelle) et un historique transactionnel significatif nécessaire aux besoins opérationnels et analytiques. La qualité de la migration conditionnera le démarrage opérationnel, la confiance des utilisateurs et la capacité à exploiter les historiques pour les analyses et les prévisions.</w:t>
      </w:r>
    </w:p>
    <w:p>
      <w:pPr>
        <w:pStyle w:val="Normal"/>
        <w:spacing w:before="200" w:after="100"/>
        <w:rPr/>
      </w:pPr>
      <w:r>
        <w:rPr>
          <w:b/>
          <w:bCs/>
          <w:sz w:val="24"/>
          <w:szCs w:val="24"/>
        </w:rPr>
        <w:t>Périmètre de la migration de données :</w:t>
      </w:r>
    </w:p>
    <w:tbl>
      <w:tblPr>
        <w:tblW w:w="5000" w:type="pct"/>
        <w:jc w:val="left"/>
        <w:tblInd w:w="0" w:type="dxa"/>
        <w:tblLayout w:type="fixed"/>
        <w:tblCellMar>
          <w:top w:w="80" w:type="dxa"/>
          <w:left w:w="120" w:type="dxa"/>
          <w:bottom w:w="80" w:type="dxa"/>
          <w:right w:w="120" w:type="dxa"/>
        </w:tblCellMar>
      </w:tblPr>
      <w:tblGrid>
        <w:gridCol w:w="2507"/>
        <w:gridCol w:w="1805"/>
        <w:gridCol w:w="2006"/>
        <w:gridCol w:w="2707"/>
      </w:tblGrid>
      <w:tr>
        <w:trPr/>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Domaine de données</w:t>
            </w:r>
          </w:p>
        </w:tc>
        <w:tc>
          <w:tcPr>
            <w:tcW w:w="18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Volume estimé</w:t>
            </w:r>
          </w:p>
        </w:tc>
        <w:tc>
          <w:tcPr>
            <w:tcW w:w="200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Historique requis</w:t>
            </w:r>
          </w:p>
        </w:tc>
        <w:tc>
          <w:tcPr>
            <w:tcW w:w="27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Source principale</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Articles et variantes</w:t>
            </w:r>
          </w:p>
        </w:tc>
        <w:tc>
          <w:tcPr>
            <w:tcW w:w="1805" w:type="dxa"/>
            <w:tcBorders>
              <w:top w:val="single" w:sz="2" w:space="0" w:color="CCCCCC"/>
              <w:left w:val="single" w:sz="2" w:space="0" w:color="CCCCCC"/>
              <w:bottom w:val="single" w:sz="2" w:space="0" w:color="CCCCCC"/>
              <w:right w:val="single" w:sz="2" w:space="0" w:color="CCCCCC"/>
            </w:tcBorders>
          </w:tcPr>
          <w:p>
            <w:pPr>
              <w:pStyle w:val="Normal"/>
              <w:rPr/>
            </w:pPr>
            <w:r>
              <w:rPr/>
              <w:t>450 000 fiches</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Actifs + 2 ans archivés</w:t>
            </w:r>
          </w:p>
        </w:tc>
        <w:tc>
          <w:tcPr>
            <w:tcW w:w="2707" w:type="dxa"/>
            <w:tcBorders>
              <w:top w:val="single" w:sz="2" w:space="0" w:color="CCCCCC"/>
              <w:left w:val="single" w:sz="2" w:space="0" w:color="CCCCCC"/>
              <w:bottom w:val="single" w:sz="2" w:space="0" w:color="CCCCCC"/>
              <w:right w:val="single" w:sz="2" w:space="0" w:color="CCCCCC"/>
            </w:tcBorders>
          </w:tcPr>
          <w:p>
            <w:pPr>
              <w:pStyle w:val="Normal"/>
              <w:rPr/>
            </w:pPr>
            <w:r>
              <w:rPr/>
              <w:t>SAP ECC (MM) + PIM</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Clients B2C</w:t>
            </w:r>
          </w:p>
        </w:tc>
        <w:tc>
          <w:tcPr>
            <w:tcW w:w="18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8,5 millions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Actifs (achat &lt; 3 ans)</w:t>
            </w:r>
          </w:p>
        </w:tc>
        <w:tc>
          <w:tcPr>
            <w:tcW w:w="27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Salesforce CRM</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Clients B2B</w:t>
            </w:r>
          </w:p>
        </w:tc>
        <w:tc>
          <w:tcPr>
            <w:tcW w:w="1805" w:type="dxa"/>
            <w:tcBorders>
              <w:top w:val="single" w:sz="2" w:space="0" w:color="CCCCCC"/>
              <w:left w:val="single" w:sz="2" w:space="0" w:color="CCCCCC"/>
              <w:bottom w:val="single" w:sz="2" w:space="0" w:color="CCCCCC"/>
              <w:right w:val="single" w:sz="2" w:space="0" w:color="CCCCCC"/>
            </w:tcBorders>
          </w:tcPr>
          <w:p>
            <w:pPr>
              <w:pStyle w:val="Normal"/>
              <w:rPr/>
            </w:pPr>
            <w:r>
              <w:rPr/>
              <w:t>12 000</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Tous actifs</w:t>
            </w:r>
          </w:p>
        </w:tc>
        <w:tc>
          <w:tcPr>
            <w:tcW w:w="2707" w:type="dxa"/>
            <w:tcBorders>
              <w:top w:val="single" w:sz="2" w:space="0" w:color="CCCCCC"/>
              <w:left w:val="single" w:sz="2" w:space="0" w:color="CCCCCC"/>
              <w:bottom w:val="single" w:sz="2" w:space="0" w:color="CCCCCC"/>
              <w:right w:val="single" w:sz="2" w:space="0" w:color="CCCCCC"/>
            </w:tcBorders>
          </w:tcPr>
          <w:p>
            <w:pPr>
              <w:pStyle w:val="Normal"/>
              <w:rPr/>
            </w:pPr>
            <w:r>
              <w:rPr/>
              <w:t>SAP ECC (SD) + CRM</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Fournisseurs</w:t>
            </w:r>
          </w:p>
        </w:tc>
        <w:tc>
          <w:tcPr>
            <w:tcW w:w="18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850 actifs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Tous + historique</w:t>
            </w:r>
          </w:p>
        </w:tc>
        <w:tc>
          <w:tcPr>
            <w:tcW w:w="27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SAP ECC (MM)</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Tarifs et conditions</w:t>
            </w:r>
          </w:p>
        </w:tc>
        <w:tc>
          <w:tcPr>
            <w:tcW w:w="1805" w:type="dxa"/>
            <w:tcBorders>
              <w:top w:val="single" w:sz="2" w:space="0" w:color="CCCCCC"/>
              <w:left w:val="single" w:sz="2" w:space="0" w:color="CCCCCC"/>
              <w:bottom w:val="single" w:sz="2" w:space="0" w:color="CCCCCC"/>
              <w:right w:val="single" w:sz="2" w:space="0" w:color="CCCCCC"/>
            </w:tcBorders>
          </w:tcPr>
          <w:p>
            <w:pPr>
              <w:pStyle w:val="Normal"/>
              <w:rPr/>
            </w:pPr>
            <w:r>
              <w:rPr/>
              <w:t>2 millions lignes</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Actifs uniquement</w:t>
            </w:r>
          </w:p>
        </w:tc>
        <w:tc>
          <w:tcPr>
            <w:tcW w:w="2707" w:type="dxa"/>
            <w:tcBorders>
              <w:top w:val="single" w:sz="2" w:space="0" w:color="CCCCCC"/>
              <w:left w:val="single" w:sz="2" w:space="0" w:color="CCCCCC"/>
              <w:bottom w:val="single" w:sz="2" w:space="0" w:color="CCCCCC"/>
              <w:right w:val="single" w:sz="2" w:space="0" w:color="CCCCCC"/>
            </w:tcBorders>
          </w:tcPr>
          <w:p>
            <w:pPr>
              <w:pStyle w:val="Normal"/>
              <w:rPr/>
            </w:pPr>
            <w:r>
              <w:rPr/>
              <w:t>SAP ECC (SD)</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Commandes clients</w:t>
            </w:r>
          </w:p>
        </w:tc>
        <w:tc>
          <w:tcPr>
            <w:tcW w:w="18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45 millions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3 ans (opérationnel)</w:t>
            </w:r>
          </w:p>
        </w:tc>
        <w:tc>
          <w:tcPr>
            <w:tcW w:w="27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SAP ECC + e-commerce</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Mouvements de stock</w:t>
            </w:r>
          </w:p>
        </w:tc>
        <w:tc>
          <w:tcPr>
            <w:tcW w:w="1805" w:type="dxa"/>
            <w:tcBorders>
              <w:top w:val="single" w:sz="2" w:space="0" w:color="CCCCCC"/>
              <w:left w:val="single" w:sz="2" w:space="0" w:color="CCCCCC"/>
              <w:bottom w:val="single" w:sz="2" w:space="0" w:color="CCCCCC"/>
              <w:right w:val="single" w:sz="2" w:space="0" w:color="CCCCCC"/>
            </w:tcBorders>
          </w:tcPr>
          <w:p>
            <w:pPr>
              <w:pStyle w:val="Normal"/>
              <w:rPr/>
            </w:pPr>
            <w:r>
              <w:rPr/>
              <w:t>200 millions</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2 ans</w:t>
            </w:r>
          </w:p>
        </w:tc>
        <w:tc>
          <w:tcPr>
            <w:tcW w:w="2707" w:type="dxa"/>
            <w:tcBorders>
              <w:top w:val="single" w:sz="2" w:space="0" w:color="CCCCCC"/>
              <w:left w:val="single" w:sz="2" w:space="0" w:color="CCCCCC"/>
              <w:bottom w:val="single" w:sz="2" w:space="0" w:color="CCCCCC"/>
              <w:right w:val="single" w:sz="2" w:space="0" w:color="CCCCCC"/>
            </w:tcBorders>
          </w:tcPr>
          <w:p>
            <w:pPr>
              <w:pStyle w:val="Normal"/>
              <w:rPr/>
            </w:pPr>
            <w:r>
              <w:rPr/>
              <w:t>SAP ECC + WMS</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Écritures comptables</w:t>
            </w:r>
          </w:p>
        </w:tc>
        <w:tc>
          <w:tcPr>
            <w:tcW w:w="18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150 millions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10 ans (légal)</w:t>
            </w:r>
          </w:p>
        </w:tc>
        <w:tc>
          <w:tcPr>
            <w:tcW w:w="27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SAP ECC (FI)</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Points fidélité</w:t>
            </w:r>
          </w:p>
        </w:tc>
        <w:tc>
          <w:tcPr>
            <w:tcW w:w="1805" w:type="dxa"/>
            <w:tcBorders>
              <w:top w:val="single" w:sz="2" w:space="0" w:color="CCCCCC"/>
              <w:left w:val="single" w:sz="2" w:space="0" w:color="CCCCCC"/>
              <w:bottom w:val="single" w:sz="2" w:space="0" w:color="CCCCCC"/>
              <w:right w:val="single" w:sz="2" w:space="0" w:color="CCCCCC"/>
            </w:tcBorders>
          </w:tcPr>
          <w:p>
            <w:pPr>
              <w:pStyle w:val="Normal"/>
              <w:rPr/>
            </w:pPr>
            <w:r>
              <w:rPr/>
              <w:t>25 millions mvts</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5 ans</w:t>
            </w:r>
          </w:p>
        </w:tc>
        <w:tc>
          <w:tcPr>
            <w:tcW w:w="2707" w:type="dxa"/>
            <w:tcBorders>
              <w:top w:val="single" w:sz="2" w:space="0" w:color="CCCCCC"/>
              <w:left w:val="single" w:sz="2" w:space="0" w:color="CCCCCC"/>
              <w:bottom w:val="single" w:sz="2" w:space="0" w:color="CCCCCC"/>
              <w:right w:val="single" w:sz="2" w:space="0" w:color="CCCCCC"/>
            </w:tcBorders>
          </w:tcPr>
          <w:p>
            <w:pPr>
              <w:pStyle w:val="Normal"/>
              <w:rPr/>
            </w:pPr>
            <w:r>
              <w:rPr/>
              <w:t>Salesforce CRM</w:t>
            </w:r>
          </w:p>
        </w:tc>
      </w:tr>
    </w:tbl>
    <w:p>
      <w:pPr>
        <w:pStyle w:val="Normal"/>
        <w:spacing w:before="200" w:after="120"/>
        <w:rPr/>
      </w:pPr>
      <w:r>
        <w:rPr/>
        <w:t>La stratégie de migration sera définie conjointement avec l'intégrateur retenu lors de la phase de conception, en arbitrant entre exhaustivité de la reprise et complexité de mise en œuvre. Plusieurs approches sont envisageables selon les domaines de données. La reprise intégrale avec transformation consiste à migrer l'ensemble des données historiques en les adaptant au modèle de données cible ; cette approche maximise la continuité mais peut s'avérer complexe et risquée. La reprise des données actives avec archivage des historiques limite la migration aux données vivantes, les historiques restant accessibles dans un système d'archivage dédié ; cette approche réduit les risques mais impose de maintenir temporairement l'accès aux anciens systèmes.</w:t>
      </w:r>
    </w:p>
    <w:p>
      <w:pPr>
        <w:pStyle w:val="Normal"/>
        <w:spacing w:before="120" w:after="120"/>
        <w:rPr/>
      </w:pPr>
      <w:r>
        <w:rPr/>
        <w:t>Les candidats proposeront des outils et une méthodologie de migration éprouvés, industrialisés et documentés. La méthodologie devra couvrir toutes les phases du processus de migration : analyse et profilage des données sources pour comprendre leur structure et leur qualité, mapping détaillé entre les modèles de données source et cible avec règles de transformation, extraction des données depuis les systèmes sources avec traçabilité, transformation et enrichissement selon les règles définies, chargement dans le système cible avec contrôles d'intégrité, validation fonctionnelle par les métiers avec critères d'acceptation définis.</w:t>
      </w:r>
    </w:p>
    <w:p>
      <w:pPr>
        <w:pStyle w:val="Normal"/>
        <w:spacing w:before="120" w:after="120"/>
        <w:rPr/>
      </w:pPr>
      <w:r>
        <w:rPr/>
        <w:t>La qualité des données est un enjeu majeur que le projet devra adresser avec la plus grande attention. Les données actuelles présentent des problèmes connus de complétude (champs obligatoires non renseignés), de cohérence (données contradictoires entre systèmes), de conformité (formats non respectés) et de duplication (doublons de fiches clients et articles). Ces anomalies, accumulées au fil des années et des migrations successives, ne devront pas être transférées dans le nouveau système sous peine de compromettre sa valeur.</w:t>
      </w:r>
    </w:p>
    <w:p>
      <w:pPr>
        <w:pStyle w:val="Normal"/>
        <w:spacing w:before="120" w:after="120"/>
        <w:rPr/>
      </w:pPr>
      <w:r>
        <w:rPr/>
        <w:t>Un chantier de data quality sera mené en amont de la migration, en parallèle des phases de conception et de paramétrage. Ce chantier comprendra : un audit de qualité des données sources avec identification et quantification des anomalies, la définition des règles de qualité cibles (complétude, unicité, validité, cohérence), la mise en place de processus de correction des anomalies critiques dans les systèmes sources, et la définition des règles de rejet ou de transformation des données non conformes lors de la migration. Des indicateurs de qualité seront suivis tout au long du projet.</w:t>
      </w:r>
    </w:p>
    <w:p>
      <w:pPr>
        <w:pStyle w:val="Normal"/>
        <w:spacing w:before="120" w:after="120"/>
        <w:rPr/>
      </w:pPr>
      <w:r>
        <w:rPr/>
        <w:t>L'ERP cible devra intégrer des fonctionnalités natives de contrôle de la qualité des données. À la saisie, des contrôles de format, de cohérence et de complétude empêcheront l'introduction de données non conformes. Des règles de validation paramétrables permettront d'adapter les contrôles aux exigences métiers spécifiques. En continu, des outils de détection des anomalies identifieront les doublons potentiels, les incohérences entre données liées et les dérives par rapport aux standards définis. Des tableaux de bord de qualité des données permettront un pilotage proactif.</w:t>
      </w:r>
    </w:p>
    <w:p>
      <w:pPr>
        <w:pStyle w:val="Normal"/>
        <w:spacing w:before="120" w:after="120"/>
        <w:rPr/>
      </w:pPr>
      <w:r>
        <w:rPr/>
        <w:t>La gouvernance des données définit les règles de gestion du patrimoine informationnel du Groupe, les rôles et responsabilités associés, et les processus de décision concernant les données. L'ERP devra supporter un modèle de data ownership clairement défini, attribuant la responsabilité de chaque domaine de données à un propriétaire métier identifié. Le propriétaire de données est responsable de la définition des règles de gestion, de la qualité des données de son domaine et de l'arbitrage en cas de conflit d'usage.</w:t>
      </w:r>
    </w:p>
    <w:p>
      <w:pPr>
        <w:pStyle w:val="Normal"/>
        <w:spacing w:before="120" w:after="120"/>
        <w:rPr/>
      </w:pPr>
      <w:r>
        <w:rPr/>
        <w:t>Les règles de création, de modification et de suppression des données maîtres seront formalisées dans des workflows de validation paramétrables. La création d'un nouvel article, par exemple, suivra un processus de validation impliquant les achats (informations fournisseur), le marketing (informations commerciales), la logistique (informations de stockage) et la finance (informations comptables). Chaque étape sera tracée avec identification du valideur et horodatage. Les modifications de données sensibles (prix, conditions, informations client) seront soumises à validation avant prise d'effet.</w:t>
      </w:r>
    </w:p>
    <w:p>
      <w:pPr>
        <w:pStyle w:val="Normal"/>
        <w:spacing w:before="120" w:after="120"/>
        <w:rPr/>
      </w:pPr>
      <w:r>
        <w:rPr/>
        <w:t>Un dictionnaire de données centralisé, ou catalogue de données, documentera l'ensemble des objets métiers et de leurs attributs. Pour chaque donnée, le dictionnaire précisera : sa définition métier univoque, son format technique et ses règles de validation, son propriétaire et les rôles autorisés à y accéder, ses sources et ses consommateurs dans l'écosystème applicatif, ses règles de rétention et d'archivage. Ce dictionnaire sera maintenu à jour et accessible aux équipes métiers et IT pour garantir une compréhension partagée du patrimoine de données.</w:t>
      </w:r>
    </w:p>
    <w:p>
      <w:pPr>
        <w:pStyle w:val="Normal"/>
        <w:spacing w:before="120" w:after="120"/>
        <w:rPr/>
      </w:pPr>
      <w:r>
        <w:rPr/>
        <w:t>L'ERP devra s'intégrer avec la solution de Master Data Management (MDM) que le Groupe envisage de déployer à moyen terme pour gérer de manière centralisée les référentiels partagés. En attendant ce déploiement, l'ERP constituera le système maître (system of record) pour les données produits, clients et fournisseurs. Des mécanismes de synchronisation robustes diffuseront ces données maîtres vers les systèmes consommateurs (e-commerce, CRM, WMS, BI) avec gestion des conflits et traçabilité des mises à jour.</w:t>
      </w:r>
    </w:p>
    <w:p>
      <w:pPr>
        <w:pStyle w:val="Normal"/>
        <w:spacing w:before="120" w:after="120"/>
        <w:rPr/>
      </w:pPr>
      <w:r>
        <w:rPr/>
        <w:t>La confidentialité des données sera assurée par un modèle d'habilitation granulaire permettant de restreindre l'accès aux données sensibles selon le profil de l'utilisateur. Certaines données devront pouvoir être masquées ou accessibles uniquement à des populations restreintes : les coûts d'achat et les marges (réservés aux acheteurs et au contrôle de gestion), les données personnelles détaillées des clients (service client et marketing), les informations de rémunération (RH). Le modèle d'habilitation devra permettre ces restrictions sans complexifier excessivement l'administration.</w:t>
      </w:r>
    </w:p>
    <w:p>
      <w:pPr>
        <w:pStyle w:val="Normal"/>
        <w:spacing w:before="120" w:after="120"/>
        <w:rPr/>
      </w:pPr>
      <w:r>
        <w:rPr/>
        <w:t>Le chiffrement des données sensibles sera appliqué au repos (données stockées dans la base de données et les fichiers) et en transit (données échangées via les API et les interfaces). Les algorithmes de chiffrement seront conformes aux standards actuels (AES-256 minimum). La gestion des clés de chiffrement sera rigoureuse, avec stockage sécurisé, rotation périodique et séparation des responsabilités. Pour les environnements hors production (test, formation), les données de production seront anonymisées ou pseudonymisées avant copie, préservant leur cohérence fonctionnelle tout en protégeant les informations personnelles.</w:t>
      </w:r>
    </w:p>
    <w:p>
      <w:pPr>
        <w:pStyle w:val="Normal"/>
        <w:spacing w:before="120" w:after="120"/>
        <w:rPr/>
      </w:pPr>
      <w:r>
        <w:rPr/>
        <w:t>La traçabilité des accès aux données et des modifications sera complète et inaltérable. Chaque consultation de données sensibles, chaque création, modification ou suppression d'enregistrement sera journalisée avec identification de l'utilisateur, horodatage, données avant/après modification. Ces pistes d'audit répondront aux exigences réglementaires (RGPD, contrôle fiscal) et aux besoins internes de sécurité et de traçabilité. L'accès aux logs d'audit sera lui-même restreint et tracé. La rétention des logs sera de 12 mois minimum en ligne, avec archivage long terme pour les besoins légaux.</w:t>
      </w:r>
    </w:p>
    <w:p>
      <w:pPr>
        <w:pStyle w:val="Heading1"/>
        <w:rPr/>
      </w:pPr>
      <w:r>
        <w:rPr/>
        <w:t>4. Modalités de la Procédure d'Appel d'Offres</w:t>
      </w:r>
    </w:p>
    <w:p>
      <w:pPr>
        <w:pStyle w:val="Normal"/>
        <w:spacing w:before="120" w:after="120"/>
        <w:rPr/>
      </w:pPr>
      <w:r>
        <w:rPr/>
        <w:t>Cette section définit les modalités pratiques de la consultation lancée par le Groupe Retail Horizon pour la sélection de son futur ERP. Elle précise le calendrier prévisionnel, les règles de communication entre le Groupe et les candidats, les instructions pour la préparation des réponses, ainsi que les critères et le processus d'évaluation qui permettront de sélectionner le partenaire le plus adapté. Le strict respect de ces modalités conditionne la recevabilité des candidatures.</w:t>
      </w:r>
    </w:p>
    <w:p>
      <w:pPr>
        <w:pStyle w:val="Normal"/>
        <w:spacing w:before="120" w:after="120"/>
        <w:rPr/>
      </w:pPr>
      <w:r>
        <w:rPr/>
        <w:t>Le Groupe Retail Horizon attache une importance particulière à la transparence et à l'équité du processus de sélection. Tous les candidats seront traités de manière identique et disposeront des mêmes informations pour élaborer leur proposition. Les règles définies dans cette section sont applicables à l'ensemble des participants et tout manquement pourra entraîner l'exclusion du candidat concerné. Le Groupe se réserve le droit de modifier ces modalités en cours de procédure, sous réserve d'en informer tous les candidats dans les mêmes conditions.</w:t>
      </w:r>
    </w:p>
    <w:p>
      <w:pPr>
        <w:pStyle w:val="Heading2"/>
        <w:rPr/>
      </w:pPr>
      <w:r>
        <w:rPr/>
        <w:t>4.1 Organisation et déroulement de la consultation</w:t>
      </w:r>
    </w:p>
    <w:p>
      <w:pPr>
        <w:pStyle w:val="Normal"/>
        <w:spacing w:before="120" w:after="120"/>
        <w:rPr/>
      </w:pPr>
      <w:r>
        <w:rPr/>
        <w:t>La procédure de consultation se déroule en plusieurs phases successives, chacune ayant des objectifs spécifiques et des livrables attendus. Cette organisation permet une évaluation progressive et approfondie des candidatures, tout en offrant aux candidats des opportunités de démontrer la valeur de leur solution. Le passage d'une phase à l'autre est conditionné par les résultats de l'évaluation de la phase précédente ; tous les candidats ne seront pas nécessairement invités à participer à toutes les phases.</w:t>
      </w:r>
    </w:p>
    <w:p>
      <w:pPr>
        <w:pStyle w:val="Normal"/>
        <w:spacing w:before="120" w:after="120"/>
        <w:rPr/>
      </w:pPr>
      <w:r>
        <w:rPr/>
        <w:t>La consultation est ouverte aux éditeurs de solutions ERP disposant d'une offre mature et éprouvée pour le secteur du retail et du commerce international. Les candidats peuvent répondre seuls s'ils disposent des capacités d'intégration nécessaires, ou en groupement avec un ou plusieurs partenaires intégrateurs. Dans le cas d'un groupement, un mandataire unique sera désigné comme interlocuteur du Groupe pour l'ensemble de la procédure. La composition du groupement ne pourra pas être modifiée après le dépôt de la candidature, sauf accord préalable du Groupe.</w:t>
      </w:r>
    </w:p>
    <w:p>
      <w:pPr>
        <w:pStyle w:val="Heading3"/>
        <w:rPr/>
      </w:pPr>
      <w:r>
        <w:rPr/>
        <w:t>4.1.1 Calendrier prévisionnel détaillé des phases du projet</w:t>
      </w:r>
    </w:p>
    <w:p>
      <w:pPr>
        <w:pStyle w:val="Normal"/>
        <w:spacing w:before="120" w:after="120"/>
        <w:rPr/>
      </w:pPr>
      <w:r>
        <w:rPr/>
        <w:t>Le calendrier ci-dessous présente les principales échéances de la procédure de consultation. Ces dates sont prévisionnelles et pourront être ajustées en fonction du déroulement effectif de la procédure. Toute modification du calendrier sera communiquée à l'ensemble des candidats par voie électronique. Les candidats sont invités à prendre leurs dispositions pour respecter ces échéances, aucun report individuel ne pouvant être accordé.</w:t>
      </w:r>
    </w:p>
    <w:p>
      <w:pPr>
        <w:pStyle w:val="Normal"/>
        <w:spacing w:before="200" w:after="100"/>
        <w:rPr/>
      </w:pPr>
      <w:r>
        <w:rPr>
          <w:b/>
          <w:bCs/>
          <w:sz w:val="24"/>
          <w:szCs w:val="24"/>
        </w:rPr>
        <w:t>Calendrier de la consultation :</w:t>
      </w:r>
    </w:p>
    <w:tbl>
      <w:tblPr>
        <w:tblW w:w="5000" w:type="pct"/>
        <w:jc w:val="left"/>
        <w:tblInd w:w="0" w:type="dxa"/>
        <w:tblLayout w:type="fixed"/>
        <w:tblCellMar>
          <w:top w:w="80" w:type="dxa"/>
          <w:left w:w="120" w:type="dxa"/>
          <w:bottom w:w="80" w:type="dxa"/>
          <w:right w:w="120" w:type="dxa"/>
        </w:tblCellMar>
      </w:tblPr>
      <w:tblGrid>
        <w:gridCol w:w="1203"/>
        <w:gridCol w:w="2808"/>
        <w:gridCol w:w="5015"/>
      </w:tblGrid>
      <w:tr>
        <w:trPr/>
        <w:tc>
          <w:tcPr>
            <w:tcW w:w="120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Phase</w:t>
            </w:r>
          </w:p>
        </w:tc>
        <w:tc>
          <w:tcPr>
            <w:tcW w:w="28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Date</w:t>
            </w:r>
          </w:p>
        </w:tc>
        <w:tc>
          <w:tcPr>
            <w:tcW w:w="501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Description</w:t>
            </w:r>
          </w:p>
        </w:tc>
      </w:tr>
      <w:tr>
        <w:trPr/>
        <w:tc>
          <w:tcPr>
            <w:tcW w:w="1203" w:type="dxa"/>
            <w:tcBorders>
              <w:top w:val="single" w:sz="2" w:space="0" w:color="CCCCCC"/>
              <w:left w:val="single" w:sz="2" w:space="0" w:color="CCCCCC"/>
              <w:bottom w:val="single" w:sz="2" w:space="0" w:color="CCCCCC"/>
              <w:right w:val="single" w:sz="2" w:space="0" w:color="CCCCCC"/>
            </w:tcBorders>
          </w:tcPr>
          <w:p>
            <w:pPr>
              <w:pStyle w:val="Normal"/>
              <w:rPr/>
            </w:pPr>
            <w:r>
              <w:rPr/>
              <w:t>1</w:t>
            </w:r>
          </w:p>
        </w:tc>
        <w:tc>
          <w:tcPr>
            <w:tcW w:w="2808" w:type="dxa"/>
            <w:tcBorders>
              <w:top w:val="single" w:sz="2" w:space="0" w:color="CCCCCC"/>
              <w:left w:val="single" w:sz="2" w:space="0" w:color="CCCCCC"/>
              <w:bottom w:val="single" w:sz="2" w:space="0" w:color="CCCCCC"/>
              <w:right w:val="single" w:sz="2" w:space="0" w:color="CCCCCC"/>
            </w:tcBorders>
          </w:tcPr>
          <w:p>
            <w:pPr>
              <w:pStyle w:val="Normal"/>
              <w:rPr/>
            </w:pPr>
            <w:r>
              <w:rPr/>
              <w:t>15 janvier 2026</w:t>
            </w:r>
          </w:p>
        </w:tc>
        <w:tc>
          <w:tcPr>
            <w:tcW w:w="5015" w:type="dxa"/>
            <w:tcBorders>
              <w:top w:val="single" w:sz="2" w:space="0" w:color="CCCCCC"/>
              <w:left w:val="single" w:sz="2" w:space="0" w:color="CCCCCC"/>
              <w:bottom w:val="single" w:sz="2" w:space="0" w:color="CCCCCC"/>
              <w:right w:val="single" w:sz="2" w:space="0" w:color="CCCCCC"/>
            </w:tcBorders>
          </w:tcPr>
          <w:p>
            <w:pPr>
              <w:pStyle w:val="Normal"/>
              <w:rPr/>
            </w:pPr>
            <w:r>
              <w:rPr/>
              <w:t>Publication de l'appel d'offres et envoi du cahier des charges</w:t>
            </w:r>
          </w:p>
        </w:tc>
      </w:tr>
      <w:tr>
        <w:trPr/>
        <w:tc>
          <w:tcPr>
            <w:tcW w:w="120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w:t>
            </w:r>
          </w:p>
        </w:tc>
        <w:tc>
          <w:tcPr>
            <w:tcW w:w="28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31 janvier 2026</w:t>
            </w:r>
          </w:p>
        </w:tc>
        <w:tc>
          <w:tcPr>
            <w:tcW w:w="501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Date limite de réception des questions des candidats</w:t>
            </w:r>
          </w:p>
        </w:tc>
      </w:tr>
      <w:tr>
        <w:trPr/>
        <w:tc>
          <w:tcPr>
            <w:tcW w:w="1203" w:type="dxa"/>
            <w:tcBorders>
              <w:top w:val="single" w:sz="2" w:space="0" w:color="CCCCCC"/>
              <w:left w:val="single" w:sz="2" w:space="0" w:color="CCCCCC"/>
              <w:bottom w:val="single" w:sz="2" w:space="0" w:color="CCCCCC"/>
              <w:right w:val="single" w:sz="2" w:space="0" w:color="CCCCCC"/>
            </w:tcBorders>
          </w:tcPr>
          <w:p>
            <w:pPr>
              <w:pStyle w:val="Normal"/>
              <w:rPr/>
            </w:pPr>
            <w:r>
              <w:rPr/>
              <w:t>3</w:t>
            </w:r>
          </w:p>
        </w:tc>
        <w:tc>
          <w:tcPr>
            <w:tcW w:w="2808" w:type="dxa"/>
            <w:tcBorders>
              <w:top w:val="single" w:sz="2" w:space="0" w:color="CCCCCC"/>
              <w:left w:val="single" w:sz="2" w:space="0" w:color="CCCCCC"/>
              <w:bottom w:val="single" w:sz="2" w:space="0" w:color="CCCCCC"/>
              <w:right w:val="single" w:sz="2" w:space="0" w:color="CCCCCC"/>
            </w:tcBorders>
          </w:tcPr>
          <w:p>
            <w:pPr>
              <w:pStyle w:val="Normal"/>
              <w:rPr/>
            </w:pPr>
            <w:r>
              <w:rPr/>
              <w:t>14 février 2026</w:t>
            </w:r>
          </w:p>
        </w:tc>
        <w:tc>
          <w:tcPr>
            <w:tcW w:w="5015" w:type="dxa"/>
            <w:tcBorders>
              <w:top w:val="single" w:sz="2" w:space="0" w:color="CCCCCC"/>
              <w:left w:val="single" w:sz="2" w:space="0" w:color="CCCCCC"/>
              <w:bottom w:val="single" w:sz="2" w:space="0" w:color="CCCCCC"/>
              <w:right w:val="single" w:sz="2" w:space="0" w:color="CCCCCC"/>
            </w:tcBorders>
          </w:tcPr>
          <w:p>
            <w:pPr>
              <w:pStyle w:val="Normal"/>
              <w:rPr/>
            </w:pPr>
            <w:r>
              <w:rPr/>
              <w:t>Diffusion des réponses aux questions (document consolidé)</w:t>
            </w:r>
          </w:p>
        </w:tc>
      </w:tr>
      <w:tr>
        <w:trPr/>
        <w:tc>
          <w:tcPr>
            <w:tcW w:w="120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4</w:t>
            </w:r>
          </w:p>
        </w:tc>
        <w:tc>
          <w:tcPr>
            <w:tcW w:w="28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15 mars 2026 - 18h00</w:t>
            </w:r>
          </w:p>
        </w:tc>
        <w:tc>
          <w:tcPr>
            <w:tcW w:w="501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Date limite de remise des offres (phase écrite)</w:t>
            </w:r>
          </w:p>
        </w:tc>
      </w:tr>
      <w:tr>
        <w:trPr/>
        <w:tc>
          <w:tcPr>
            <w:tcW w:w="1203" w:type="dxa"/>
            <w:tcBorders>
              <w:top w:val="single" w:sz="2" w:space="0" w:color="CCCCCC"/>
              <w:left w:val="single" w:sz="2" w:space="0" w:color="CCCCCC"/>
              <w:bottom w:val="single" w:sz="2" w:space="0" w:color="CCCCCC"/>
              <w:right w:val="single" w:sz="2" w:space="0" w:color="CCCCCC"/>
            </w:tcBorders>
          </w:tcPr>
          <w:p>
            <w:pPr>
              <w:pStyle w:val="Normal"/>
              <w:rPr/>
            </w:pPr>
            <w:r>
              <w:rPr/>
              <w:t>5</w:t>
            </w:r>
          </w:p>
        </w:tc>
        <w:tc>
          <w:tcPr>
            <w:tcW w:w="2808" w:type="dxa"/>
            <w:tcBorders>
              <w:top w:val="single" w:sz="2" w:space="0" w:color="CCCCCC"/>
              <w:left w:val="single" w:sz="2" w:space="0" w:color="CCCCCC"/>
              <w:bottom w:val="single" w:sz="2" w:space="0" w:color="CCCCCC"/>
              <w:right w:val="single" w:sz="2" w:space="0" w:color="CCCCCC"/>
            </w:tcBorders>
          </w:tcPr>
          <w:p>
            <w:pPr>
              <w:pStyle w:val="Normal"/>
              <w:rPr/>
            </w:pPr>
            <w:r>
              <w:rPr/>
              <w:t>16-31 mars 2026</w:t>
            </w:r>
          </w:p>
        </w:tc>
        <w:tc>
          <w:tcPr>
            <w:tcW w:w="5015" w:type="dxa"/>
            <w:tcBorders>
              <w:top w:val="single" w:sz="2" w:space="0" w:color="CCCCCC"/>
              <w:left w:val="single" w:sz="2" w:space="0" w:color="CCCCCC"/>
              <w:bottom w:val="single" w:sz="2" w:space="0" w:color="CCCCCC"/>
              <w:right w:val="single" w:sz="2" w:space="0" w:color="CCCCCC"/>
            </w:tcBorders>
          </w:tcPr>
          <w:p>
            <w:pPr>
              <w:pStyle w:val="Normal"/>
              <w:rPr/>
            </w:pPr>
            <w:r>
              <w:rPr/>
              <w:t>Analyse des offres écrites par le comité d'évaluation</w:t>
            </w:r>
          </w:p>
        </w:tc>
      </w:tr>
      <w:tr>
        <w:trPr/>
        <w:tc>
          <w:tcPr>
            <w:tcW w:w="120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6</w:t>
            </w:r>
          </w:p>
        </w:tc>
        <w:tc>
          <w:tcPr>
            <w:tcW w:w="28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4 avril 2026</w:t>
            </w:r>
          </w:p>
        </w:tc>
        <w:tc>
          <w:tcPr>
            <w:tcW w:w="501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Communication de la short-list (3-4 candidats retenus)</w:t>
            </w:r>
          </w:p>
        </w:tc>
      </w:tr>
      <w:tr>
        <w:trPr/>
        <w:tc>
          <w:tcPr>
            <w:tcW w:w="1203" w:type="dxa"/>
            <w:tcBorders>
              <w:top w:val="single" w:sz="2" w:space="0" w:color="CCCCCC"/>
              <w:left w:val="single" w:sz="2" w:space="0" w:color="CCCCCC"/>
              <w:bottom w:val="single" w:sz="2" w:space="0" w:color="CCCCCC"/>
              <w:right w:val="single" w:sz="2" w:space="0" w:color="CCCCCC"/>
            </w:tcBorders>
          </w:tcPr>
          <w:p>
            <w:pPr>
              <w:pStyle w:val="Normal"/>
              <w:rPr/>
            </w:pPr>
            <w:r>
              <w:rPr/>
              <w:t>7</w:t>
            </w:r>
          </w:p>
        </w:tc>
        <w:tc>
          <w:tcPr>
            <w:tcW w:w="2808" w:type="dxa"/>
            <w:tcBorders>
              <w:top w:val="single" w:sz="2" w:space="0" w:color="CCCCCC"/>
              <w:left w:val="single" w:sz="2" w:space="0" w:color="CCCCCC"/>
              <w:bottom w:val="single" w:sz="2" w:space="0" w:color="CCCCCC"/>
              <w:right w:val="single" w:sz="2" w:space="0" w:color="CCCCCC"/>
            </w:tcBorders>
          </w:tcPr>
          <w:p>
            <w:pPr>
              <w:pStyle w:val="Normal"/>
              <w:rPr/>
            </w:pPr>
            <w:r>
              <w:rPr/>
              <w:t>7-11 avril 2026</w:t>
            </w:r>
          </w:p>
        </w:tc>
        <w:tc>
          <w:tcPr>
            <w:tcW w:w="5015" w:type="dxa"/>
            <w:tcBorders>
              <w:top w:val="single" w:sz="2" w:space="0" w:color="CCCCCC"/>
              <w:left w:val="single" w:sz="2" w:space="0" w:color="CCCCCC"/>
              <w:bottom w:val="single" w:sz="2" w:space="0" w:color="CCCCCC"/>
              <w:right w:val="single" w:sz="2" w:space="0" w:color="CCCCCC"/>
            </w:tcBorders>
          </w:tcPr>
          <w:p>
            <w:pPr>
              <w:pStyle w:val="Normal"/>
              <w:rPr/>
            </w:pPr>
            <w:r>
              <w:rPr/>
              <w:t>Transmission des scénarios pour les démonstrations (PoC)</w:t>
            </w:r>
          </w:p>
        </w:tc>
      </w:tr>
      <w:tr>
        <w:trPr/>
        <w:tc>
          <w:tcPr>
            <w:tcW w:w="120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w:t>
            </w:r>
          </w:p>
        </w:tc>
        <w:tc>
          <w:tcPr>
            <w:tcW w:w="28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14 avril - 9 mai 2026</w:t>
            </w:r>
          </w:p>
        </w:tc>
        <w:tc>
          <w:tcPr>
            <w:tcW w:w="501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Préparation des démonstrations par les candidats (4 semaines)</w:t>
            </w:r>
          </w:p>
        </w:tc>
      </w:tr>
      <w:tr>
        <w:trPr/>
        <w:tc>
          <w:tcPr>
            <w:tcW w:w="1203" w:type="dxa"/>
            <w:tcBorders>
              <w:top w:val="single" w:sz="2" w:space="0" w:color="CCCCCC"/>
              <w:left w:val="single" w:sz="2" w:space="0" w:color="CCCCCC"/>
              <w:bottom w:val="single" w:sz="2" w:space="0" w:color="CCCCCC"/>
              <w:right w:val="single" w:sz="2" w:space="0" w:color="CCCCCC"/>
            </w:tcBorders>
          </w:tcPr>
          <w:p>
            <w:pPr>
              <w:pStyle w:val="Normal"/>
              <w:rPr/>
            </w:pPr>
            <w:r>
              <w:rPr/>
              <w:t>9</w:t>
            </w:r>
          </w:p>
        </w:tc>
        <w:tc>
          <w:tcPr>
            <w:tcW w:w="2808" w:type="dxa"/>
            <w:tcBorders>
              <w:top w:val="single" w:sz="2" w:space="0" w:color="CCCCCC"/>
              <w:left w:val="single" w:sz="2" w:space="0" w:color="CCCCCC"/>
              <w:bottom w:val="single" w:sz="2" w:space="0" w:color="CCCCCC"/>
              <w:right w:val="single" w:sz="2" w:space="0" w:color="CCCCCC"/>
            </w:tcBorders>
          </w:tcPr>
          <w:p>
            <w:pPr>
              <w:pStyle w:val="Normal"/>
              <w:rPr/>
            </w:pPr>
            <w:r>
              <w:rPr/>
              <w:t>11-22 mai 2026</w:t>
            </w:r>
          </w:p>
        </w:tc>
        <w:tc>
          <w:tcPr>
            <w:tcW w:w="5015" w:type="dxa"/>
            <w:tcBorders>
              <w:top w:val="single" w:sz="2" w:space="0" w:color="CCCCCC"/>
              <w:left w:val="single" w:sz="2" w:space="0" w:color="CCCCCC"/>
              <w:bottom w:val="single" w:sz="2" w:space="0" w:color="CCCCCC"/>
              <w:right w:val="single" w:sz="2" w:space="0" w:color="CCCCCC"/>
            </w:tcBorders>
          </w:tcPr>
          <w:p>
            <w:pPr>
              <w:pStyle w:val="Normal"/>
              <w:rPr/>
            </w:pPr>
            <w:r>
              <w:rPr/>
              <w:t>Sessions de démonstration (2 jours par candidat)</w:t>
            </w:r>
          </w:p>
        </w:tc>
      </w:tr>
      <w:tr>
        <w:trPr/>
        <w:tc>
          <w:tcPr>
            <w:tcW w:w="120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10</w:t>
            </w:r>
          </w:p>
        </w:tc>
        <w:tc>
          <w:tcPr>
            <w:tcW w:w="28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25-29 mai 2026</w:t>
            </w:r>
          </w:p>
        </w:tc>
        <w:tc>
          <w:tcPr>
            <w:tcW w:w="501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Soutenances finales et présentation des équipes projet</w:t>
            </w:r>
          </w:p>
        </w:tc>
      </w:tr>
      <w:tr>
        <w:trPr/>
        <w:tc>
          <w:tcPr>
            <w:tcW w:w="1203" w:type="dxa"/>
            <w:tcBorders>
              <w:top w:val="single" w:sz="2" w:space="0" w:color="CCCCCC"/>
              <w:left w:val="single" w:sz="2" w:space="0" w:color="CCCCCC"/>
              <w:bottom w:val="single" w:sz="2" w:space="0" w:color="CCCCCC"/>
              <w:right w:val="single" w:sz="2" w:space="0" w:color="CCCCCC"/>
            </w:tcBorders>
          </w:tcPr>
          <w:p>
            <w:pPr>
              <w:pStyle w:val="Normal"/>
              <w:rPr/>
            </w:pPr>
            <w:r>
              <w:rPr/>
              <w:t>11</w:t>
            </w:r>
          </w:p>
        </w:tc>
        <w:tc>
          <w:tcPr>
            <w:tcW w:w="2808" w:type="dxa"/>
            <w:tcBorders>
              <w:top w:val="single" w:sz="2" w:space="0" w:color="CCCCCC"/>
              <w:left w:val="single" w:sz="2" w:space="0" w:color="CCCCCC"/>
              <w:bottom w:val="single" w:sz="2" w:space="0" w:color="CCCCCC"/>
              <w:right w:val="single" w:sz="2" w:space="0" w:color="CCCCCC"/>
            </w:tcBorders>
          </w:tcPr>
          <w:p>
            <w:pPr>
              <w:pStyle w:val="Normal"/>
              <w:rPr/>
            </w:pPr>
            <w:r>
              <w:rPr/>
              <w:t>1-5 juin 2026</w:t>
            </w:r>
          </w:p>
        </w:tc>
        <w:tc>
          <w:tcPr>
            <w:tcW w:w="5015" w:type="dxa"/>
            <w:tcBorders>
              <w:top w:val="single" w:sz="2" w:space="0" w:color="CCCCCC"/>
              <w:left w:val="single" w:sz="2" w:space="0" w:color="CCCCCC"/>
              <w:bottom w:val="single" w:sz="2" w:space="0" w:color="CCCCCC"/>
              <w:right w:val="single" w:sz="2" w:space="0" w:color="CCCCCC"/>
            </w:tcBorders>
          </w:tcPr>
          <w:p>
            <w:pPr>
              <w:pStyle w:val="Normal"/>
              <w:rPr/>
            </w:pPr>
            <w:r>
              <w:rPr/>
              <w:t>Négociations commerciales avec les 2 finalistes</w:t>
            </w:r>
          </w:p>
        </w:tc>
      </w:tr>
      <w:tr>
        <w:trPr/>
        <w:tc>
          <w:tcPr>
            <w:tcW w:w="120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12</w:t>
            </w:r>
          </w:p>
        </w:tc>
        <w:tc>
          <w:tcPr>
            <w:tcW w:w="28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12 juin 2026</w:t>
            </w:r>
          </w:p>
        </w:tc>
        <w:tc>
          <w:tcPr>
            <w:tcW w:w="501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Décision finale et notification au lauréat</w:t>
            </w:r>
          </w:p>
        </w:tc>
      </w:tr>
      <w:tr>
        <w:trPr/>
        <w:tc>
          <w:tcPr>
            <w:tcW w:w="1203" w:type="dxa"/>
            <w:tcBorders>
              <w:top w:val="single" w:sz="2" w:space="0" w:color="CCCCCC"/>
              <w:left w:val="single" w:sz="2" w:space="0" w:color="CCCCCC"/>
              <w:bottom w:val="single" w:sz="2" w:space="0" w:color="CCCCCC"/>
              <w:right w:val="single" w:sz="2" w:space="0" w:color="CCCCCC"/>
            </w:tcBorders>
          </w:tcPr>
          <w:p>
            <w:pPr>
              <w:pStyle w:val="Normal"/>
              <w:rPr/>
            </w:pPr>
            <w:r>
              <w:rPr/>
              <w:t>13</w:t>
            </w:r>
          </w:p>
        </w:tc>
        <w:tc>
          <w:tcPr>
            <w:tcW w:w="2808" w:type="dxa"/>
            <w:tcBorders>
              <w:top w:val="single" w:sz="2" w:space="0" w:color="CCCCCC"/>
              <w:left w:val="single" w:sz="2" w:space="0" w:color="CCCCCC"/>
              <w:bottom w:val="single" w:sz="2" w:space="0" w:color="CCCCCC"/>
              <w:right w:val="single" w:sz="2" w:space="0" w:color="CCCCCC"/>
            </w:tcBorders>
          </w:tcPr>
          <w:p>
            <w:pPr>
              <w:pStyle w:val="Normal"/>
              <w:rPr/>
            </w:pPr>
            <w:r>
              <w:rPr/>
              <w:t>Juin-Juillet 2026</w:t>
            </w:r>
          </w:p>
        </w:tc>
        <w:tc>
          <w:tcPr>
            <w:tcW w:w="5015" w:type="dxa"/>
            <w:tcBorders>
              <w:top w:val="single" w:sz="2" w:space="0" w:color="CCCCCC"/>
              <w:left w:val="single" w:sz="2" w:space="0" w:color="CCCCCC"/>
              <w:bottom w:val="single" w:sz="2" w:space="0" w:color="CCCCCC"/>
              <w:right w:val="single" w:sz="2" w:space="0" w:color="CCCCCC"/>
            </w:tcBorders>
          </w:tcPr>
          <w:p>
            <w:pPr>
              <w:pStyle w:val="Normal"/>
              <w:rPr/>
            </w:pPr>
            <w:r>
              <w:rPr/>
              <w:t>Finalisation et signature du contrat</w:t>
            </w:r>
          </w:p>
        </w:tc>
      </w:tr>
      <w:tr>
        <w:trPr/>
        <w:tc>
          <w:tcPr>
            <w:tcW w:w="1203"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b/>
                <w:bCs/>
              </w:rPr>
              <w:t>14</w:t>
            </w:r>
          </w:p>
        </w:tc>
        <w:tc>
          <w:tcPr>
            <w:tcW w:w="2808"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b/>
                <w:bCs/>
              </w:rPr>
              <w:t>Septembre 2026</w:t>
            </w:r>
          </w:p>
        </w:tc>
        <w:tc>
          <w:tcPr>
            <w:tcW w:w="5015"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b/>
                <w:bCs/>
              </w:rPr>
              <w:t>Lancement du projet (kick-off)</w:t>
            </w:r>
          </w:p>
        </w:tc>
      </w:tr>
    </w:tbl>
    <w:p>
      <w:pPr>
        <w:pStyle w:val="Normal"/>
        <w:spacing w:before="200" w:after="120"/>
        <w:rPr/>
      </w:pPr>
      <w:r>
        <w:rPr/>
        <w:t>La phase de démonstration (PoC - Proof of Concept) est une étape clé de la sélection, permettant aux candidats présélectionnés de démontrer concrètement les capacités de leur solution sur des scénarios métiers représentatifs du Groupe. Cette phase sera précédée de la signature d'un accord de confidentialité renforcé (NDA) par les candidats, compte tenu des informations détaillées qui seront partagées. Les candidats disposeront de quatre semaines pour préparer leur démonstration, avec possibilité de poser des questions de clarification sur les scénarios transmis.</w:t>
      </w:r>
    </w:p>
    <w:p>
      <w:pPr>
        <w:pStyle w:val="Normal"/>
        <w:spacing w:before="120" w:after="120"/>
        <w:rPr/>
      </w:pPr>
      <w:r>
        <w:rPr/>
        <w:t>Les soutenances finales permettront aux candidats de présenter leur compréhension du projet, leur approche de mise en œuvre, leur équipe dédiée et leurs engagements. Elles seront suivies d'une session de questions-réponses avec le comité de sélection. Les négociations commerciales finales seront menées avec les deux candidats les mieux classés à l'issue des soutenances, afin de finaliser les conditions contractuelles et tarifaires avant la décision finale.</w:t>
      </w:r>
    </w:p>
    <w:p>
      <w:pPr>
        <w:pStyle w:val="Heading3"/>
        <w:rPr/>
      </w:pPr>
      <w:r>
        <w:rPr/>
        <w:t>4.1.2 Procédure de questions/réponses et de clarification</w:t>
      </w:r>
    </w:p>
    <w:p>
      <w:pPr>
        <w:pStyle w:val="Normal"/>
        <w:spacing w:before="120" w:after="120"/>
        <w:rPr/>
      </w:pPr>
      <w:r>
        <w:rPr/>
        <w:t>Les candidats sont invités à poser toutes les questions nécessaires à la bonne compréhension du cahier des charges et à l'élaboration de leur réponse. Les questions permettent de clarifier les zones d'ombre, de préciser certaines exigences et d'assurer une compréhension uniforme des attentes du Groupe par tous les candidats. Le Groupe s'engage à répondre de manière complète et équitable à toutes les questions pertinentes reçues dans les délais impartis.</w:t>
      </w:r>
    </w:p>
    <w:p>
      <w:pPr>
        <w:pStyle w:val="Normal"/>
        <w:spacing w:before="120" w:after="120"/>
        <w:rPr/>
      </w:pPr>
      <w:r>
        <w:rPr/>
        <w:t>Les questions devront être transmises exclusivement par voie électronique, à l'adresse ao-erp@retail-horizon.com, avant la date limite indiquée dans le calendrier (31 janvier 2026). Les questions reçues après cette date ne seront pas traitées, sauf circonstance exceptionnelle appréciée par le Groupe. Chaque question devra être formulée de manière claire et précise, en référençant la section du cahier des charges concernée. Les questions multiples seront regroupées dans un seul envoi, numérotées pour faciliter le traitement.</w:t>
      </w:r>
    </w:p>
    <w:p>
      <w:pPr>
        <w:pStyle w:val="Normal"/>
        <w:spacing w:before="120" w:after="120"/>
        <w:rPr/>
      </w:pPr>
      <w:r>
        <w:rPr/>
        <w:t>Dans un souci d'équité entre les candidats, les réponses aux questions seront consolidées dans un document unique qui sera diffusé simultanément à tous les candidats ayant manifesté leur intérêt pour la consultation. Ce document de questions-réponses constituera un complément officiel au cahier des charges et aura la même valeur contractuelle. Les questions et réponses seront anonymisées pour préserver la confidentialité des interrogations de chaque candidat.</w:t>
      </w:r>
    </w:p>
    <w:p>
      <w:pPr>
        <w:pStyle w:val="Normal"/>
        <w:spacing w:before="120" w:after="120"/>
        <w:rPr/>
      </w:pPr>
      <w:r>
        <w:rPr/>
        <w:t>Si une question porte sur des informations confidentielles propres à un candidat (référence à sa solution spécifique, conditions commerciales envisagées), le Groupe se réserve le droit de répondre de manière individuelle sans diffusion aux autres candidats. Dans tous les cas, le Groupe veillera à ce qu'aucun candidat ne dispose d'un avantage informationnel sur les autres. Les candidats sont tenus de ne pas communiquer entre eux sur le contenu de la consultation et de leurs réponses respectives.</w:t>
      </w:r>
    </w:p>
    <w:p>
      <w:pPr>
        <w:pStyle w:val="Normal"/>
        <w:spacing w:before="120" w:after="120"/>
        <w:rPr/>
      </w:pPr>
      <w:r>
        <w:rPr/>
        <w:t>Au-delà des échanges écrits, le Groupe pourra organiser une réunion d'information collective (webinaire) destinée à présenter le contexte du projet, les principaux enjeux et les attentes du Groupe. Cette réunion, si elle est organisée, sera annoncée à tous les candidats avec un préavis suffisant. La participation à cette réunion est facultative et n'est pas un prérequis pour la soumission d'une offre. Un compte-rendu de la réunion sera diffusé à tous les candidats, y compris ceux n'ayant pas participé.</w:t>
      </w:r>
    </w:p>
    <w:p>
      <w:pPr>
        <w:pStyle w:val="Heading3"/>
        <w:rPr/>
      </w:pPr>
      <w:r>
        <w:rPr/>
        <w:t>4.1.3 Conditions des démonstrations (PoC - Proof of Concept) et des soutenances</w:t>
      </w:r>
    </w:p>
    <w:p>
      <w:pPr>
        <w:pStyle w:val="Normal"/>
        <w:spacing w:before="120" w:after="120"/>
        <w:rPr/>
      </w:pPr>
      <w:r>
        <w:rPr/>
        <w:t>La phase de démonstration constitue une étape déterminante de la sélection, permettant d'évaluer concrètement l'adéquation de chaque solution aux besoins du Groupe au-delà des déclarations écrites. Seuls les candidats présélectionnés à l'issue de l'analyse des offres écrites (short-list de 3 à 4 candidats) seront invités à participer à cette phase. L'invitation à démontrer ne préjuge pas de la sélection finale et n'engage le Groupe à aucune forme de compensation pour les candidats non retenus.</w:t>
      </w:r>
    </w:p>
    <w:p>
      <w:pPr>
        <w:pStyle w:val="Normal"/>
        <w:spacing w:before="120" w:after="120"/>
        <w:rPr/>
      </w:pPr>
      <w:r>
        <w:rPr/>
        <w:t>Les démonstrations se dérouleront dans les locaux du Groupe Retail Horizon à Paris, sur une durée de deux jours consécutifs par candidat. L'ordre de passage sera déterminé par tirage au sort. Les sessions seront organisées de 9h00 à 18h00 avec une pause déjeuner d'une heure. Le Groupe mettra à disposition une salle équipée (vidéoprojecteur, connexion Internet, tableau blanc). Les candidats pourront utiliser leur propre matériel de démonstration (ordinateurs, équipements spécifiques) sous réserve d'autonomie technique.</w:t>
      </w:r>
    </w:p>
    <w:p>
      <w:pPr>
        <w:pStyle w:val="Normal"/>
        <w:spacing w:before="120" w:after="120"/>
        <w:rPr/>
      </w:pPr>
      <w:r>
        <w:rPr/>
        <w:t>Les scénarios de démonstration seront communiqués aux candidats présélectionnés au moins quatre semaines avant les sessions. Ces scénarios couvriront les processus métiers les plus critiques et les plus différenciants pour le Groupe : parcours de vente omnicanal complet (commande web avec retrait magasin, retour en magasin d'un achat web), cycle d'approvisionnement international (commande fournisseur, réception avec contrôle, gestion des droits de douane), processus de clôture financière multi-pays, gestion des promotions complexes avec cumul de remises.</w:t>
      </w:r>
    </w:p>
    <w:p>
      <w:pPr>
        <w:pStyle w:val="Normal"/>
        <w:spacing w:before="120" w:after="120"/>
        <w:rPr/>
      </w:pPr>
      <w:r>
        <w:rPr/>
        <w:t>Les candidats prépareront leur démonstration sur leur propre environnement, paramétré avec un jeu de données représentatif du contexte Retail Horizon (catalogue produits simplifié, structure organisationnelle, conditions tarifaires). Le Groupe pourra fournir un fichier de données de référence à charger dans l'environnement de démonstration. La démonstration devra être réalisée sur une version commercialement disponible de la solution, et non sur une version prototype ou en développement. Les fonctionnalités présentées comme disponibles devront pouvoir être livrées dans le cadre du projet.</w:t>
      </w:r>
    </w:p>
    <w:p>
      <w:pPr>
        <w:pStyle w:val="Normal"/>
        <w:spacing w:before="120" w:after="120"/>
        <w:rPr/>
      </w:pPr>
      <w:r>
        <w:rPr/>
        <w:t>L'équipe de démonstration du candidat sera composée au maximum de cinq personnes : un responsable de la démonstration (chef de projet ou directeur commercial), un ou deux consultants fonctionnels réalisant les manipulations, un architecte technique pour les questions d'architecture et d'intégration, et éventuellement un expert métier retail. L'équipe du Groupe sera composée de représentants des directions métiers concernées (commerce, supply chain, finance, IT) et des consultants Deloitte Digital assistant le Groupe dans la sélection.</w:t>
      </w:r>
    </w:p>
    <w:p>
      <w:pPr>
        <w:pStyle w:val="Normal"/>
        <w:spacing w:before="200" w:after="100"/>
        <w:rPr/>
      </w:pPr>
      <w:r>
        <w:rPr>
          <w:b/>
          <w:bCs/>
          <w:sz w:val="24"/>
          <w:szCs w:val="24"/>
        </w:rPr>
        <w:t>Grille d'évaluation des démonstrations :</w:t>
      </w:r>
    </w:p>
    <w:tbl>
      <w:tblPr>
        <w:tblW w:w="5000" w:type="pct"/>
        <w:jc w:val="left"/>
        <w:tblInd w:w="0" w:type="dxa"/>
        <w:tblLayout w:type="fixed"/>
        <w:tblCellMar>
          <w:top w:w="80" w:type="dxa"/>
          <w:left w:w="120" w:type="dxa"/>
          <w:bottom w:w="80" w:type="dxa"/>
          <w:right w:w="120" w:type="dxa"/>
        </w:tblCellMar>
      </w:tblPr>
      <w:tblGrid>
        <w:gridCol w:w="4512"/>
        <w:gridCol w:w="2006"/>
        <w:gridCol w:w="2508"/>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Critère d'évaluation</w:t>
            </w:r>
          </w:p>
        </w:tc>
        <w:tc>
          <w:tcPr>
            <w:tcW w:w="200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Pondération</w:t>
            </w:r>
          </w:p>
        </w:tc>
        <w:tc>
          <w:tcPr>
            <w:tcW w:w="25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Éléments observés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Couverture fonctionnelle native</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30%</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Scénarios réalisés sans développement</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Ergonomie et expérience utilisateur</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25%</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Fluidité, intuitivité, modernité</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Capacités de paramétrage et flexibilité</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20%</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Adaptabilité sans code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Performance et réactivité</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15%</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Temps de réponse observés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Qualité de la présentation et maîtrise</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10%</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Clarté, réponses aux questions</w:t>
            </w:r>
          </w:p>
        </w:tc>
      </w:tr>
    </w:tbl>
    <w:p>
      <w:pPr>
        <w:pStyle w:val="Normal"/>
        <w:spacing w:before="200" w:after="120"/>
        <w:rPr/>
      </w:pPr>
      <w:r>
        <w:rPr/>
        <w:t>Les soutenances finales se tiendront la semaine suivant les démonstrations. D'une durée de trois heures par candidat, elles permettront de présenter la vision du partenariat, l'approche projet proposée, l'équipe dédiée avec les CV des intervenants clés, les références clients comparables et les engagements de résultats. Une partie de la soutenance sera consacrée aux questions du comité de sélection sur tous les aspects de l'offre (fonctionnel, technique, projet, commercial). La soutenance se conclura par une présentation des conditions commerciales finales.</w:t>
      </w:r>
    </w:p>
    <w:p>
      <w:pPr>
        <w:pStyle w:val="Normal"/>
        <w:rPr/>
      </w:pPr>
      <w:r>
        <w:rPr/>
      </w:r>
      <w:r>
        <w:br w:type="page"/>
      </w:r>
    </w:p>
    <w:p>
      <w:pPr>
        <w:pStyle w:val="Heading2"/>
        <w:spacing w:before="0" w:after="150"/>
        <w:rPr/>
      </w:pPr>
      <w:r>
        <w:rPr/>
        <w:t>4.2 Instructions pour la préparation et la soumission des propositions</w:t>
      </w:r>
    </w:p>
    <w:p>
      <w:pPr>
        <w:pStyle w:val="Normal"/>
        <w:spacing w:before="120" w:after="120"/>
        <w:rPr/>
      </w:pPr>
      <w:r>
        <w:rPr/>
        <w:t>Cette section détaille les instructions que les candidats devront respecter scrupuleusement pour la préparation et la soumission de leur proposition. Le respect de ces instructions conditionne la recevabilité des offres. Les candidats sont invités à lire attentivement ces consignes et à s'y conformer strictement. Le Groupe se réserve le droit d'écarter toute offre ne respectant pas les exigences de forme définies ci-après.</w:t>
      </w:r>
    </w:p>
    <w:p>
      <w:pPr>
        <w:pStyle w:val="Heading3"/>
        <w:rPr/>
      </w:pPr>
      <w:r>
        <w:rPr/>
        <w:t>4.2.1 Structure impérative du mémoire de réponse (technique et commercial)</w:t>
      </w:r>
    </w:p>
    <w:p>
      <w:pPr>
        <w:pStyle w:val="Normal"/>
        <w:spacing w:before="120" w:after="120"/>
        <w:rPr/>
      </w:pPr>
      <w:r>
        <w:rPr/>
        <w:t>La proposition des candidats sera structurée en deux volets distincts : un mémoire technique présentant la solution et l'approche projet, et une proposition commerciale détaillant les conditions financières. Cette séparation permet une évaluation indépendante de la qualité technique et du positionnement tarifaire, conformément aux bonnes pratiques des procédures d'achat. Chaque volet fera l'objet d'un document séparé, clairement identifié.</w:t>
      </w:r>
    </w:p>
    <w:p>
      <w:pPr>
        <w:pStyle w:val="Normal"/>
        <w:spacing w:before="120" w:after="120"/>
        <w:rPr/>
      </w:pPr>
      <w:r>
        <w:rPr>
          <w:b/>
          <w:bCs/>
        </w:rPr>
        <w:t>Le mémoire technique devra impérativement respecter la structure suivante :</w:t>
      </w:r>
    </w:p>
    <w:p>
      <w:pPr>
        <w:pStyle w:val="Normal"/>
        <w:spacing w:before="120" w:after="120"/>
        <w:rPr/>
      </w:pPr>
      <w:r>
        <w:rPr/>
        <w:t>Section 1 - Présentation du candidat (20 pages maximum) : présentation de la société (historique, actionnariat, chiffres clés financiers des trois dernières années), positionnement sur le marché ERP retail, organisation et implantation géographique, politique d'innovation et de R&amp;D, certifications et partenariats, références clients significatives dans le secteur du retail (minimum 5 références détaillées avec contacts autorisés). En cas de groupement, présentation de chaque membre et justification de la complémentarité.</w:t>
      </w:r>
    </w:p>
    <w:p>
      <w:pPr>
        <w:pStyle w:val="Normal"/>
        <w:spacing w:before="120" w:after="120"/>
        <w:rPr/>
      </w:pPr>
      <w:r>
        <w:rPr/>
        <w:t>Section 2 - Présentation de la solution (40 pages maximum) : description générale de la solution et de son positionnement, architecture fonctionnelle et couverture des domaines métiers, architecture technique et modèle de déploiement, roadmap produit et évolutions prévues sur 3 ans, politique de versioning et de support des versions, capacités d'intégration et catalogue d'API, capacités de paramétrage et d'extension, technologies sous-jacentes et stack technique.</w:t>
      </w:r>
    </w:p>
    <w:p>
      <w:pPr>
        <w:pStyle w:val="Normal"/>
        <w:spacing w:before="120" w:after="120"/>
        <w:rPr/>
      </w:pPr>
      <w:r>
        <w:rPr/>
        <w:t>Section 3 - Réponse aux exigences fonctionnelles (volume selon annexe) : réponse détaillée à chaque exigence du cahier des charges selon le format de l'Annexe A (fichier Excel à compléter). Pour chaque exigence, le candidat indiquera le niveau de couverture (standard, paramétrage, développement spécifique, non couvert) et fournira un commentaire explicatif. Les écarts par rapport aux exigences seront clairement identifiés avec les solutions alternatives proposées.</w:t>
      </w:r>
    </w:p>
    <w:p>
      <w:pPr>
        <w:pStyle w:val="Normal"/>
        <w:spacing w:before="120" w:after="120"/>
        <w:rPr/>
      </w:pPr>
      <w:r>
        <w:rPr/>
        <w:t>Section 4 - Réponse aux exigences non-fonctionnelles et techniques (30 pages maximum) : engagements de performance et de disponibilité, architecture de déploiement proposée pour Retail Horizon, stratégie d'intégration avec l'écosystème existant (détail des connecteurs et des interfaces), approche de migration des données, dispositif de sécurité et conformité, réponse à la matrice de conformité sécurité et RGPD (Annexe C).</w:t>
      </w:r>
    </w:p>
    <w:p>
      <w:pPr>
        <w:pStyle w:val="Normal"/>
        <w:spacing w:before="120" w:after="120"/>
        <w:rPr/>
      </w:pPr>
      <w:r>
        <w:rPr/>
        <w:t>Section 5 - Approche projet et méthodologie (30 pages maximum) : méthodologie de mise en œuvre proposée, macro-planning du projet avec identification des phases et des jalons, organisation projet proposée (gouvernance, instances, rôles et responsabilités), gestion des risques et dispositif de pilotage qualité, approche de conduite du changement et de formation, stratégie de déploiement (big bang vs progressif, pilote), dispositif de support post-démarrage et de maintenance.</w:t>
      </w:r>
    </w:p>
    <w:p>
      <w:pPr>
        <w:pStyle w:val="Normal"/>
        <w:spacing w:before="120" w:after="120"/>
        <w:rPr/>
      </w:pPr>
      <w:r>
        <w:rPr/>
        <w:t>Section 6 - Équipe projet proposée (20 pages maximum) : organigramme de l'équipe proposée avec les rôles de chacun, CV détaillés des intervenants clés (directeur de projet, architecte, consultants seniors), expérience de l'équipe sur des projets comparables, engagement de stabilité de l'équipe et modalités de remplacement, localisation de l'équipe et modalités d'intervention (sur site, à distance).</w:t>
      </w:r>
    </w:p>
    <w:p>
      <w:pPr>
        <w:pStyle w:val="Normal"/>
        <w:spacing w:before="120" w:after="120"/>
        <w:rPr/>
      </w:pPr>
      <w:r>
        <w:rPr>
          <w:b/>
          <w:bCs/>
        </w:rPr>
        <w:t>La proposition commerciale devra impérativement respecter la structure suivante :</w:t>
      </w:r>
    </w:p>
    <w:p>
      <w:pPr>
        <w:pStyle w:val="Normal"/>
        <w:spacing w:before="120" w:after="120"/>
        <w:rPr/>
      </w:pPr>
      <w:r>
        <w:rPr/>
        <w:t>Section A - Synthèse financière : montant total de l'offre avec ventilation par grande nature de coûts (licences/abonnements, intégration, formation, maintenance), récapitulatif du TCO sur 5 ans, conditions de validité de l'offre.</w:t>
      </w:r>
    </w:p>
    <w:p>
      <w:pPr>
        <w:pStyle w:val="Normal"/>
        <w:spacing w:before="120" w:after="120"/>
        <w:rPr/>
      </w:pPr>
      <w:r>
        <w:rPr/>
        <w:t>Section B - Détail des coûts de licences ou d'abonnements : modèle de tarification (par utilisateur, par transaction, forfait), détail par module ou composant, conditions de croissance (tarification des utilisateurs additionnels, paliers), remises accordées et conditions d'application.</w:t>
      </w:r>
    </w:p>
    <w:p>
      <w:pPr>
        <w:pStyle w:val="Normal"/>
        <w:spacing w:before="120" w:after="120"/>
        <w:rPr/>
      </w:pPr>
      <w:r>
        <w:rPr/>
        <w:t>Section C - Détail des coûts de mise en œuvre : décomposition par phase projet et par lot, taux journaliers par profil d'intervenant, nombre de jours estimé par profil et par phase, hypothèses et exclusions, conditions de révision des estimations.</w:t>
      </w:r>
    </w:p>
    <w:p>
      <w:pPr>
        <w:pStyle w:val="Normal"/>
        <w:spacing w:before="120" w:after="120"/>
        <w:rPr/>
      </w:pPr>
      <w:r>
        <w:rPr/>
        <w:t>Section D - Détail des coûts récurrents : maintenance corrective et évolutive, support utilisateurs (niveaux, horaires, canaux), hébergement et infrastructure (si applicable), évolutions réglementaires, conditions de révision annuelle.</w:t>
      </w:r>
    </w:p>
    <w:p>
      <w:pPr>
        <w:pStyle w:val="Normal"/>
        <w:spacing w:before="120" w:after="120"/>
        <w:rPr/>
      </w:pPr>
      <w:r>
        <w:rPr/>
        <w:t>Section E - Conditions contractuelles : acceptation ou réserves sur les clauses du projet de contrat (Annexe au cahier des charges), engagements de niveaux de service (SLA) proposés, garanties et pénalités acceptées, conditions de réversibilité.</w:t>
      </w:r>
    </w:p>
    <w:p>
      <w:pPr>
        <w:pStyle w:val="Heading3"/>
        <w:rPr/>
      </w:pPr>
      <w:r>
        <w:rPr/>
        <w:t>4.2.2 Date et heure limites de remise des offres</w:t>
      </w:r>
    </w:p>
    <w:p>
      <w:pPr>
        <w:pStyle w:val="Normal"/>
        <w:spacing w:before="120" w:after="120"/>
        <w:rPr/>
      </w:pPr>
      <w:r>
        <w:rPr>
          <w:b/>
          <w:bCs/>
        </w:rPr>
        <w:t>La date limite de remise des offres est fixée au dimanche 15 mars 2026 à 18h00, heure de Paris.</w:t>
      </w:r>
    </w:p>
    <w:p>
      <w:pPr>
        <w:pStyle w:val="Normal"/>
        <w:spacing w:before="120" w:after="120"/>
        <w:rPr/>
      </w:pPr>
      <w:r>
        <w:rPr/>
        <w:t>Cette date limite est impérative et ne pourra faire l'objet d'aucun report individuel. Seules les offres réceptionnées avant cette échéance seront prises en considération. L'horodatage de la plateforme de dépôt fera foi en cas de contestation. Les candidats sont invités à ne pas attendre les dernières heures pour soumettre leur offre, afin de se prémunir contre tout incident technique. Le Groupe décline toute responsabilité en cas d'impossibilité de dépôt liée à une surcharge de la plateforme ou à un problème technique chez le candidat.</w:t>
      </w:r>
    </w:p>
    <w:p>
      <w:pPr>
        <w:pStyle w:val="Normal"/>
        <w:spacing w:before="120" w:after="120"/>
        <w:rPr/>
      </w:pPr>
      <w:r>
        <w:rPr/>
        <w:t>Toute offre reçue après la date et l'heure limites sera automatiquement rejetée sans être ouverte ni analysée, quelle que soit la cause du retard (problème technique, erreur de transmission, cas de force majeure). Le candidat concerné sera informé du rejet de son offre pour cause de tardiveté. Le Groupe se réserve toutefois la possibilité, à sa seule discrétion et de manière exceptionnelle, de proroger le délai de remise des offres pour l'ensemble des candidats si les circonstances le justifient.</w:t>
      </w:r>
    </w:p>
    <w:p>
      <w:pPr>
        <w:pStyle w:val="Heading3"/>
        <w:rPr/>
      </w:pPr>
      <w:r>
        <w:rPr/>
        <w:t>4.2.3 Format de soumission (plateforme, documents attendus)</w:t>
      </w:r>
    </w:p>
    <w:p>
      <w:pPr>
        <w:pStyle w:val="Normal"/>
        <w:spacing w:before="120" w:after="120"/>
        <w:rPr/>
      </w:pPr>
      <w:r>
        <w:rPr/>
        <w:t>Les offres devront être déposées exclusivement via la plateforme de sourcing du Groupe, accessible à l'adresse https://sourcing.retail-horizon.com. Les candidats recevront leurs identifiants de connexion lors de la manifestation de leur intérêt pour la consultation. En cas de difficulté d'accès à la plateforme, les candidats contacteront le support technique à l'adresse support-sourcing@retail-horizon.com. Aucune offre transmise par un autre canal (email, courrier postal, remise en main propre) ne sera acceptée.</w:t>
      </w:r>
    </w:p>
    <w:p>
      <w:pPr>
        <w:pStyle w:val="Normal"/>
        <w:spacing w:before="120" w:after="120"/>
        <w:rPr/>
      </w:pPr>
      <w:r>
        <w:rPr/>
        <w:t>Les documents devront être fournis dans les formats suivants : documents texte au format PDF (mémoire technique, proposition commerciale), fichiers de réponse aux annexes au format Excel (Annexe A : exigences fonctionnelles, Annexe D : proposition financière), présentations éventuelles au format PowerPoint, schémas d'architecture au format PDF ou image haute résolution. Les fichiers devront être nommés selon la convention suivante : [NomCandidat]_[TypeDocument]_[Version].extension (exemple : AcmeERP_MemoireTechnique_V1.pdf).</w:t>
      </w:r>
    </w:p>
    <w:p>
      <w:pPr>
        <w:pStyle w:val="Normal"/>
        <w:spacing w:before="120" w:after="120"/>
        <w:rPr/>
      </w:pPr>
      <w:r>
        <w:rPr/>
        <w:t>La taille maximale de chaque fichier est limitée à 50 Mo. La taille totale de l'ensemble des fichiers ne devra pas excéder 200 Mo. Les fichiers compressés (ZIP) sont acceptés pour regrouper les documents d'une même catégorie. Les fichiers ne devront pas être protégés par mot de passe ni contenir de macro active. Les liens vers des ressources externes (sites web, espaces de partage) ne seront pas pris en compte ; tous les éléments de la réponse devront être contenus dans les fichiers déposés.</w:t>
      </w:r>
    </w:p>
    <w:p>
      <w:pPr>
        <w:pStyle w:val="Normal"/>
        <w:spacing w:before="200" w:after="100"/>
        <w:rPr/>
      </w:pPr>
      <w:r>
        <w:rPr>
          <w:b/>
          <w:bCs/>
          <w:sz w:val="24"/>
          <w:szCs w:val="24"/>
        </w:rPr>
        <w:t>Documents attendus pour une offre complète :</w:t>
      </w:r>
    </w:p>
    <w:tbl>
      <w:tblPr>
        <w:tblW w:w="5000" w:type="pct"/>
        <w:jc w:val="left"/>
        <w:tblInd w:w="0" w:type="dxa"/>
        <w:tblLayout w:type="fixed"/>
        <w:tblCellMar>
          <w:top w:w="80" w:type="dxa"/>
          <w:left w:w="120" w:type="dxa"/>
          <w:bottom w:w="80" w:type="dxa"/>
          <w:right w:w="120" w:type="dxa"/>
        </w:tblCellMar>
      </w:tblPr>
      <w:tblGrid>
        <w:gridCol w:w="4512"/>
        <w:gridCol w:w="2006"/>
        <w:gridCol w:w="2508"/>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Document</w:t>
            </w:r>
          </w:p>
        </w:tc>
        <w:tc>
          <w:tcPr>
            <w:tcW w:w="200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Format</w:t>
            </w:r>
          </w:p>
        </w:tc>
        <w:tc>
          <w:tcPr>
            <w:tcW w:w="25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Caractère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Mémoire technique (sections 1 à 6)</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PDF</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b/>
                <w:bCs/>
              </w:rPr>
              <w:t>Obligatoire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Proposition commerciale (sections A à E)</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PDF</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Obligatoire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Annexe A - Réponse aux exigences fonctionnelles</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Excel (.xlsx)</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b/>
                <w:bCs/>
              </w:rPr>
              <w:t>Obligatoire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Annexe C - Matrice de conformité sécurité/RGPD</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Excel (.xlsx)</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Obligatoire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Annexe D - Détail de la proposition financière</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Excel (.xlsx)</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b/>
                <w:bCs/>
              </w:rPr>
              <w:t>Obligatoire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CV des intervenants clés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PDF</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Obligatoire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Schémas d'architecture technique</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PDF / PNG</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b/>
                <w:bCs/>
              </w:rPr>
              <w:t>Obligatoire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Rapports financiers (3 derniers exercices)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PDF</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Obligatoire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Certifications et attestations</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PDF</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Recommandé</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Documentation technique complémentaire</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PDF</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Facultatif</w:t>
            </w:r>
          </w:p>
        </w:tc>
      </w:tr>
    </w:tbl>
    <w:p>
      <w:pPr>
        <w:pStyle w:val="Normal"/>
        <w:rPr/>
      </w:pPr>
      <w:r>
        <w:rPr/>
      </w:r>
      <w:r>
        <w:br w:type="page"/>
      </w:r>
    </w:p>
    <w:p>
      <w:pPr>
        <w:pStyle w:val="Heading2"/>
        <w:spacing w:before="0" w:after="150"/>
        <w:rPr/>
      </w:pPr>
      <w:r>
        <w:rPr/>
        <w:t>4.3 Processus d'évaluation et critères de sélection</w:t>
      </w:r>
    </w:p>
    <w:p>
      <w:pPr>
        <w:pStyle w:val="Normal"/>
        <w:spacing w:before="120" w:after="120"/>
        <w:rPr/>
      </w:pPr>
      <w:r>
        <w:rPr/>
        <w:t>Le processus d'évaluation des offres est conçu pour garantir une sélection objective, équitable et alignée sur les intérêts stratégiques du Groupe Retail Horizon. L'évaluation portera sur l'ensemble des dimensions de l'offre : qualité fonctionnelle et technique de la solution, solidité et pérennité du candidat, pertinence de l'approche projet et compétence de l'équipe, ainsi que conditions financières. La méthodologie d'évaluation est détaillée dans cette section pour permettre aux candidats de comprendre les attentes et d'orienter leur réponse en conséquence.</w:t>
      </w:r>
    </w:p>
    <w:p>
      <w:pPr>
        <w:pStyle w:val="Heading3"/>
        <w:rPr/>
      </w:pPr>
      <w:r>
        <w:rPr/>
        <w:t>4.3.1 Critères d'éligibilité et de conformité des offres</w:t>
      </w:r>
    </w:p>
    <w:p>
      <w:pPr>
        <w:pStyle w:val="Normal"/>
        <w:spacing w:before="120" w:after="120"/>
        <w:rPr/>
      </w:pPr>
      <w:r>
        <w:rPr/>
        <w:t>Avant toute analyse du contenu des offres, le Groupe vérifiera la recevabilité de chaque candidature au regard des critères d'éligibilité définis ci-après. Les candidatures ne satisfaisant pas à ces critères seront écartées sans analyse de leur contenu. Les critères d'éligibilité sont des conditions minimales incontournables que tout candidat doit remplir pour être considéré. Ils ne font pas l'objet d'une notation mais d'une vérification binaire (conforme / non conforme).</w:t>
      </w:r>
    </w:p>
    <w:p>
      <w:pPr>
        <w:pStyle w:val="Normal"/>
        <w:spacing w:before="120" w:after="120"/>
        <w:rPr/>
      </w:pPr>
      <w:r>
        <w:rPr>
          <w:b/>
          <w:bCs/>
        </w:rPr>
        <w:t>Critères d'éligibilité relatifs au candidat :</w:t>
      </w:r>
    </w:p>
    <w:p>
      <w:pPr>
        <w:pStyle w:val="Normal"/>
        <w:spacing w:before="80" w:after="80"/>
        <w:rPr/>
      </w:pPr>
      <w:r>
        <w:rPr/>
        <w:t>Le candidat (éditeur ou mandataire du groupement) doit justifier d'une existence légale d'au moins cinq ans et d'une situation financière saine, attestée par les comptes des trois derniers exercices ne révélant pas de pertes récurrentes susceptibles de compromettre la pérennité de l'entreprise. Le candidat doit disposer d'un chiffre d'affaires annuel supérieur à 50 millions d'euros sur le périmètre de l'activité ERP. Le candidat ne doit pas être en situation de redressement judiciaire, de liquidation ou faire l'objet de sanctions économiques internationales.</w:t>
      </w:r>
    </w:p>
    <w:p>
      <w:pPr>
        <w:pStyle w:val="Normal"/>
        <w:spacing w:before="120" w:after="120"/>
        <w:rPr/>
      </w:pPr>
      <w:r>
        <w:rPr>
          <w:b/>
          <w:bCs/>
        </w:rPr>
        <w:t>Critères d'éligibilité relatifs à la solution :</w:t>
      </w:r>
    </w:p>
    <w:p>
      <w:pPr>
        <w:pStyle w:val="Normal"/>
        <w:spacing w:before="80" w:after="80"/>
        <w:rPr/>
      </w:pPr>
      <w:r>
        <w:rPr/>
        <w:t>La solution proposée doit être une solution ERP intégrée du marché (progiciel), commercialement disponible et déployée en production chez au moins 50 clients. Les solutions développées spécifiquement pour ce projet ou les assemblages de composants hétérogènes ne sont pas acceptés. La solution doit couvrir nativement les domaines fonctionnels suivants : gestion commerciale, achats, stocks, comptabilité et finance. La solution doit être disponible en mode SaaS ou Cloud et disposer des certifications de sécurité ISO 27001 et SOC 2.</w:t>
      </w:r>
    </w:p>
    <w:p>
      <w:pPr>
        <w:pStyle w:val="Normal"/>
        <w:spacing w:before="120" w:after="120"/>
        <w:rPr/>
      </w:pPr>
      <w:r>
        <w:rPr>
          <w:b/>
          <w:bCs/>
        </w:rPr>
        <w:t>Critères d'éligibilité relatifs à l'expérience :</w:t>
      </w:r>
    </w:p>
    <w:p>
      <w:pPr>
        <w:pStyle w:val="Normal"/>
        <w:spacing w:before="80" w:after="80"/>
        <w:rPr/>
      </w:pPr>
      <w:r>
        <w:rPr/>
        <w:t>Le candidat doit démontrer une expérience significative dans le secteur du retail, attestée par au moins trois références de projets ERP réalisés avec succès dans ce secteur au cours des cinq dernières années. Au moins une référence doit concerner un groupe international opérant dans plusieurs pays européens. Le candidat doit disposer d'une équipe d'au moins 20 consultants expérimentés sur la solution proposée, dont au moins 5 spécialisés dans le secteur retail.</w:t>
      </w:r>
    </w:p>
    <w:p>
      <w:pPr>
        <w:pStyle w:val="Normal"/>
        <w:spacing w:before="120" w:after="120"/>
        <w:rPr/>
      </w:pPr>
      <w:r>
        <w:rPr>
          <w:b/>
          <w:bCs/>
        </w:rPr>
        <w:t>Critères de conformité de l'offre :</w:t>
      </w:r>
    </w:p>
    <w:p>
      <w:pPr>
        <w:pStyle w:val="Normal"/>
        <w:spacing w:before="80" w:after="80"/>
        <w:rPr/>
      </w:pPr>
      <w:r>
        <w:rPr/>
        <w:t>L'offre doit être complète et comprendre l'ensemble des documents obligatoires listés dans la section 4.2.3. L'offre doit respecter les formats et la structure imposés. L'offre doit être rédigée en français ou en anglais. L'offre doit avoir été déposée dans les délais impartis. L'offre doit comporter un engagement de validité d'au moins 6 mois à compter de la date de dépôt. Toute offre incomplète, hors délai ou non conforme aux exigences de forme pourra être écartée.</w:t>
      </w:r>
    </w:p>
    <w:p>
      <w:pPr>
        <w:pStyle w:val="Heading3"/>
        <w:rPr/>
      </w:pPr>
      <w:r>
        <w:rPr/>
        <w:t>4.3.2 Grille d'évaluation détaillée et pondération (Qualité/Prix/Partenariat)</w:t>
      </w:r>
    </w:p>
    <w:p>
      <w:pPr>
        <w:pStyle w:val="Normal"/>
        <w:spacing w:before="120" w:after="120"/>
        <w:rPr/>
      </w:pPr>
      <w:r>
        <w:rPr/>
        <w:t>L'évaluation des offres recevables s'appuiera sur une grille multicritères permettant d'apprécier chaque proposition selon trois dimensions principales : la qualité de la solution et de l'approche (60% de la note globale), les conditions financières (25% de la note globale), et la qualité du partenariat proposé (15% de la note globale). Cette pondération reflète la priorité accordée par le Groupe à la qualité et à l'adéquation de la solution, tout en intégrant une dimension économique significative et une attention particulière à la relation partenariale.</w:t>
      </w:r>
    </w:p>
    <w:p>
      <w:pPr>
        <w:pStyle w:val="Normal"/>
        <w:spacing w:before="200" w:after="100"/>
        <w:rPr/>
      </w:pPr>
      <w:r>
        <w:rPr>
          <w:b/>
          <w:bCs/>
          <w:sz w:val="24"/>
          <w:szCs w:val="24"/>
        </w:rPr>
        <w:t>Grille d'évaluation globale :</w:t>
      </w:r>
    </w:p>
    <w:tbl>
      <w:tblPr>
        <w:tblW w:w="5000" w:type="pct"/>
        <w:jc w:val="left"/>
        <w:tblInd w:w="0" w:type="dxa"/>
        <w:tblLayout w:type="fixed"/>
        <w:tblCellMar>
          <w:top w:w="80" w:type="dxa"/>
          <w:left w:w="120" w:type="dxa"/>
          <w:bottom w:w="80" w:type="dxa"/>
          <w:right w:w="120" w:type="dxa"/>
        </w:tblCellMar>
      </w:tblPr>
      <w:tblGrid>
        <w:gridCol w:w="4512"/>
        <w:gridCol w:w="1505"/>
        <w:gridCol w:w="3009"/>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Critère d'évaluation</w:t>
            </w:r>
          </w:p>
        </w:tc>
        <w:tc>
          <w:tcPr>
            <w:tcW w:w="15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Poids</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Sous-critères</w:t>
            </w:r>
          </w:p>
        </w:tc>
      </w:tr>
      <w:tr>
        <w:trPr/>
        <w:tc>
          <w:tcPr>
            <w:tcW w:w="4512"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1. QUALITÉ DE LA SOLUTION</w:t>
            </w:r>
          </w:p>
        </w:tc>
        <w:tc>
          <w:tcPr>
            <w:tcW w:w="1505"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40%</w:t>
            </w:r>
          </w:p>
        </w:tc>
        <w:tc>
          <w:tcPr>
            <w:tcW w:w="3009"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1.1 Couverture fonctionnelle</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20%</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Réponse aux exigences, niveau de standard</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1.2 Architecture technique</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10%</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Modernité, ouverture, scalabilité</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1.3 Ergonomie et UX</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Interface, personnalisation</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1.4 Capacités d'intégration</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API, connecteurs, interopérabilité</w:t>
            </w:r>
          </w:p>
        </w:tc>
      </w:tr>
      <w:tr>
        <w:trPr/>
        <w:tc>
          <w:tcPr>
            <w:tcW w:w="4512"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2. QUALITÉ DE L'APPROCHE PROJET</w:t>
            </w:r>
          </w:p>
        </w:tc>
        <w:tc>
          <w:tcPr>
            <w:tcW w:w="1505"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20%</w:t>
            </w:r>
          </w:p>
        </w:tc>
        <w:tc>
          <w:tcPr>
            <w:tcW w:w="3009"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2.1 Méthodologie et planning</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8%</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Réalisme, maîtrise des risques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2.2 Équipe et compétences</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7%</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Expérience, disponibilité, stabilité</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2.3 Conduite du changement</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Formation, accompagnement</w:t>
            </w:r>
          </w:p>
        </w:tc>
      </w:tr>
      <w:tr>
        <w:trPr/>
        <w:tc>
          <w:tcPr>
            <w:tcW w:w="4512"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3. CONDITIONS FINANCIÈRES</w:t>
            </w:r>
          </w:p>
        </w:tc>
        <w:tc>
          <w:tcPr>
            <w:tcW w:w="1505"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25%</w:t>
            </w:r>
          </w:p>
        </w:tc>
        <w:tc>
          <w:tcPr>
            <w:tcW w:w="3009"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3.1 Coût total de possession (TCO 5 ans)</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15%</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Compétitivité globale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3.2 Modèle économique</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Transparence, prévisibilité</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3.3 Conditions contractuelles</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SLA, garanties, pénalités</w:t>
            </w:r>
          </w:p>
        </w:tc>
      </w:tr>
      <w:tr>
        <w:trPr/>
        <w:tc>
          <w:tcPr>
            <w:tcW w:w="4512"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4. QUALITÉ DU PARTENARIAT</w:t>
            </w:r>
          </w:p>
        </w:tc>
        <w:tc>
          <w:tcPr>
            <w:tcW w:w="1505"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15%</w:t>
            </w:r>
          </w:p>
        </w:tc>
        <w:tc>
          <w:tcPr>
            <w:tcW w:w="3009" w:type="dxa"/>
            <w:tcBorders>
              <w:top w:val="single" w:sz="2" w:space="0" w:color="CCCCCC"/>
              <w:left w:val="single" w:sz="2" w:space="0" w:color="CCCCCC"/>
              <w:bottom w:val="single" w:sz="2" w:space="0" w:color="CCCCCC"/>
              <w:right w:val="single" w:sz="2" w:space="0" w:color="CCCCCC"/>
            </w:tcBorders>
            <w:shd w:fill="D6DCE4" w:val="clear"/>
          </w:tcPr>
          <w:p>
            <w:pPr>
              <w:pStyle w:val="Normal"/>
              <w:rPr/>
            </w:pPr>
            <w:r>
              <w:rPr/>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4.1 Solidité et pérennité du candidat</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Santé financière, vision stratégique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4.2 Références et expérience retail</w:t>
            </w:r>
          </w:p>
        </w:tc>
        <w:tc>
          <w:tcPr>
            <w:tcW w:w="15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Clients comparables, succès démontrés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4.3 Engagement et qualité relationnelle</w:t>
            </w:r>
          </w:p>
        </w:tc>
        <w:tc>
          <w:tcPr>
            <w:tcW w:w="1505" w:type="dxa"/>
            <w:tcBorders>
              <w:top w:val="single" w:sz="2" w:space="0" w:color="CCCCCC"/>
              <w:left w:val="single" w:sz="2" w:space="0" w:color="CCCCCC"/>
              <w:bottom w:val="single" w:sz="2" w:space="0" w:color="CCCCCC"/>
              <w:right w:val="single" w:sz="2" w:space="0" w:color="CCCCCC"/>
            </w:tcBorders>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Réactivité, écoute, transparence</w:t>
            </w:r>
          </w:p>
        </w:tc>
      </w:tr>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TOTAL</w:t>
            </w:r>
          </w:p>
        </w:tc>
        <w:tc>
          <w:tcPr>
            <w:tcW w:w="15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100%</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
          </w:p>
        </w:tc>
      </w:tr>
    </w:tbl>
    <w:p>
      <w:pPr>
        <w:pStyle w:val="Normal"/>
        <w:spacing w:before="200" w:after="120"/>
        <w:rPr/>
      </w:pPr>
      <w:r>
        <w:rPr/>
        <w:t>Chaque critère sera noté sur une échelle de 0 à 5, selon le barème suivant : 0 = non traité ou totalement inadapté, 1 = très insuffisant / répond marginalement aux attentes, 2 = insuffisant / répond partiellement aux attentes, 3 = acceptable / répond aux attentes de base, 4 = bon / répond bien aux attentes avec des points forts, 5 = excellent / dépasse les attentes avec des éléments différenciants. La note globale de chaque offre sera calculée par somme pondérée des notes obtenues sur chaque critère.</w:t>
      </w:r>
    </w:p>
    <w:p>
      <w:pPr>
        <w:pStyle w:val="Heading3"/>
        <w:rPr/>
      </w:pPr>
      <w:r>
        <w:rPr/>
        <w:t>4.3.3 Composition du comité de sélection</w:t>
      </w:r>
    </w:p>
    <w:p>
      <w:pPr>
        <w:pStyle w:val="Normal"/>
        <w:spacing w:before="120" w:after="120"/>
        <w:rPr/>
      </w:pPr>
      <w:r>
        <w:rPr/>
        <w:t>Le comité de sélection est l'instance décisionnelle responsable de l'évaluation des offres et de la recommandation du lauréat. Sa composition pluridisciplinaire garantit une analyse équilibrée intégrant les perspectives des différentes parties prenantes du projet. Le comité est présidé par le Directeur des Systèmes d'Information du Groupe, sponsor exécutif du projet. Ses décisions sont prises collégialement, après débat et sur la base des analyses documentées.</w:t>
      </w:r>
    </w:p>
    <w:p>
      <w:pPr>
        <w:pStyle w:val="Normal"/>
        <w:spacing w:before="120" w:after="120"/>
        <w:rPr/>
      </w:pPr>
      <w:r>
        <w:rPr>
          <w:b/>
          <w:bCs/>
        </w:rPr>
        <w:t>Composition du comité de sélection :</w:t>
      </w:r>
    </w:p>
    <w:p>
      <w:pPr>
        <w:pStyle w:val="Normal"/>
        <w:spacing w:before="80" w:after="80"/>
        <w:rPr/>
      </w:pPr>
      <w:r>
        <w:rPr/>
        <w:t>Le comité comprend des représentants de la Direction des Systèmes d'Information (DSI) : le Directeur des Systèmes d'Information (président du comité), le Directeur de Programme ERP (rapporteur), l'Architecte d'Entreprise et le Responsable Sécurité SI (RSSI). Il comprend également des représentants des directions métiers : le Directeur Supply Chain ou son représentant, le Directeur Commercial ou son représentant, le Directeur Administratif et Financier ou son représentant, et le Directeur des Ressources Humaines ou son représentant pour les aspects conduite du changement.</w:t>
      </w:r>
    </w:p>
    <w:p>
      <w:pPr>
        <w:pStyle w:val="Normal"/>
        <w:spacing w:before="120" w:after="120"/>
        <w:rPr/>
      </w:pPr>
      <w:r>
        <w:rPr/>
        <w:t>Le comité de sélection est assisté dans ses travaux par les consultants du cabinet Deloitte Digital, mandaté par le Groupe pour l'accompagnement de cette consultation. Les consultants apportent leur expertise méthodologique, leur connaissance du marché des ERP et leur expérience de projets similaires. Ils participent à l'analyse des offres et à la préparation des supports de décision, mais ne disposent pas de voix délibérative. Leur rôle est consultatif et vise à éclairer les décisions du comité.</w:t>
      </w:r>
    </w:p>
    <w:p>
      <w:pPr>
        <w:pStyle w:val="Normal"/>
        <w:spacing w:before="120" w:after="120"/>
        <w:rPr/>
      </w:pPr>
      <w:r>
        <w:rPr/>
        <w:t>Le comité de sélection se réunira à plusieurs reprises au cours de la procédure : une réunion de cadrage au lancement de la consultation pour valider la grille d'évaluation et les règles de fonctionnement, une réunion d'analyse des offres écrites pour établir la short-list des candidats invités aux démonstrations, une réunion de débriefing après chaque session de démonstration pour partager les observations, une réunion de délibération finale pour arrêter le classement des candidats et formuler la recommandation au Comité de Direction. Les comptes-rendus des réunions seront archivés pour assurer la traçabilité des décisions.</w:t>
      </w:r>
    </w:p>
    <w:p>
      <w:pPr>
        <w:pStyle w:val="Normal"/>
        <w:spacing w:before="120" w:after="120"/>
        <w:rPr/>
      </w:pPr>
      <w:r>
        <w:rPr/>
        <w:t>Les membres du comité de sélection s'engagent à respecter les principes d'éthique et de déontologie applicables aux procédures d'achat : confidentialité des informations relatives aux offres et aux délibérations, impartialité dans l'analyse et l'évaluation, déclaration et gestion de tout conflit d'intérêts potentiel, non-sollicitation de cadeaux ou avantages de la part des candidats. Tout manquement à ces principes pourrait entraîner l'exclusion du membre concerné et, dans les cas les plus graves, l'annulation de la procédure.</w:t>
      </w:r>
    </w:p>
    <w:p>
      <w:pPr>
        <w:pStyle w:val="Normal"/>
        <w:spacing w:before="120" w:after="120"/>
        <w:rPr/>
      </w:pPr>
      <w:r>
        <w:rPr/>
        <w:t>La décision finale de sélection sera prise par le Comité de Direction du Groupe Retail Horizon, sur proposition du comité de sélection. Le Comité de Direction validera le choix du lauréat et autorisera l'engagement des négociations contractuelles. Cette validation au plus haut niveau de l'organisation témoigne de l'importance stratégique du projet et garantit l'alignement de la décision avec les orientations du Groupe. Les candidats non retenus seront informés par écrit de la décision et pourront, sur demande, obtenir un débriefing sur les raisons de la non-sélection de leur offre.</w:t>
      </w:r>
      <w:r>
        <w:br w:type="page"/>
      </w:r>
    </w:p>
    <w:p>
      <w:pPr>
        <w:pStyle w:val="Heading1"/>
        <w:rPr/>
      </w:pPr>
      <w:r>
        <w:rPr/>
        <w:t>5. Aspects Contractuels et Livrables Attendus</w:t>
      </w:r>
    </w:p>
    <w:p>
      <w:pPr>
        <w:pStyle w:val="Normal"/>
        <w:spacing w:before="120" w:after="120"/>
        <w:rPr/>
      </w:pPr>
      <w:r>
        <w:rPr/>
        <w:t>Cette section définit le cadre contractuel qui régira la relation entre le Groupe Retail Horizon et le prestataire retenu, ainsi que les livrables attendus tout au long du projet et en phase d'exploitation. Les candidats sont invités à prendre connaissance attentivement de ces éléments, qui constituent des engagements fondamentaux du futur partenariat. Toute réserve ou contre-proposition sur ces aspects devra être clairement exprimée dans la réponse à l'appel d'offres.</w:t>
      </w:r>
    </w:p>
    <w:p>
      <w:pPr>
        <w:pStyle w:val="Normal"/>
        <w:spacing w:before="120" w:after="120"/>
        <w:rPr/>
      </w:pPr>
      <w:r>
        <w:rPr/>
        <w:t>Le cadre contractuel proposé vise à établir une relation équilibrée entre les parties, protégeant les intérêts légitimes de chacun tout en favorisant un partenariat constructif orienté vers la réussite du projet. Le Groupe Retail Horizon privilégie une approche collaborative avec ses prestataires stratégiques, fondée sur la transparence, la confiance mutuelle et l'engagement commun vers des objectifs partagés. Cette philosophie n'exclut pas la mise en place de mécanismes de protection et de garanties contractuelles appropriés.</w:t>
      </w:r>
    </w:p>
    <w:p>
      <w:pPr>
        <w:pStyle w:val="Heading2"/>
        <w:rPr/>
      </w:pPr>
      <w:r>
        <w:rPr/>
        <w:t>5.1 Cadre contractuel proposé</w:t>
      </w:r>
    </w:p>
    <w:p>
      <w:pPr>
        <w:pStyle w:val="Normal"/>
        <w:spacing w:before="120" w:after="120"/>
        <w:rPr/>
      </w:pPr>
      <w:r>
        <w:rPr/>
        <w:t>Le dispositif contractuel envisagé pour ce projet comprendra plusieurs accords complémentaires, couvrant les différentes dimensions de la relation : fourniture de la solution logicielle, services de mise en œuvre, maintenance et support, hébergement le cas échéant. Cette structuration permet de clarifier les responsabilités respectives et de traiter de manière appropriée les spécificités de chaque type de prestation. L'ensemble formera un corpus contractuel cohérent, avec des clauses transverses garantissant l'unicité de la relation.</w:t>
      </w:r>
    </w:p>
    <w:p>
      <w:pPr>
        <w:pStyle w:val="Heading3"/>
        <w:rPr/>
      </w:pPr>
      <w:r>
        <w:rPr/>
        <w:t>5.1.1 Structure contractuelle envisagée (contrat-cadre, bons de commande)</w:t>
      </w:r>
    </w:p>
    <w:p>
      <w:pPr>
        <w:pStyle w:val="Normal"/>
        <w:spacing w:before="120" w:after="120"/>
        <w:rPr/>
      </w:pPr>
      <w:r>
        <w:rPr/>
        <w:t>La structure contractuelle proposée s'articule autour d'un contrat-cadre définissant les conditions générales de la relation, complété par des contrats d'application ou bons de commande pour chaque prestation spécifique. Cette architecture offre la flexibilité nécessaire pour adapter les engagements aux différentes phases du projet tout en maintenant un cadre stable et sécurisé pour les deux parties. Le contrat-cadre aura une durée initiale de cinq ans, renouvelable par périodes successives de deux ans.</w:t>
      </w:r>
    </w:p>
    <w:p>
      <w:pPr>
        <w:pStyle w:val="Normal"/>
        <w:spacing w:before="200" w:after="100"/>
        <w:rPr/>
      </w:pPr>
      <w:r>
        <w:rPr>
          <w:b/>
          <w:bCs/>
          <w:sz w:val="24"/>
          <w:szCs w:val="24"/>
        </w:rPr>
        <w:t>Architecture contractuelle proposée :</w:t>
      </w:r>
    </w:p>
    <w:tbl>
      <w:tblPr>
        <w:tblW w:w="5000" w:type="pct"/>
        <w:jc w:val="left"/>
        <w:tblInd w:w="0" w:type="dxa"/>
        <w:tblLayout w:type="fixed"/>
        <w:tblCellMar>
          <w:top w:w="80" w:type="dxa"/>
          <w:left w:w="120" w:type="dxa"/>
          <w:bottom w:w="80" w:type="dxa"/>
          <w:right w:w="120" w:type="dxa"/>
        </w:tblCellMar>
      </w:tblPr>
      <w:tblGrid>
        <w:gridCol w:w="2507"/>
        <w:gridCol w:w="3510"/>
        <w:gridCol w:w="3009"/>
      </w:tblGrid>
      <w:tr>
        <w:trPr/>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Document contractuel</w:t>
            </w:r>
          </w:p>
        </w:tc>
        <w:tc>
          <w:tcPr>
            <w:tcW w:w="351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Objet</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Durée / Renouvellement</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b/>
                <w:bCs/>
              </w:rPr>
              <w:t>Contrat-cadre</w:t>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Conditions générales, gouvernance, clauses transverses (confidentialité, PI, responsabilité)</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5 ans initial, renouvelable par période de 2 ans</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Contrat de licence / SaaS</w:t>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Droit d'usage de la solution, périmètre fonctionnel, métriques, conditions tarifaires</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Aligné sur le contrat-cadre</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b/>
                <w:bCs/>
              </w:rPr>
              <w:t>Contrat de services (intégration)</w:t>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Prestations de mise en œuvre, paramétrage, développements spécifiques, migration, formation</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Durée du projet (estimée 24-30 mois)</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Contrat de maintenance</w:t>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Support utilisateurs, maintenance corrective et évolutive, SLA</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Annuel, tacite reconduction</w:t>
            </w:r>
          </w:p>
        </w:tc>
      </w:tr>
      <w:tr>
        <w:trPr/>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b/>
                <w:bCs/>
              </w:rPr>
              <w:t>Contrat d'hébergement</w:t>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Infrastructure, disponibilité, PRA/PCA, sécurité (si applicable selon modèle)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Aligné sur le contrat-cadre</w:t>
            </w:r>
          </w:p>
        </w:tc>
      </w:tr>
      <w:tr>
        <w:trPr/>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Bons de commande</w:t>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Prestations complémentaires ponctuelles (évolutions, projets connexes, expertises)</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Au cas par cas</w:t>
            </w:r>
          </w:p>
        </w:tc>
      </w:tr>
    </w:tbl>
    <w:p>
      <w:pPr>
        <w:pStyle w:val="Normal"/>
        <w:spacing w:before="200" w:after="120"/>
        <w:rPr/>
      </w:pPr>
      <w:r>
        <w:rPr/>
        <w:t>Le contrat-cadre constituera le document fondateur de la relation, établissant les principes directeurs applicables à l'ensemble des prestations. Il définira notamment : l'objet global du partenariat et son périmètre, les obligations générales des parties, les règles de gouvernance et les instances de pilotage, les clauses de confidentialité et de protection des données, le régime de propriété intellectuelle, les conditions de responsabilité et d'assurance, les modalités de règlement des litiges et le droit applicable.</w:t>
      </w:r>
    </w:p>
    <w:p>
      <w:pPr>
        <w:pStyle w:val="Normal"/>
        <w:spacing w:before="120" w:after="120"/>
        <w:rPr/>
      </w:pPr>
      <w:r>
        <w:rPr/>
        <w:t>Le contrat de licence ou d'abonnement SaaS définira les conditions d'utilisation de la solution logicielle. Dans le cas d'un modèle SaaS, il précisera les modalités d'accès au service, les niveaux de service garantis (disponibilité, performance, support), les conditions tarifaires et leur évolution, ainsi que les droits et obligations spécifiques à ce mode de fourniture. Ce contrat intégrera les conditions générales de l'éditeur, sous réserve des adaptations négociées pour tenir compte des exigences du Groupe.</w:t>
      </w:r>
    </w:p>
    <w:p>
      <w:pPr>
        <w:pStyle w:val="Normal"/>
        <w:spacing w:before="120" w:after="120"/>
        <w:rPr/>
      </w:pPr>
      <w:r>
        <w:rPr/>
        <w:t>Le contrat de services d'intégration encadrera les prestations de mise en œuvre du projet. Il définira le périmètre précis des travaux, le planning et les jalons contractuels, les livrables attendus et leurs critères d'acceptation, les ressources mobilisées et les engagements de moyens ou de résultats, les conditions de rémunération et le calendrier de paiement. Ce contrat sera structuré en phases avec des points de validation permettant de sécuriser l'avancement du projet et de conditionner les paiements à l'atteinte des objectifs définis.</w:t>
      </w:r>
    </w:p>
    <w:p>
      <w:pPr>
        <w:pStyle w:val="Normal"/>
        <w:spacing w:before="120" w:after="120"/>
        <w:rPr/>
      </w:pPr>
      <w:r>
        <w:rPr/>
        <w:t>Le contrat de maintenance définira les conditions du support et de l'évolution de la solution après la mise en production. Il précisera les différents niveaux de support (N1, N2, N3), les horaires de couverture, les canaux de contact, les délais de prise en charge et de résolution selon la criticité des incidents, ainsi que les conditions de la maintenance évolutive (mises à jour, nouvelles versions). Les pénalités applicables en cas de non-respect des engagements de service seront définies dans ce contrat.</w:t>
      </w:r>
    </w:p>
    <w:p>
      <w:pPr>
        <w:pStyle w:val="Heading3"/>
        <w:rPr/>
      </w:pPr>
      <w:r>
        <w:rPr/>
        <w:t>5.1.2 Clauses essentielles (confidentialité, propriété intellectuelle, réversibilité)</w:t>
      </w:r>
    </w:p>
    <w:p>
      <w:pPr>
        <w:pStyle w:val="Normal"/>
        <w:spacing w:before="120" w:after="120"/>
        <w:rPr/>
      </w:pPr>
      <w:r>
        <w:rPr/>
        <w:t>Certaines clauses revêtent une importance particulière pour le Groupe Retail Horizon et feront l'objet d'une attention soutenue lors de la négociation contractuelle. Ces clauses essentielles visent à protéger les intérêts stratégiques du Groupe, à sécuriser ses actifs immatériels et à garantir sa capacité à maîtriser son système d'information dans la durée. Les candidats sont invités à prendre connaissance de ces exigences et à indiquer dans leur réponse leur position sur chacune d'entre elles.</w:t>
      </w:r>
    </w:p>
    <w:p>
      <w:pPr>
        <w:pStyle w:val="Normal"/>
        <w:spacing w:before="120" w:after="120"/>
        <w:rPr/>
      </w:pPr>
      <w:r>
        <w:rPr>
          <w:b/>
          <w:bCs/>
        </w:rPr>
        <w:t>Clause de confidentialité :</w:t>
      </w:r>
    </w:p>
    <w:p>
      <w:pPr>
        <w:pStyle w:val="Normal"/>
        <w:spacing w:before="80" w:after="80"/>
        <w:rPr/>
      </w:pPr>
      <w:r>
        <w:rPr/>
        <w:t>Le prestataire s'engagera à maintenir la plus stricte confidentialité sur l'ensemble des informations relatives au Groupe auxquelles il aura accès dans le cadre du projet : données métiers, processus opérationnels, stratégie commerciale, informations financières, architecture du système d'information. Cette obligation de confidentialité s'appliquera pendant toute la durée du contrat et se prolongera pendant une période de cinq ans après son terme. Elle sera opposable au prestataire, à ses sous-traitants et à l'ensemble de son personnel intervenant sur le projet. Des mesures de sécurité spécifiques pourront être exigées pour les données les plus sensibles.</w:t>
      </w:r>
    </w:p>
    <w:p>
      <w:pPr>
        <w:pStyle w:val="Normal"/>
        <w:spacing w:before="120" w:after="120"/>
        <w:rPr/>
      </w:pPr>
      <w:r>
        <w:rPr>
          <w:b/>
          <w:bCs/>
        </w:rPr>
        <w:t>Clause de propriété intellectuelle :</w:t>
      </w:r>
    </w:p>
    <w:p>
      <w:pPr>
        <w:pStyle w:val="Normal"/>
        <w:spacing w:before="80" w:after="80"/>
        <w:rPr/>
      </w:pPr>
      <w:r>
        <w:rPr/>
        <w:t>Le régime de propriété intellectuelle devra être clairement défini pour éviter toute ambiguïté. L'éditeur conservera la propriété de sa solution standard et de ses évolutions génériques. En revanche, les développements spécifiques réalisés pour les besoins propres du Groupe, financés par celui-ci, lui seront cédés en pleine propriété ou feront l'objet d'une licence perpétuelle, irrévocable et cessible. Les paramétrages, configurations et données appartiennent au Groupe. Les outils, méthodes et savoir-faire génériques de l'intégrateur restent sa propriété, mais les livrables documentaires produits pour le projet sont la propriété du Groupe.</w:t>
      </w:r>
    </w:p>
    <w:p>
      <w:pPr>
        <w:pStyle w:val="Normal"/>
        <w:spacing w:before="120" w:after="120"/>
        <w:rPr/>
      </w:pPr>
      <w:r>
        <w:rPr>
          <w:b/>
          <w:bCs/>
        </w:rPr>
        <w:t>Clause de réversibilité :</w:t>
      </w:r>
    </w:p>
    <w:p>
      <w:pPr>
        <w:pStyle w:val="Normal"/>
        <w:spacing w:before="80" w:after="80"/>
        <w:rPr/>
      </w:pPr>
      <w:r>
        <w:rPr/>
        <w:t>La réversibilité est une exigence fondamentale garantissant la capacité du Groupe à reprendre le contrôle de ses données et à changer de solution si nécessaire. Le prestataire s'engagera à fournir, à première demande et à tout moment, l'ensemble des données du Groupe dans un format standard, ouvert et exploitable (CSV, XML, JSON ou format équivalent). Un plan de réversibilité sera établi dès le démarrage du contrat, précisant les opérations à réaliser, les formats de données, les délais et les coûts associés. En fin de contrat, quelle qu'en soit la cause, le prestataire assistera le Groupe dans la migration vers une nouvelle solution pendant une période de transition d'au moins six mois.</w:t>
      </w:r>
    </w:p>
    <w:p>
      <w:pPr>
        <w:pStyle w:val="Normal"/>
        <w:spacing w:before="120" w:after="120"/>
        <w:rPr/>
      </w:pPr>
      <w:r>
        <w:rPr>
          <w:b/>
          <w:bCs/>
        </w:rPr>
        <w:t>Clause d'audit :</w:t>
      </w:r>
    </w:p>
    <w:p>
      <w:pPr>
        <w:pStyle w:val="Normal"/>
        <w:spacing w:before="80" w:after="80"/>
        <w:rPr/>
      </w:pPr>
      <w:r>
        <w:rPr/>
        <w:t>Le Groupe se réservera le droit de faire réaliser des audits du prestataire et de la solution, par ses équipes internes ou par un tiers mandaté. Ces audits pourront porter sur le respect des engagements contractuels, la sécurité des systèmes et des données, la conformité aux réglementations applicables, et la facturation des prestations. Le prestataire s'engagera à faciliter ces audits en donnant accès aux informations et aux locaux nécessaires, dans le respect de ses propres contraintes de confidentialité vis-à-vis de ses autres clients. Un audit annuel sera prévu contractuellement, des audits complémentaires pouvant être déclenchés en cas de besoin justifié.</w:t>
      </w:r>
    </w:p>
    <w:p>
      <w:pPr>
        <w:pStyle w:val="Normal"/>
        <w:spacing w:before="120" w:after="120"/>
        <w:rPr/>
      </w:pPr>
      <w:r>
        <w:rPr>
          <w:b/>
          <w:bCs/>
        </w:rPr>
        <w:t>Clause de sous-traitance :</w:t>
      </w:r>
    </w:p>
    <w:p>
      <w:pPr>
        <w:pStyle w:val="Normal"/>
        <w:spacing w:before="80" w:after="80"/>
        <w:rPr/>
      </w:pPr>
      <w:r>
        <w:rPr/>
        <w:t>Le recours à la sous-traitance sera encadré par des règles strictes. Le prestataire principal restera seul responsable vis-à-vis du Groupe de l'exécution de l'ensemble des prestations, y compris celles confiées à des sous-traitants. Tout recours à un sous-traitant pour des prestations significatives devra faire l'objet d'une information préalable et d'une approbation du Groupe. Les sous-traitants devront présenter des garanties équivalentes à celles du prestataire principal en termes de compétences, de sécurité et de confidentialité. La liste des sous-traitants autorisés sera annexée au contrat et mise à jour régulièrement.</w:t>
      </w:r>
    </w:p>
    <w:p>
      <w:pPr>
        <w:pStyle w:val="Normal"/>
        <w:spacing w:before="120" w:after="120"/>
        <w:rPr/>
      </w:pPr>
      <w:r>
        <w:rPr>
          <w:b/>
          <w:bCs/>
        </w:rPr>
        <w:t>Clause de continuité de service :</w:t>
      </w:r>
    </w:p>
    <w:p>
      <w:pPr>
        <w:pStyle w:val="Normal"/>
        <w:spacing w:before="80" w:after="80"/>
        <w:rPr/>
      </w:pPr>
      <w:r>
        <w:rPr/>
        <w:t>Le prestataire garantira la continuité du service en toutes circonstances. En cas de défaillance du prestataire (redressement ou liquidation judiciaire, cessation d'activité sur la solution), des mécanismes de protection seront prévus : accès aux codes sources via un séquestre (escrow), engagement de reprise par un tiers agréé, maintien des services essentiels pendant une période de transition. Le prestataire devra justifier d'une assurance responsabilité civile professionnelle avec des plafonds de garantie adaptés aux enjeux du projet (minimum 10 millions d'euros par sinistre).</w:t>
      </w:r>
    </w:p>
    <w:p>
      <w:pPr>
        <w:pStyle w:val="Heading3"/>
        <w:rPr/>
      </w:pPr>
      <w:r>
        <w:rPr/>
        <w:t>5.1.3 Engagements de niveaux de service (SLA) et pénalités</w:t>
      </w:r>
    </w:p>
    <w:p>
      <w:pPr>
        <w:pStyle w:val="Normal"/>
        <w:spacing w:before="120" w:after="120"/>
        <w:rPr/>
      </w:pPr>
      <w:r>
        <w:rPr/>
        <w:t>Les engagements de niveaux de service (Service Level Agreements - SLA) constituent le socle de la relation opérationnelle entre le Groupe et le prestataire en phase d'exploitation. Ces engagements quantifiés et mesurables définissent les objectifs de qualité attendus et les conséquences en cas de non-atteinte. Ils couvrent les dimensions clés de la qualité de service : disponibilité, performance, support. Les candidats proposeront leurs engagements sur chacun de ces indicateurs, en cohérence avec les exigences exprimées dans le cahier des charges.</w:t>
      </w:r>
    </w:p>
    <w:p>
      <w:pPr>
        <w:pStyle w:val="Normal"/>
        <w:spacing w:before="200" w:after="100"/>
        <w:rPr/>
      </w:pPr>
      <w:r>
        <w:rPr>
          <w:b/>
          <w:bCs/>
          <w:sz w:val="24"/>
          <w:szCs w:val="24"/>
        </w:rPr>
        <w:t>Engagements de niveaux de service (SLA) attendus :</w:t>
      </w:r>
    </w:p>
    <w:tbl>
      <w:tblPr>
        <w:tblW w:w="5000" w:type="pct"/>
        <w:jc w:val="left"/>
        <w:tblInd w:w="0" w:type="dxa"/>
        <w:tblLayout w:type="fixed"/>
        <w:tblCellMar>
          <w:top w:w="80" w:type="dxa"/>
          <w:left w:w="120" w:type="dxa"/>
          <w:bottom w:w="80" w:type="dxa"/>
          <w:right w:w="120" w:type="dxa"/>
        </w:tblCellMar>
      </w:tblPr>
      <w:tblGrid>
        <w:gridCol w:w="3008"/>
        <w:gridCol w:w="2006"/>
        <w:gridCol w:w="2006"/>
        <w:gridCol w:w="2005"/>
      </w:tblGrid>
      <w:tr>
        <w:trPr/>
        <w:tc>
          <w:tcPr>
            <w:tcW w:w="30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Indicateur</w:t>
            </w:r>
          </w:p>
        </w:tc>
        <w:tc>
          <w:tcPr>
            <w:tcW w:w="200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Objectif</w:t>
            </w:r>
          </w:p>
        </w:tc>
        <w:tc>
          <w:tcPr>
            <w:tcW w:w="200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Mesure</w:t>
            </w:r>
          </w:p>
        </w:tc>
        <w:tc>
          <w:tcPr>
            <w:tcW w:w="20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Pénalité</w:t>
            </w:r>
          </w:p>
        </w:tc>
      </w:tr>
      <w:tr>
        <w:trPr/>
        <w:tc>
          <w:tcPr>
            <w:tcW w:w="9025" w:type="dxa"/>
            <w:gridSpan w:val="4"/>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DISPONIBILITÉ</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Disponibilité heures ouvrées (6h-23h)</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99,9%</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Mensuelle</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5% redevance / 0,1% manquant</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Disponibilité périodes critiques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99,95%</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Par période</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10% redevance / 0,1% manquant</w:t>
            </w:r>
          </w:p>
        </w:tc>
      </w:tr>
      <w:tr>
        <w:trPr/>
        <w:tc>
          <w:tcPr>
            <w:tcW w:w="9025" w:type="dxa"/>
            <w:gridSpan w:val="4"/>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PERFORMANCE</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Temps de réponse transactions courantes</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&lt; 2s (95%)</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Mensuelle</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2% redevance / 5% manquant</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Temps de réponse transactions complexes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&lt; 5s (95%)</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Mensuelle</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 redevance / 5% manquant</w:t>
            </w:r>
          </w:p>
        </w:tc>
      </w:tr>
      <w:tr>
        <w:trPr/>
        <w:tc>
          <w:tcPr>
            <w:tcW w:w="9025" w:type="dxa"/>
            <w:gridSpan w:val="4"/>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SUPPORT ET INCIDENTS</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Prise en charge incident P1 (bloquant)</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&lt; 15 min</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Par incident</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500€ / 15 min de retard</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Résolution incident P1</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&lt; 4h</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Par incident</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1 000€ / heure de retard</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Prise en charge incident P2 (majeur)</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&lt; 1h</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Par incident</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200€ / heure de retard</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Résolution incident P2</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&lt; 8h</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Par incident</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500€ / 4h de retard</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Prise en charge incident P3 (mineur)</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&lt; 4h</w:t>
            </w:r>
          </w:p>
        </w:tc>
        <w:tc>
          <w:tcPr>
            <w:tcW w:w="2006" w:type="dxa"/>
            <w:tcBorders>
              <w:top w:val="single" w:sz="2" w:space="0" w:color="CCCCCC"/>
              <w:left w:val="single" w:sz="2" w:space="0" w:color="CCCCCC"/>
              <w:bottom w:val="single" w:sz="2" w:space="0" w:color="CCCCCC"/>
              <w:right w:val="single" w:sz="2" w:space="0" w:color="CCCCCC"/>
            </w:tcBorders>
          </w:tcPr>
          <w:p>
            <w:pPr>
              <w:pStyle w:val="Normal"/>
              <w:rPr/>
            </w:pPr>
            <w:r>
              <w:rPr/>
              <w:t>Par incident</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Sans pénalité</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Résolution incident P3</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&lt; 5 jours ouvrés</w:t>
            </w:r>
          </w:p>
        </w:tc>
        <w:tc>
          <w:tcPr>
            <w:tcW w:w="200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Par incident</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Sans pénalité</w:t>
            </w:r>
          </w:p>
        </w:tc>
      </w:tr>
    </w:tbl>
    <w:p>
      <w:pPr>
        <w:pStyle w:val="Normal"/>
        <w:spacing w:before="200" w:after="120"/>
        <w:rPr/>
      </w:pPr>
      <w:r>
        <w:rPr/>
        <w:t>Les pénalités ont pour objectif d'inciter le prestataire au respect de ses engagements et de compenser partiellement le préjudice subi par le Groupe en cas de défaillance. Elles ne constituent pas une limitation de responsabilité : le Groupe se réserve le droit de demander réparation de l'intégralité du préjudice subi si celui-ci excède le montant des pénalités. Le plafond global des pénalités sera fixé à 15% du montant annuel du contrat. Au-delà de ce seuil, le Groupe pourra engager une procédure de résiliation pour faute.</w:t>
      </w:r>
    </w:p>
    <w:p>
      <w:pPr>
        <w:pStyle w:val="Normal"/>
        <w:spacing w:before="120" w:after="120"/>
        <w:rPr/>
      </w:pPr>
      <w:r>
        <w:rPr/>
        <w:t>Les indicateurs de performance seront mesurés par des outils de monitoring indépendants ou par les outils du prestataire sous réserve d'accès aux données brutes par le Groupe. Un reporting mensuel des indicateurs sera produit par le prestataire et analysé lors des comités de pilotage opérationnels. Les écarts seront documentés avec leurs causes racines et les plans d'action correctifs. L'évolution des indicateurs dans le temps permettra d'apprécier l'amélioration continue de la qualité de service.</w:t>
      </w:r>
    </w:p>
    <w:p>
      <w:pPr>
        <w:pStyle w:val="Normal"/>
        <w:rPr/>
      </w:pPr>
      <w:r>
        <w:rPr/>
      </w:r>
      <w:r>
        <w:br w:type="page"/>
      </w:r>
    </w:p>
    <w:p>
      <w:pPr>
        <w:pStyle w:val="Heading2"/>
        <w:spacing w:before="0" w:after="150"/>
        <w:rPr/>
      </w:pPr>
      <w:r>
        <w:rPr/>
        <w:t>5.2 Livrables attendus</w:t>
      </w:r>
    </w:p>
    <w:p>
      <w:pPr>
        <w:pStyle w:val="Normal"/>
        <w:spacing w:before="120" w:after="120"/>
        <w:rPr/>
      </w:pPr>
      <w:r>
        <w:rPr/>
        <w:t>Les livrables constituent les productions tangibles attendues du prestataire tout au long du projet et en phase d'exploitation. Ils matérialisent l'avancement des travaux, permettent le transfert de compétences vers les équipes du Groupe et constituent la base documentaire nécessaire à l'exploitation et à l'évolution ultérieure du système. Cette section définit les principaux livrables attendus, leur contenu et leurs critères de qualité. Le prestataire proposera dans son offre la liste détaillée des livrables qu'il s'engage à produire.</w:t>
      </w:r>
    </w:p>
    <w:p>
      <w:pPr>
        <w:pStyle w:val="Heading3"/>
        <w:rPr/>
      </w:pPr>
      <w:r>
        <w:rPr/>
        <w:t>5.2.1 Livrables projet (études, conception, documentation)</w:t>
      </w:r>
    </w:p>
    <w:p>
      <w:pPr>
        <w:pStyle w:val="Normal"/>
        <w:spacing w:before="120" w:after="120"/>
        <w:rPr/>
      </w:pPr>
      <w:r>
        <w:rPr/>
        <w:t>Les livrables projet sont les documents et productions attendus au cours des différentes phases de mise en œuvre, depuis le cadrage initial jusqu'à la mise en production. Ils suivent une logique de construction progressive, chaque livrable s'appuyant sur les précédents et préparant les suivants. La qualité de ces livrables conditionne la maîtrise du projet et la capacité du Groupe à s'approprier la solution mise en place.</w:t>
      </w:r>
    </w:p>
    <w:p>
      <w:pPr>
        <w:pStyle w:val="Normal"/>
        <w:spacing w:before="200" w:after="100"/>
        <w:rPr/>
      </w:pPr>
      <w:r>
        <w:rPr>
          <w:b/>
          <w:bCs/>
          <w:sz w:val="24"/>
          <w:szCs w:val="24"/>
        </w:rPr>
        <w:t>Livrables attendus par phase projet :</w:t>
      </w:r>
    </w:p>
    <w:tbl>
      <w:tblPr>
        <w:tblW w:w="5000" w:type="pct"/>
        <w:jc w:val="left"/>
        <w:tblInd w:w="0" w:type="dxa"/>
        <w:tblLayout w:type="fixed"/>
        <w:tblCellMar>
          <w:top w:w="80" w:type="dxa"/>
          <w:left w:w="120" w:type="dxa"/>
          <w:bottom w:w="80" w:type="dxa"/>
          <w:right w:w="120" w:type="dxa"/>
        </w:tblCellMar>
      </w:tblPr>
      <w:tblGrid>
        <w:gridCol w:w="1805"/>
        <w:gridCol w:w="3510"/>
        <w:gridCol w:w="3711"/>
      </w:tblGrid>
      <w:tr>
        <w:trPr/>
        <w:tc>
          <w:tcPr>
            <w:tcW w:w="18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Phase</w:t>
            </w:r>
          </w:p>
        </w:tc>
        <w:tc>
          <w:tcPr>
            <w:tcW w:w="351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Livrable</w:t>
            </w:r>
          </w:p>
        </w:tc>
        <w:tc>
          <w:tcPr>
            <w:tcW w:w="371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Contenu principal</w:t>
            </w:r>
          </w:p>
        </w:tc>
      </w:tr>
      <w:tr>
        <w:trPr/>
        <w:tc>
          <w:tcPr>
            <w:tcW w:w="1805" w:type="dxa"/>
            <w:vMerge w:val="restart"/>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Cadrage</w:t>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Plan de management de projet</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Organisation, gouvernance, instances, RACI, gestion des risques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Planning détaillé</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WBS, jalons, chemin critique, ressources, dépendances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Stratégie de déploiement</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Vagues, pilote, critères de go, plan de rollout</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Plan qualité projet</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Normes, revues, critères qualité, gestion des livrables</w:t>
            </w:r>
          </w:p>
        </w:tc>
      </w:tr>
      <w:tr>
        <w:trPr/>
        <w:tc>
          <w:tcPr>
            <w:tcW w:w="1805" w:type="dxa"/>
            <w:vMerge w:val="restart"/>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Conception</w:t>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Dossier de conception générale</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Architecture fonctionnelle, modèle de données, flux, écarts/fit-gap</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Dossiers de conception détaillée</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Spécifications par module, règles de gestion, paramétrages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Dossier d'architecture technique</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Infrastructure, dimensionnement, sécurité, intégrations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Spécifications des interfaces</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Mapping de données, format, protocoles, fréquence, erreurs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Stratégie de migration de données</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Périmètre, mapping, règles de transformation, plan de migration</w:t>
            </w:r>
          </w:p>
        </w:tc>
      </w:tr>
      <w:tr>
        <w:trPr/>
        <w:tc>
          <w:tcPr>
            <w:tcW w:w="1805" w:type="dxa"/>
            <w:vMerge w:val="restart"/>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Réalisation</w:t>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Documentation de paramétrage</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Guide de configuration, valeurs des paramètres, justifications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Dossiers de développement</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Spécifications techniques, code source commenté, tests unitaires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Scripts de migration</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Programmes ETL, règles de transformation, rapports de contrôle</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Connecteurs et interfaces</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Code, configuration, documentation technique des flux</w:t>
            </w:r>
          </w:p>
        </w:tc>
      </w:tr>
      <w:tr>
        <w:trPr/>
        <w:tc>
          <w:tcPr>
            <w:tcW w:w="1805" w:type="dxa"/>
            <w:vMerge w:val="restart"/>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Recette</w:t>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Stratégie de tests</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Types de tests, environnements, outils, organisation, critères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Cahiers de tests</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Scénarios de test, cas de test, données de test, résultats attendus</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Procès-verbaux de recette</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Résultats des tests, anomalies, corrections, validation métier</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Rapport de tests de performance</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Scénarios de charge, résultats, analyse, recommandations</w:t>
            </w:r>
          </w:p>
        </w:tc>
      </w:tr>
      <w:tr>
        <w:trPr/>
        <w:tc>
          <w:tcPr>
            <w:tcW w:w="1805" w:type="dxa"/>
            <w:vMerge w:val="restart"/>
            <w:tcBorders>
              <w:top w:val="single" w:sz="2" w:space="0" w:color="CCCCCC"/>
              <w:left w:val="single" w:sz="2" w:space="0" w:color="CCCCCC"/>
              <w:bottom w:val="single" w:sz="2" w:space="0" w:color="CCCCCC"/>
              <w:right w:val="single" w:sz="2" w:space="0" w:color="CCCCCC"/>
            </w:tcBorders>
            <w:shd w:fill="D6DCE4" w:val="clear"/>
          </w:tcPr>
          <w:p>
            <w:pPr>
              <w:pStyle w:val="Normal"/>
              <w:rPr/>
            </w:pPr>
            <w:r>
              <w:rPr>
                <w:b/>
                <w:bCs/>
              </w:rPr>
              <w:t>Déploiement</w:t>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Plan de déploiement</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Séquencement, tâches, responsables, go/no-go, rollback</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tcPr>
          <w:p>
            <w:pPr>
              <w:pStyle w:val="Normal"/>
              <w:rPr/>
            </w:pPr>
            <w:r>
              <w:rPr/>
              <w:t>Plan de bascule</w:t>
            </w:r>
          </w:p>
        </w:tc>
        <w:tc>
          <w:tcPr>
            <w:tcW w:w="3711" w:type="dxa"/>
            <w:tcBorders>
              <w:top w:val="single" w:sz="2" w:space="0" w:color="CCCCCC"/>
              <w:left w:val="single" w:sz="2" w:space="0" w:color="CCCCCC"/>
              <w:bottom w:val="single" w:sz="2" w:space="0" w:color="CCCCCC"/>
              <w:right w:val="single" w:sz="2" w:space="0" w:color="CCCCCC"/>
            </w:tcBorders>
          </w:tcPr>
          <w:p>
            <w:pPr>
              <w:pStyle w:val="Normal"/>
              <w:rPr/>
            </w:pPr>
            <w:r>
              <w:rPr/>
              <w:t>Procédures de migration, cut-over, vérifications post-bascule</w:t>
            </w:r>
          </w:p>
        </w:tc>
      </w:tr>
      <w:tr>
        <w:trPr/>
        <w:tc>
          <w:tcPr>
            <w:tcW w:w="1805" w:type="dxa"/>
            <w:vMerge w:val="continue"/>
            <w:tcBorders>
              <w:top w:val="single" w:sz="2" w:space="0" w:color="CCCCCC"/>
              <w:left w:val="single" w:sz="2" w:space="0" w:color="CCCCCC"/>
              <w:bottom w:val="single" w:sz="2" w:space="0" w:color="CCCCCC"/>
              <w:right w:val="single" w:sz="2" w:space="0" w:color="CCCCCC"/>
            </w:tcBorders>
            <w:tcMar>
              <w:top w:w="0" w:type="dxa"/>
              <w:left w:w="108" w:type="dxa"/>
              <w:bottom w:w="0" w:type="dxa"/>
              <w:right w:w="108" w:type="dxa"/>
            </w:tcMar>
          </w:tcPr>
          <w:p>
            <w:pPr>
              <w:pStyle w:val="Normal"/>
              <w:rPr/>
            </w:pPr>
            <w:r>
              <w:rPr/>
            </w:r>
          </w:p>
        </w:tc>
        <w:tc>
          <w:tcPr>
            <w:tcW w:w="351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Rapport de mise en production</w:t>
            </w:r>
          </w:p>
        </w:tc>
        <w:tc>
          <w:tcPr>
            <w:tcW w:w="371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Compte-rendu de déploiement, incidents, points d'attention</w:t>
            </w:r>
          </w:p>
        </w:tc>
      </w:tr>
    </w:tbl>
    <w:p>
      <w:pPr>
        <w:pStyle w:val="Normal"/>
        <w:spacing w:before="200" w:after="120"/>
        <w:rPr/>
      </w:pPr>
      <w:r>
        <w:rPr/>
        <w:t>Chaque livrable fera l'objet d'une validation formelle par le Groupe selon un processus défini dans le plan qualité projet. Les livrables seront soumis en version provisoire, examinés par les parties prenantes concernées, et feront l'objet de remarques et demandes de modifications. Après intégration des corrections, la version définitive sera soumise pour validation finale. La validation sera matérialisée par un procès-verbal signé. Le paiement des prestations associées sera conditionné à la validation des livrables correspondants.</w:t>
      </w:r>
    </w:p>
    <w:p>
      <w:pPr>
        <w:pStyle w:val="Heading3"/>
        <w:rPr/>
      </w:pPr>
      <w:r>
        <w:rPr/>
        <w:t>5.2.2 Livrables de formation et de conduite du changement</w:t>
      </w:r>
    </w:p>
    <w:p>
      <w:pPr>
        <w:pStyle w:val="Normal"/>
        <w:spacing w:before="120" w:after="120"/>
        <w:rPr/>
      </w:pPr>
      <w:r>
        <w:rPr/>
        <w:t>La conduite du changement et la formation des utilisateurs sont des facteurs clés de succès du projet, conditionnant l'adoption de la solution et la réalisation des bénéfices attendus. Le prestataire devra accompagner le Groupe dans cette dimension essentielle, en produisant les supports nécessaires et en animant les actions de formation et d'accompagnement. Une approche de « train the trainer » sera privilégiée pour assurer l'autonomie du Groupe dans la durée.</w:t>
      </w:r>
    </w:p>
    <w:p>
      <w:pPr>
        <w:pStyle w:val="Normal"/>
        <w:spacing w:before="120" w:after="120"/>
        <w:rPr/>
      </w:pPr>
      <w:r>
        <w:rPr>
          <w:b/>
          <w:bCs/>
        </w:rPr>
        <w:t>Plan de conduite du changement :</w:t>
      </w:r>
    </w:p>
    <w:p>
      <w:pPr>
        <w:pStyle w:val="Normal"/>
        <w:spacing w:before="80" w:after="80"/>
        <w:rPr/>
      </w:pPr>
      <w:r>
        <w:rPr/>
        <w:t>Ce document stratégique définira l'approche globale d'accompagnement des utilisateurs. Il comprendra : l'analyse des impacts du changement sur les différentes populations (matrice d'impact), la cartographie des parties prenantes et leur niveau d'adhésion, la stratégie de communication interne (messages clés, canaux, planning), le dispositif de formation (cibles, modalités, calendrier), et les indicateurs de suivi de l'adoption. Ce plan sera élaboré dès la phase de conception et ajusté tout au long du projet.</w:t>
      </w:r>
    </w:p>
    <w:p>
      <w:pPr>
        <w:pStyle w:val="Normal"/>
        <w:spacing w:before="120" w:after="120"/>
        <w:rPr/>
      </w:pPr>
      <w:r>
        <w:rPr>
          <w:b/>
          <w:bCs/>
        </w:rPr>
        <w:t>Supports de communication :</w:t>
      </w:r>
    </w:p>
    <w:p>
      <w:pPr>
        <w:pStyle w:val="Normal"/>
        <w:spacing w:before="80" w:after="80"/>
        <w:rPr/>
      </w:pPr>
      <w:r>
        <w:rPr/>
        <w:t>Le prestataire produira les supports de communication interne destinés à informer et mobiliser les collaborateurs : présentations pour les réunions d'information, newsletters projet, vidéos de présentation de la solution, FAQ, témoignages d'utilisateurs pilotes. Ces supports seront adaptés aux différentes cibles (direction, managers, utilisateurs opérationnels) et aux différentes phases du projet (annonce, conception, formation, démarrage, optimisation). Le Groupe validera ces supports avant diffusion.</w:t>
      </w:r>
    </w:p>
    <w:p>
      <w:pPr>
        <w:pStyle w:val="Normal"/>
        <w:spacing w:before="120" w:after="120"/>
        <w:rPr/>
      </w:pPr>
      <w:r>
        <w:rPr>
          <w:b/>
          <w:bCs/>
        </w:rPr>
        <w:t>Programme de formation :</w:t>
      </w:r>
    </w:p>
    <w:p>
      <w:pPr>
        <w:pStyle w:val="Normal"/>
        <w:spacing w:before="80" w:after="80"/>
        <w:rPr/>
      </w:pPr>
      <w:r>
        <w:rPr/>
        <w:t>Le programme de formation définira de manière détaillée le dispositif de montée en compétences des utilisateurs. Il comprendra : l'identification des profils de formation (par rôle métier et niveau de compétence cible), le contenu pédagogique de chaque module, les modalités de formation (présentiel, e-learning, classes virtuelles, coaching), le calendrier des sessions, et les moyens de validation des acquis. Le programme prévoira la formation des formateurs internes (key users) qui assureront le déploiement à grande échelle.</w:t>
      </w:r>
    </w:p>
    <w:p>
      <w:pPr>
        <w:pStyle w:val="Normal"/>
        <w:spacing w:before="120" w:after="120"/>
        <w:rPr/>
      </w:pPr>
      <w:r>
        <w:rPr>
          <w:b/>
          <w:bCs/>
        </w:rPr>
        <w:t>Supports de formation :</w:t>
      </w:r>
    </w:p>
    <w:p>
      <w:pPr>
        <w:pStyle w:val="Normal"/>
        <w:spacing w:before="80" w:after="80"/>
        <w:rPr/>
      </w:pPr>
      <w:r>
        <w:rPr/>
        <w:t>Les supports de formation seront produits pour chaque module du programme. Ils comprendront : les supports de présentation pour les formations en salle (PowerPoint), les guides utilisateurs détaillés par processus métier (manuels), les fiches pratiques synthétiques (aide-mémoire), les exercices et cas pratiques sur environnement de formation, les quiz d'évaluation des connaissances. Les supports seront disponibles dans les langues du Groupe concernées par chaque vague de déploiement.</w:t>
      </w:r>
    </w:p>
    <w:p>
      <w:pPr>
        <w:pStyle w:val="Normal"/>
        <w:spacing w:before="120" w:after="120"/>
        <w:rPr/>
      </w:pPr>
      <w:r>
        <w:rPr>
          <w:b/>
          <w:bCs/>
        </w:rPr>
        <w:t>Modules e-learning :</w:t>
      </w:r>
    </w:p>
    <w:p>
      <w:pPr>
        <w:pStyle w:val="Normal"/>
        <w:spacing w:before="80" w:after="80"/>
        <w:rPr/>
      </w:pPr>
      <w:r>
        <w:rPr/>
        <w:t>Des modules de formation en ligne seront développés pour permettre un apprentissage autonome et flexible, complémentaire aux formations présentielles. Ces modules interactifs couvriront les fonctionnalités de base et les processus standards. Ils intégreront des démonstrations animées, des exercices interactifs et des évaluations. Ils seront déployés sur la plateforme LMS du Groupe et accessibles à tout moment. Leur durée unitaire n'excédera pas 20 minutes pour favoriser l'engagement des apprenants.</w:t>
      </w:r>
    </w:p>
    <w:p>
      <w:pPr>
        <w:pStyle w:val="Heading3"/>
        <w:rPr/>
      </w:pPr>
      <w:r>
        <w:rPr/>
        <w:t>5.2.3 Documentation d'exploitation et de maintenance</w:t>
      </w:r>
    </w:p>
    <w:p>
      <w:pPr>
        <w:pStyle w:val="Normal"/>
        <w:spacing w:before="120" w:after="120"/>
        <w:rPr/>
      </w:pPr>
      <w:r>
        <w:rPr/>
        <w:t>La documentation d'exploitation et de maintenance est essentielle pour assurer le bon fonctionnement du système en production et permettre aux équipes du Groupe d'intervenir de manière autonome sur les opérations courantes. Cette documentation sera maintenue à jour tout au long de la vie du système et constituera le référentiel de connaissances pour les équipes d'exploitation et de support.</w:t>
      </w:r>
    </w:p>
    <w:p>
      <w:pPr>
        <w:pStyle w:val="Normal"/>
        <w:spacing w:before="120" w:after="120"/>
        <w:rPr/>
      </w:pPr>
      <w:r>
        <w:rPr>
          <w:b/>
          <w:bCs/>
        </w:rPr>
        <w:t>Manuel d'exploitation :</w:t>
      </w:r>
    </w:p>
    <w:p>
      <w:pPr>
        <w:pStyle w:val="Normal"/>
        <w:spacing w:before="80" w:after="80"/>
        <w:rPr/>
      </w:pPr>
      <w:r>
        <w:rPr/>
        <w:t>Ce document décrira l'ensemble des procédures d'exploitation quotidienne du système : démarrage et arrêt des services, supervision et monitoring, traitement des alertes, gestion des traitements batch (ordonnancement, surveillance, reprise sur erreur), gestion des environnements (rafraîchissement, clonage), procédures de sauvegarde et de restauration. Il inclura les contacts d'escalade et les procédures d'astreinte. Ce manuel sera le guide de référence pour les équipes d'exploitation du Groupe.</w:t>
      </w:r>
    </w:p>
    <w:p>
      <w:pPr>
        <w:pStyle w:val="Normal"/>
        <w:spacing w:before="120" w:after="120"/>
        <w:rPr/>
      </w:pPr>
      <w:r>
        <w:rPr>
          <w:b/>
          <w:bCs/>
        </w:rPr>
        <w:t>Documentation technique de la solution :</w:t>
      </w:r>
    </w:p>
    <w:p>
      <w:pPr>
        <w:pStyle w:val="Normal"/>
        <w:spacing w:before="80" w:after="80"/>
        <w:rPr/>
      </w:pPr>
      <w:r>
        <w:rPr/>
        <w:t>Cette documentation décrira l'architecture technique détaillée de la solution telle que déployée pour le Groupe : composants techniques et leurs interactions, modèle de données complet avec dictionnaire, paramétrages techniques effectués, configurations de sécurité, cartographie des flux et interfaces. Elle permettra aux équipes techniques du Groupe de comprendre le fonctionnement interne du système et d'intervenir en cas de besoin, dans les limites des responsabilités convenues avec le prestataire.</w:t>
      </w:r>
    </w:p>
    <w:p>
      <w:pPr>
        <w:pStyle w:val="Normal"/>
        <w:spacing w:before="120" w:after="120"/>
        <w:rPr/>
      </w:pPr>
      <w:r>
        <w:rPr>
          <w:b/>
          <w:bCs/>
        </w:rPr>
        <w:t>Procédures de support :</w:t>
      </w:r>
    </w:p>
    <w:p>
      <w:pPr>
        <w:pStyle w:val="Normal"/>
        <w:spacing w:before="80" w:after="80"/>
        <w:rPr/>
      </w:pPr>
      <w:r>
        <w:rPr/>
        <w:t>Ce document définira les procédures de gestion des incidents et des demandes de service : processus de signalement et de qualification des incidents, niveaux de priorité et critères de classification, processus d'escalade, procédures de contournement pour les incidents connus, processus de gestion des changements et des mises en production. Il servira de référence commune entre les équipes du Groupe et celles du prestataire pour assurer une gestion fluide et efficace du support.</w:t>
      </w:r>
    </w:p>
    <w:p>
      <w:pPr>
        <w:pStyle w:val="Normal"/>
        <w:spacing w:before="120" w:after="120"/>
        <w:rPr/>
      </w:pPr>
      <w:r>
        <w:rPr>
          <w:b/>
          <w:bCs/>
        </w:rPr>
        <w:t>Plan de reprise d'activité (PRA) :</w:t>
      </w:r>
    </w:p>
    <w:p>
      <w:pPr>
        <w:pStyle w:val="Normal"/>
        <w:spacing w:before="80" w:after="80"/>
        <w:rPr/>
      </w:pPr>
      <w:r>
        <w:rPr/>
        <w:t>Ce document critique définira les procédures de restauration du service en cas de sinistre majeur. Il comprendra : les scénarios de sinistre envisagés et leurs impacts, les procédures de basculement vers le site de secours, les procédures de restauration des données, les tests de validation post-reprise, les procédures de retour à la normale. Le PRA sera testé au moins une fois par an dans des conditions réalistes, avec un compte-rendu documentant les résultats et les axes d'amélioration identifiés.</w:t>
      </w:r>
    </w:p>
    <w:p>
      <w:pPr>
        <w:pStyle w:val="Normal"/>
        <w:spacing w:before="120" w:after="120"/>
        <w:rPr/>
      </w:pPr>
      <w:r>
        <w:rPr>
          <w:b/>
          <w:bCs/>
        </w:rPr>
        <w:t>Base de connaissances :</w:t>
      </w:r>
    </w:p>
    <w:p>
      <w:pPr>
        <w:pStyle w:val="Normal"/>
        <w:spacing w:before="80" w:after="80"/>
        <w:rPr/>
      </w:pPr>
      <w:r>
        <w:rPr/>
        <w:t>Une base de connaissances sera constituée progressivement pour capitaliser sur les résolutions d'incidents et les bonnes pratiques d'utilisation. Elle comprendra : les fiches de résolution des incidents récurrents, les procédures de contournement validées, les FAQ issues des questions des utilisateurs, les trucs et astuces pour une utilisation optimale. Cette base sera accessible aux équipes de support et, pour certains contenus, aux utilisateurs finaux via un portail self-service. Elle sera enrichie en continu tout au long de la vie du système.</w:t>
      </w:r>
    </w:p>
    <w:p>
      <w:pPr>
        <w:pStyle w:val="Normal"/>
        <w:rPr/>
      </w:pPr>
      <w:r>
        <w:rPr/>
      </w:r>
      <w:r>
        <w:br w:type="page"/>
      </w:r>
    </w:p>
    <w:p>
      <w:pPr>
        <w:pStyle w:val="Heading2"/>
        <w:spacing w:before="0" w:after="150"/>
        <w:rPr/>
      </w:pPr>
      <w:r>
        <w:rPr/>
        <w:t>5.3 Conditions de recette et de validation</w:t>
      </w:r>
    </w:p>
    <w:p>
      <w:pPr>
        <w:pStyle w:val="Normal"/>
        <w:spacing w:before="120" w:after="120"/>
        <w:rPr/>
      </w:pPr>
      <w:r>
        <w:rPr/>
        <w:t>La recette constitue l'étape formelle de vérification de la conformité des livrables et des réalisations aux exigences définies dans le cahier des charges et précisées lors de la conception. Elle engage la responsabilité du prestataire sur la qualité de ses productions et conditionne l'acceptation par le Groupe et le paiement des prestations correspondantes. Cette section définit le cadre général de la recette, les différents types de validation et les conditions d'acceptation.</w:t>
      </w:r>
    </w:p>
    <w:p>
      <w:pPr>
        <w:pStyle w:val="Heading3"/>
        <w:rPr/>
      </w:pPr>
      <w:r>
        <w:rPr/>
        <w:t>5.3.1 Types de recette (usine, intégration, métier)</w:t>
      </w:r>
    </w:p>
    <w:p>
      <w:pPr>
        <w:pStyle w:val="Normal"/>
        <w:spacing w:before="120" w:after="120"/>
        <w:rPr/>
      </w:pPr>
      <w:r>
        <w:rPr/>
        <w:t>Le processus de validation s'articule autour de plusieurs niveaux de recette complémentaires, chacun ayant des objectifs et des responsabilités spécifiques. Cette approche progressive permet de détecter et corriger les anomalies au plus tôt, limitant les impacts et les coûts de correction. Le passage d'un niveau de recette au suivant est conditionné par l'atteinte des critères de sortie définis.</w:t>
      </w:r>
    </w:p>
    <w:p>
      <w:pPr>
        <w:pStyle w:val="Normal"/>
        <w:spacing w:before="200" w:after="100"/>
        <w:rPr/>
      </w:pPr>
      <w:r>
        <w:rPr>
          <w:b/>
          <w:bCs/>
          <w:sz w:val="24"/>
          <w:szCs w:val="24"/>
        </w:rPr>
        <w:t>Niveaux de recette :</w:t>
      </w:r>
    </w:p>
    <w:tbl>
      <w:tblPr>
        <w:tblW w:w="5000" w:type="pct"/>
        <w:jc w:val="left"/>
        <w:tblInd w:w="0" w:type="dxa"/>
        <w:tblLayout w:type="fixed"/>
        <w:tblCellMar>
          <w:top w:w="80" w:type="dxa"/>
          <w:left w:w="120" w:type="dxa"/>
          <w:bottom w:w="80" w:type="dxa"/>
          <w:right w:w="120" w:type="dxa"/>
        </w:tblCellMar>
      </w:tblPr>
      <w:tblGrid>
        <w:gridCol w:w="2005"/>
        <w:gridCol w:w="2507"/>
        <w:gridCol w:w="2508"/>
        <w:gridCol w:w="2005"/>
      </w:tblGrid>
      <w:tr>
        <w:trPr/>
        <w:tc>
          <w:tcPr>
            <w:tcW w:w="20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Type de recette</w:t>
            </w:r>
          </w:p>
        </w:tc>
        <w:tc>
          <w:tcPr>
            <w:tcW w:w="250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Objectif</w:t>
            </w:r>
          </w:p>
        </w:tc>
        <w:tc>
          <w:tcPr>
            <w:tcW w:w="25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Responsabilité</w:t>
            </w:r>
          </w:p>
        </w:tc>
        <w:tc>
          <w:tcPr>
            <w:tcW w:w="2005"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Environnement</w:t>
            </w:r>
          </w:p>
        </w:tc>
      </w:tr>
      <w:tr>
        <w:trPr/>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Recette usine</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Vérifier la conformité technique des développements et paramétrages</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Prestataire (avec témoins Groupe)</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Développement</w:t>
            </w:r>
          </w:p>
        </w:tc>
      </w:tr>
      <w:tr>
        <w:trPr/>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Recette d'intégration</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Vérifier le bon fonctionnement des interfaces et des flux de bout en bout</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Prestataire et Groupe (conjointe)</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Intégration</w:t>
            </w:r>
          </w:p>
        </w:tc>
      </w:tr>
      <w:tr>
        <w:trPr/>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Recette fonctionnelle (UAT)</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Valider la conformité aux besoins métiers et l'utilisabilité</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Groupe (métiers) avec support prestataire</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Recette</w:t>
            </w:r>
          </w:p>
        </w:tc>
      </w:tr>
      <w:tr>
        <w:trPr/>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Recette de performance</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Vérifier le respect des exigences de temps de réponse et de charge</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Prestataire (résultats validés par Groupe)</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Pré-production</w:t>
            </w:r>
          </w:p>
        </w:tc>
      </w:tr>
      <w:tr>
        <w:trPr/>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b/>
                <w:bCs/>
              </w:rPr>
              <w:t>Recette de sécurité</w:t>
            </w:r>
          </w:p>
        </w:tc>
        <w:tc>
          <w:tcPr>
            <w:tcW w:w="2507" w:type="dxa"/>
            <w:tcBorders>
              <w:top w:val="single" w:sz="2" w:space="0" w:color="CCCCCC"/>
              <w:left w:val="single" w:sz="2" w:space="0" w:color="CCCCCC"/>
              <w:bottom w:val="single" w:sz="2" w:space="0" w:color="CCCCCC"/>
              <w:right w:val="single" w:sz="2" w:space="0" w:color="CCCCCC"/>
            </w:tcBorders>
          </w:tcPr>
          <w:p>
            <w:pPr>
              <w:pStyle w:val="Normal"/>
              <w:rPr/>
            </w:pPr>
            <w:r>
              <w:rPr/>
              <w:t>Vérifier la conformité aux exigences de sécurité</w:t>
            </w:r>
          </w:p>
        </w:tc>
        <w:tc>
          <w:tcPr>
            <w:tcW w:w="2508" w:type="dxa"/>
            <w:tcBorders>
              <w:top w:val="single" w:sz="2" w:space="0" w:color="CCCCCC"/>
              <w:left w:val="single" w:sz="2" w:space="0" w:color="CCCCCC"/>
              <w:bottom w:val="single" w:sz="2" w:space="0" w:color="CCCCCC"/>
              <w:right w:val="single" w:sz="2" w:space="0" w:color="CCCCCC"/>
            </w:tcBorders>
          </w:tcPr>
          <w:p>
            <w:pPr>
              <w:pStyle w:val="Normal"/>
              <w:rPr/>
            </w:pPr>
            <w:r>
              <w:rPr/>
              <w:t>Prestataire + auditeur externe</w:t>
            </w:r>
          </w:p>
        </w:tc>
        <w:tc>
          <w:tcPr>
            <w:tcW w:w="2005" w:type="dxa"/>
            <w:tcBorders>
              <w:top w:val="single" w:sz="2" w:space="0" w:color="CCCCCC"/>
              <w:left w:val="single" w:sz="2" w:space="0" w:color="CCCCCC"/>
              <w:bottom w:val="single" w:sz="2" w:space="0" w:color="CCCCCC"/>
              <w:right w:val="single" w:sz="2" w:space="0" w:color="CCCCCC"/>
            </w:tcBorders>
          </w:tcPr>
          <w:p>
            <w:pPr>
              <w:pStyle w:val="Normal"/>
              <w:rPr/>
            </w:pPr>
            <w:r>
              <w:rPr/>
              <w:t>Pré-production</w:t>
            </w:r>
          </w:p>
        </w:tc>
      </w:tr>
      <w:tr>
        <w:trPr/>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b/>
                <w:bCs/>
              </w:rPr>
              <w:t>Pilote</w:t>
            </w:r>
          </w:p>
        </w:tc>
        <w:tc>
          <w:tcPr>
            <w:tcW w:w="250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Valider en conditions réelles sur un périmètre restreint</w:t>
            </w:r>
          </w:p>
        </w:tc>
        <w:tc>
          <w:tcPr>
            <w:tcW w:w="25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Groupe avec support prestataire</w:t>
            </w:r>
          </w:p>
        </w:tc>
        <w:tc>
          <w:tcPr>
            <w:tcW w:w="200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Production</w:t>
            </w:r>
          </w:p>
        </w:tc>
      </w:tr>
    </w:tbl>
    <w:p>
      <w:pPr>
        <w:pStyle w:val="Normal"/>
        <w:spacing w:before="200" w:after="120"/>
        <w:rPr/>
      </w:pPr>
      <w:r>
        <w:rPr/>
        <w:t>La recette fonctionnelle (UAT - User Acceptance Testing) constitue l'étape clé de validation métier. Elle sera réalisée par des utilisateurs représentatifs des différentes populations, encadrés par les key users formés. Les scénarios de test couvriront l'ensemble des processus métiers, les cas nominaux et les cas aux limites, les règles de gestion spécifiques. Une attention particulière sera portée à la migration des données et à la cohérence avec l'historique. La recette fonctionnelle est un prérequis au passage en production.</w:t>
      </w:r>
    </w:p>
    <w:p>
      <w:pPr>
        <w:pStyle w:val="Heading3"/>
        <w:rPr/>
      </w:pPr>
      <w:r>
        <w:rPr/>
        <w:t>5.3.2 Critères d'acceptation et procédure de réception</w:t>
      </w:r>
    </w:p>
    <w:p>
      <w:pPr>
        <w:pStyle w:val="Normal"/>
        <w:spacing w:before="120" w:after="120"/>
        <w:rPr/>
      </w:pPr>
      <w:r>
        <w:rPr/>
        <w:t>Les critères d'acceptation définissent les conditions objectives devant être réunies pour prononcer la recette d'un livrable ou d'une phase. Ils permettent de formaliser les attendus et d'éviter les ambiguïtés lors de la validation. Ces critères seront définis de manière détaillée lors de la phase de conception pour chaque composant et chaque phase du projet. Les critères généraux applicables sont les suivants.</w:t>
      </w:r>
    </w:p>
    <w:p>
      <w:pPr>
        <w:pStyle w:val="Normal"/>
        <w:spacing w:before="120" w:after="120"/>
        <w:rPr/>
      </w:pPr>
      <w:r>
        <w:rPr>
          <w:b/>
          <w:bCs/>
        </w:rPr>
        <w:t>Critères d'acceptation des livrables documentaires :</w:t>
      </w:r>
    </w:p>
    <w:p>
      <w:pPr>
        <w:pStyle w:val="Normal"/>
        <w:spacing w:before="80" w:after="80"/>
        <w:rPr/>
      </w:pPr>
      <w:r>
        <w:rPr/>
        <w:t>Complétude par rapport au plan de documentation défini, conformité au format et à la charte graphique imposés, absence d'erreurs factuelles ou d'incohérences majeures, clarté et compréhensibilité pour le public cible, intégration des remarques formulées lors de la revue provisoire. Un livrable documentaire peut être accepté avec réserves mineures (coquilles, améliorations de forme) qui devront être corrigées dans un délai convenu.</w:t>
      </w:r>
    </w:p>
    <w:p>
      <w:pPr>
        <w:pStyle w:val="Normal"/>
        <w:spacing w:before="120" w:after="120"/>
        <w:rPr/>
      </w:pPr>
      <w:r>
        <w:rPr>
          <w:b/>
          <w:bCs/>
        </w:rPr>
        <w:t>Critères d'acceptation des développements et paramétrages :</w:t>
      </w:r>
    </w:p>
    <w:p>
      <w:pPr>
        <w:pStyle w:val="Normal"/>
        <w:spacing w:before="80" w:after="80"/>
        <w:rPr/>
      </w:pPr>
      <w:r>
        <w:rPr/>
        <w:t>Conformité aux spécifications fonctionnelles et techniques validées, absence d'anomalies bloquantes (P1) ou majeures (P2), taux d'anomalies mineures (P3) inférieur à un seuil défini (typiquement 5% des cas de test), couverture de test supérieure au seuil défini (typiquement 95% des cas de test exécutés avec succès), documentation technique à jour. Les anomalies résiduelles acceptées seront tracées et planifiées pour correction.</w:t>
      </w:r>
    </w:p>
    <w:p>
      <w:pPr>
        <w:pStyle w:val="Normal"/>
        <w:spacing w:before="120" w:after="120"/>
        <w:rPr/>
      </w:pPr>
      <w:r>
        <w:rPr>
          <w:b/>
          <w:bCs/>
        </w:rPr>
        <w:t>Critères d'acceptation de la mise en production :</w:t>
      </w:r>
    </w:p>
    <w:p>
      <w:pPr>
        <w:pStyle w:val="Normal"/>
        <w:spacing w:before="80" w:after="80"/>
        <w:rPr/>
      </w:pPr>
      <w:r>
        <w:rPr/>
        <w:t>Recette fonctionnelle prononcée sans anomalie bloquante résiduelle, recette de performance validée (respect des SLA cibles), recette de sécurité validée (absence de vulnérabilité critique), migration des données effectuée et validée (contrôles de cohérence satisfaisants), formation des utilisateurs réalisée (taux de couverture atteint), documentation d'exploitation disponible et validée, environnement de production opérationnel, dispositif de support en place et testé.</w:t>
      </w:r>
    </w:p>
    <w:p>
      <w:pPr>
        <w:pStyle w:val="Normal"/>
        <w:spacing w:before="120" w:after="120"/>
        <w:rPr/>
      </w:pPr>
      <w:r>
        <w:rPr>
          <w:b/>
          <w:bCs/>
        </w:rPr>
        <w:t>Procédure de réception :</w:t>
      </w:r>
    </w:p>
    <w:p>
      <w:pPr>
        <w:pStyle w:val="Normal"/>
        <w:spacing w:before="80" w:after="120"/>
        <w:rPr/>
      </w:pPr>
      <w:r>
        <w:rPr/>
        <w:t>La réception sera matérialisée par un procès-verbal signé par les représentants habilités des deux parties. Le procès-verbal attestera de la vérification des critères d'acceptation et listera les éventuelles réserves. Trois types de réception sont possibles : réception sans réserve (tous les critères sont satisfaits), réception avec réserves (des anomalies mineures subsistent mais n'empêchent pas l'utilisation, un délai de levée des réserves est fixé), ou refus de réception (des anomalies majeures ou bloquantes subsistent, le prestataire doit corriger avant nouvelle présentation). En cas de désaccord sur la réception, une procédure d'escalade sera déclenchée.</w:t>
      </w:r>
    </w:p>
    <w:p>
      <w:pPr>
        <w:pStyle w:val="Normal"/>
        <w:spacing w:before="300" w:after="100"/>
        <w:rPr/>
      </w:pPr>
      <w:r>
        <w:rPr>
          <w:b/>
          <w:bCs/>
          <w:sz w:val="24"/>
          <w:szCs w:val="24"/>
        </w:rPr>
        <w:t>Récapitulatif des engagements contractuels clés :</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Domaine</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Engagement attendu</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Durée du contrat-cadre</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5 ans initial, renouvelable par périodes de 2 ans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Disponibilité (SLA)</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99,9% heures ouvrées, 99,95% périodes critiques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Temps de résolution incident P1</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&lt; 4 heures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Plafond annuel des pénalités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15% du montant annuel du contrat</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Confidentialité post-contractuelle</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5 ans après la fin du contrat</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Période de réversibilité</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6 mois minimum d'assistance à la transition</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Assurance RC professionnelle</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Minimum 10 M€ par sinistre</w:t>
            </w:r>
          </w:p>
        </w:tc>
      </w:tr>
    </w:tbl>
    <w:p>
      <w:pPr>
        <w:pStyle w:val="Normal"/>
        <w:spacing w:before="120" w:after="120"/>
        <w:rPr/>
      </w:pPr>
      <w:r>
        <w:rPr/>
      </w:r>
    </w:p>
    <w:p>
      <w:pPr>
        <w:pStyle w:val="Heading1"/>
        <w:rPr/>
      </w:pPr>
      <w:r>
        <w:rPr/>
        <w:t>6. Annexes</w:t>
      </w:r>
    </w:p>
    <w:p>
      <w:pPr>
        <w:pStyle w:val="Normal"/>
        <w:spacing w:before="120" w:after="120"/>
        <w:rPr/>
      </w:pPr>
      <w:r>
        <w:rPr/>
        <w:t>Les annexes ci-après complètent le corps du cahier des charges en fournissant des informations détaillées, des modèles de documents à compléter par les candidats, et des éléments de référence nécessaires à l'élaboration d'une réponse complète et conforme.</w:t>
      </w:r>
    </w:p>
    <w:p>
      <w:pPr>
        <w:pStyle w:val="Normal"/>
        <w:spacing w:before="200" w:after="100"/>
        <w:rPr/>
      </w:pPr>
      <w:r>
        <w:rPr>
          <w:b/>
          <w:bCs/>
          <w:sz w:val="24"/>
          <w:szCs w:val="24"/>
        </w:rPr>
        <w:t>Liste des annexes :</w:t>
      </w:r>
    </w:p>
    <w:tbl>
      <w:tblPr>
        <w:tblW w:w="5000" w:type="pct"/>
        <w:jc w:val="left"/>
        <w:tblInd w:w="0" w:type="dxa"/>
        <w:tblLayout w:type="fixed"/>
        <w:tblCellMar>
          <w:top w:w="80" w:type="dxa"/>
          <w:left w:w="120" w:type="dxa"/>
          <w:bottom w:w="80" w:type="dxa"/>
          <w:right w:w="120" w:type="dxa"/>
        </w:tblCellMar>
      </w:tblPr>
      <w:tblGrid>
        <w:gridCol w:w="2256"/>
        <w:gridCol w:w="2256"/>
        <w:gridCol w:w="2257"/>
        <w:gridCol w:w="2256"/>
      </w:tblGrid>
      <w:tr>
        <w:trPr/>
        <w:tc>
          <w:tcPr>
            <w:tcW w:w="225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Réf.</w:t>
            </w:r>
          </w:p>
        </w:tc>
        <w:tc>
          <w:tcPr>
            <w:tcW w:w="225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Intitulé</w:t>
            </w:r>
          </w:p>
        </w:tc>
        <w:tc>
          <w:tcPr>
            <w:tcW w:w="225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Format</w:t>
            </w:r>
          </w:p>
        </w:tc>
        <w:tc>
          <w:tcPr>
            <w:tcW w:w="225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À retourner</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Annexe A</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Matrice des exigences fonctionnelles</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Excel (.xlsx)</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Oui</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Annexe B</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Matrice des exigences non-fonctionnelles</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Excel (.xlsx)</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Oui</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Annexe C</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Matrice de conformité sécurité et RGPD</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Excel (.xlsx)</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Oui</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Annexe D</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Grille de réponse financière</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Excel (.xlsx)</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Oui</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Annexe E</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Modèle de CV des intervenants</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Word (.docx)</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Oui</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Annexe F</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Fiche de référence client</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Word (.docx)</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Oui</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Annexe G</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Cartographie applicative actuelle</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PDF</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Non (info)</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Annexe H</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Glossaire et acronymes</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PDF</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Non (info)</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Annexe I</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Accord de confidentialité (NDA)</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PDF</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Oui (signé)</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Annexe J</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Projet de contrat-cadre</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PDF</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Non (info)</w:t>
            </w:r>
          </w:p>
        </w:tc>
      </w:tr>
    </w:tbl>
    <w:p>
      <w:pPr>
        <w:pStyle w:val="Normal"/>
        <w:rPr/>
      </w:pPr>
      <w:r>
        <w:rPr/>
      </w:r>
      <w:r>
        <w:br w:type="page"/>
      </w:r>
    </w:p>
    <w:p>
      <w:pPr>
        <w:pStyle w:val="Heading2"/>
        <w:spacing w:before="0" w:after="150"/>
        <w:rPr/>
      </w:pPr>
      <w:r>
        <w:rPr/>
        <w:t>Annexe A : Matrice des exigences fonctionnelles</w:t>
      </w:r>
    </w:p>
    <w:p>
      <w:pPr>
        <w:pStyle w:val="Normal"/>
        <w:spacing w:before="120" w:after="120"/>
        <w:rPr/>
      </w:pPr>
      <w:r>
        <w:rPr/>
        <w:t>Cette annexe constitue le document central de réponse aux exigences fonctionnelles. Elle recense l'ensemble des exigences organisées par domaine métier. Pour chaque exigence, le candidat devra indiquer le niveau de couverture et fournir un commentaire explicatif.</w:t>
      </w:r>
    </w:p>
    <w:p>
      <w:pPr>
        <w:pStyle w:val="Normal"/>
        <w:spacing w:before="200" w:after="100"/>
        <w:rPr/>
      </w:pPr>
      <w:r>
        <w:rPr>
          <w:b/>
          <w:bCs/>
          <w:sz w:val="24"/>
          <w:szCs w:val="24"/>
        </w:rPr>
        <w:t>Niveaux de couverture à utiliser :</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Code</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Signification</w:t>
            </w:r>
          </w:p>
        </w:tc>
      </w:tr>
      <w:tr>
        <w:trPr/>
        <w:tc>
          <w:tcPr>
            <w:tcW w:w="4512"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b/>
                <w:bCs/>
              </w:rPr>
              <w:t>S - Standard</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Fonctionnalité disponible en standard, sans paramétrage ni développement</w:t>
            </w:r>
          </w:p>
        </w:tc>
      </w:tr>
      <w:tr>
        <w:trPr/>
        <w:tc>
          <w:tcPr>
            <w:tcW w:w="4512" w:type="dxa"/>
            <w:tcBorders>
              <w:top w:val="single" w:sz="2" w:space="0" w:color="CCCCCC"/>
              <w:left w:val="single" w:sz="2" w:space="0" w:color="CCCCCC"/>
              <w:bottom w:val="single" w:sz="2" w:space="0" w:color="CCCCCC"/>
              <w:right w:val="single" w:sz="2" w:space="0" w:color="CCCCCC"/>
            </w:tcBorders>
            <w:shd w:fill="FFEB9C" w:val="clear"/>
          </w:tcPr>
          <w:p>
            <w:pPr>
              <w:pStyle w:val="Normal"/>
              <w:rPr/>
            </w:pPr>
            <w:r>
              <w:rPr>
                <w:b/>
                <w:bCs/>
              </w:rPr>
              <w:t>P - Paramétrage</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Nécessite un paramétrage ou configuration spécifique, pas de code</w:t>
            </w:r>
          </w:p>
        </w:tc>
      </w:tr>
      <w:tr>
        <w:trPr/>
        <w:tc>
          <w:tcPr>
            <w:tcW w:w="4512" w:type="dxa"/>
            <w:tcBorders>
              <w:top w:val="single" w:sz="2" w:space="0" w:color="CCCCCC"/>
              <w:left w:val="single" w:sz="2" w:space="0" w:color="CCCCCC"/>
              <w:bottom w:val="single" w:sz="2" w:space="0" w:color="CCCCCC"/>
              <w:right w:val="single" w:sz="2" w:space="0" w:color="CCCCCC"/>
            </w:tcBorders>
            <w:shd w:fill="FFC7CE" w:val="clear"/>
          </w:tcPr>
          <w:p>
            <w:pPr>
              <w:pStyle w:val="Normal"/>
              <w:rPr/>
            </w:pPr>
            <w:r>
              <w:rPr>
                <w:b/>
                <w:bCs/>
              </w:rPr>
              <w:t>D - Développement</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Nécessite un développement spécifique (code, extension, add-on)</w:t>
            </w:r>
          </w:p>
        </w:tc>
      </w:tr>
      <w:tr>
        <w:trPr/>
        <w:tc>
          <w:tcPr>
            <w:tcW w:w="4512" w:type="dxa"/>
            <w:tcBorders>
              <w:top w:val="single" w:sz="2" w:space="0" w:color="CCCCCC"/>
              <w:left w:val="single" w:sz="2" w:space="0" w:color="CCCCCC"/>
              <w:bottom w:val="single" w:sz="2" w:space="0" w:color="CCCCCC"/>
              <w:right w:val="single" w:sz="2" w:space="0" w:color="CCCCCC"/>
            </w:tcBorders>
            <w:shd w:fill="D9D9D9" w:val="clear"/>
          </w:tcPr>
          <w:p>
            <w:pPr>
              <w:pStyle w:val="Normal"/>
              <w:rPr/>
            </w:pPr>
            <w:r>
              <w:rPr>
                <w:b/>
                <w:bCs/>
              </w:rPr>
              <w:t>T - Tiers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Couvert par une solution tierce intégrée (partenaire ISV)</w:t>
            </w:r>
          </w:p>
        </w:tc>
      </w:tr>
      <w:tr>
        <w:trPr/>
        <w:tc>
          <w:tcPr>
            <w:tcW w:w="4512" w:type="dxa"/>
            <w:tcBorders>
              <w:top w:val="single" w:sz="2" w:space="0" w:color="CCCCCC"/>
              <w:left w:val="single" w:sz="2" w:space="0" w:color="CCCCCC"/>
              <w:bottom w:val="single" w:sz="2" w:space="0" w:color="CCCCCC"/>
              <w:right w:val="single" w:sz="2" w:space="0" w:color="CCCCCC"/>
            </w:tcBorders>
            <w:shd w:fill="FF0000" w:val="clear"/>
          </w:tcPr>
          <w:p>
            <w:pPr>
              <w:pStyle w:val="Normal"/>
              <w:rPr/>
            </w:pPr>
            <w:r>
              <w:rPr>
                <w:b/>
                <w:bCs/>
                <w:color w:val="FFFFFF"/>
              </w:rPr>
              <w:t>N - Non couvert</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Non couverte et non réalisable dans le cadre du projet</w:t>
            </w:r>
          </w:p>
        </w:tc>
      </w:tr>
    </w:tbl>
    <w:p>
      <w:pPr>
        <w:pStyle w:val="Normal"/>
        <w:rPr/>
      </w:pPr>
      <w:r>
        <w:rPr/>
      </w:r>
      <w:r>
        <w:br w:type="page"/>
      </w:r>
    </w:p>
    <w:p>
      <w:pPr>
        <w:pStyle w:val="Heading2"/>
        <w:spacing w:before="0" w:after="150"/>
        <w:rPr/>
      </w:pPr>
      <w:r>
        <w:rPr/>
        <w:t>Annexe B : Matrice des exigences non-fonctionnelles</w:t>
      </w:r>
    </w:p>
    <w:p>
      <w:pPr>
        <w:pStyle w:val="Normal"/>
        <w:spacing w:before="120" w:after="120"/>
        <w:rPr/>
      </w:pPr>
      <w:r>
        <w:rPr/>
        <w:t>Cette annexe recense les exigences non-fonctionnelles (techniques, performance, sécurité, ergonomie). Les candidats devront indiquer leur niveau de conformité et fournir des éléments de preuve.</w:t>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c>
          <w:tcPr>
            <w:tcW w:w="30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Catégorie</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Périmètre</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Nb exigences</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Performance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Temps de réponse, volumétrie, scalabilité, batch</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25 exigences</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Disponibilité</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SLA, PRA/PCA, RTO/RPO, maintenance</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18 exigences</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Sécurité</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Authentification, habilitations, chiffrement, audit</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35 exigences</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Architecture</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Cloud, API, intégration, environnements</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22 exigences</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Ergonomie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UX, accessibilité, multilingue, multi-device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20 exigences</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Exploitation</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Monitoring, logs, administration, support</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15 exigences</w:t>
            </w:r>
          </w:p>
        </w:tc>
      </w:tr>
      <w:tr>
        <w:trPr/>
        <w:tc>
          <w:tcPr>
            <w:tcW w:w="30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TOTAL</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135 exigences</w:t>
            </w:r>
          </w:p>
        </w:tc>
      </w:tr>
    </w:tbl>
    <w:p>
      <w:pPr>
        <w:pStyle w:val="Normal"/>
        <w:rPr/>
      </w:pPr>
      <w:r>
        <w:rPr/>
      </w:r>
      <w:r>
        <w:br w:type="page"/>
      </w:r>
    </w:p>
    <w:p>
      <w:pPr>
        <w:pStyle w:val="Heading2"/>
        <w:spacing w:before="0" w:after="150"/>
        <w:rPr/>
      </w:pPr>
      <w:r>
        <w:rPr/>
        <w:t>Annexe C : Matrice de conformité sécurité et RGPD</w:t>
      </w:r>
    </w:p>
    <w:p>
      <w:pPr>
        <w:pStyle w:val="Normal"/>
        <w:spacing w:before="120" w:after="120"/>
        <w:rPr/>
      </w:pPr>
      <w:r>
        <w:rPr/>
        <w:t>Cette annexe détaille les exigences en matière de sécurité de l'information et de protection des données personnelles (RGPD, NIS2). Les candidats devront joindre : certificat ISO 27001, rapport SOC 2 Type II, attestation de conformité RGPD, liste des sous-traitants.</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Domaine</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Thématiques principales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Gouvernance sécurité</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Politique de sécurité, organisation, certifications (ISO 27001, SOC 2), audits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Sécurité des accès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Authentification (SSO, MFA), gestion des identités, habilitations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Protection des données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Chiffrement (transit, repos), gestion des clés, anonymisation</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Sécurité applicative</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Secure SDLC, tests de vulnérabilité, gestion des correctifs, OWASP</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Sécurité infrastructure</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Datacenter, réseau, firewall, anti-malware, segmentation, DDoS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Traçabilité et audit</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Journalisation, pistes d'audit, détection d'intrusion, SIEM</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Gestion des incidents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Procédure de réponse, notification, communication de crise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Conformité RGPD</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Registre des traitements, DPO, droits des personnes, transferts hors UE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Continuité et résilience</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PCA/PRA, sauvegardes, tests de restauration, résilience cyber</w:t>
            </w:r>
          </w:p>
        </w:tc>
      </w:tr>
    </w:tbl>
    <w:p>
      <w:pPr>
        <w:pStyle w:val="Normal"/>
        <w:rPr/>
      </w:pPr>
      <w:r>
        <w:rPr/>
      </w:r>
      <w:r>
        <w:br w:type="page"/>
      </w:r>
    </w:p>
    <w:p>
      <w:pPr>
        <w:pStyle w:val="Heading2"/>
        <w:spacing w:before="0" w:after="150"/>
        <w:rPr/>
      </w:pPr>
      <w:r>
        <w:rPr/>
        <w:t>Annexe D : Grille de réponse financière</w:t>
      </w:r>
    </w:p>
    <w:p>
      <w:pPr>
        <w:pStyle w:val="Normal"/>
        <w:spacing w:before="120" w:after="120"/>
        <w:rPr/>
      </w:pPr>
      <w:r>
        <w:rPr/>
        <w:t>Cette annexe fournit le cadre de réponse pour la proposition financière. Les candidats devront compléter ce fichier Excel en respectant la structure imposée.</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Onglet</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Contenu à renseigner</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1. Synthèse</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Coût total projet, coût récurrent annuel, TCO 5 ans, hypothèses clés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 Licences / SaaS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Détail par module, métrique de tarification, prix unitaire, volume, remises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3. Services projet</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Détail par phase et profil : taux journalier, nombre de jours, total</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4. Formation</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Détail par type : contenu, durée, sessions, coût unitaire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5. Maintenance</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Support et maintenance annuels : périmètre, niveaux de service, coût</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6. Hébergement</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Infrastructure, environnements, coût mensuel/annuel, scaling</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7. Options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Prestations optionnelles : modules complémentaires, services additionnels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 Hypothèses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Hypothèses de chiffrage, exclusions, conditions de validité</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9. TCO 5 ans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Projection du coût total de possession sur 5 ans détaillé</w:t>
            </w:r>
          </w:p>
        </w:tc>
      </w:tr>
    </w:tbl>
    <w:p>
      <w:pPr>
        <w:pStyle w:val="Normal"/>
        <w:spacing w:before="200" w:after="100"/>
        <w:rPr/>
      </w:pPr>
      <w:r>
        <w:rPr>
          <w:b/>
          <w:bCs/>
          <w:sz w:val="24"/>
          <w:szCs w:val="24"/>
        </w:rPr>
        <w:t>Profils types pour le chiffrage :</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Profil</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Description</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Directeur de projet</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Responsable global, interface direction, pilotage stratégique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Chef de projet</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Pilotage opérationnel, coordination, reporting, gestion des risques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Architecte solution</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Conception globale, cohérence technique, arbitrages architecture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Consultant fonctionnel senior</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Conception détaillée, paramétrage complexe, expertise métier (&gt;5 ans)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Consultant fonctionnel</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Paramétrage, tests, documentation, support utilisateurs (2-5 ans)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Développeur senior</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Développements complexes, intégrations, performance (&gt;5 ans)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Développeur</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Développements, interfaces, corrections, tests unitaires (2-5 ans)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Expert data / migration</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Stratégie de migration, qualité données, ETL, réconciliation</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Formateur</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Animation des formations, création des supports pédagogiques</w:t>
            </w:r>
          </w:p>
        </w:tc>
      </w:tr>
    </w:tbl>
    <w:p>
      <w:pPr>
        <w:pStyle w:val="Normal"/>
        <w:rPr/>
      </w:pPr>
      <w:r>
        <w:rPr/>
      </w:r>
      <w:r>
        <w:br w:type="page"/>
      </w:r>
    </w:p>
    <w:p>
      <w:pPr>
        <w:pStyle w:val="Heading2"/>
        <w:spacing w:before="0" w:after="150"/>
        <w:rPr/>
      </w:pPr>
      <w:r>
        <w:rPr/>
        <w:t>Annexe E : Modèle de CV des intervenants clés</w:t>
      </w:r>
    </w:p>
    <w:p>
      <w:pPr>
        <w:pStyle w:val="Normal"/>
        <w:spacing w:before="120" w:after="120"/>
        <w:rPr/>
      </w:pPr>
      <w:r>
        <w:rPr/>
        <w:t>Les candidats fourniront les CV des intervenants clés (minimum 5 CV) : Directeur de projet, Chef de projet, Architecte solution, et consultants seniors des domaines fonctionnels principaux.</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Section</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Informations attendues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Identification</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Nom, prénom, rôle proposé sur le projet, années d'expérience totale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Formation</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Diplômes, certifications professionnelles (ERP, gestion de projet)</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Compétences clés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Domaines fonctionnels maîtrisés, modules de la solution, compétences techniques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Expérience sectorielle</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Expérience retail, distribution, e-commerce (années, types de projets)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Références projets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3 à 5 projets significatifs : client, contexte, rôle, réalisations, durée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Disponibilité</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Date de disponibilité, taux d'affectation prévu, localisation</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Langues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Français (obligatoire), anglais (niveau), autres langues</w:t>
            </w:r>
          </w:p>
        </w:tc>
      </w:tr>
    </w:tbl>
    <w:p>
      <w:pPr>
        <w:pStyle w:val="Normal"/>
        <w:rPr/>
      </w:pPr>
      <w:r>
        <w:rPr/>
      </w:r>
      <w:r>
        <w:br w:type="page"/>
      </w:r>
    </w:p>
    <w:p>
      <w:pPr>
        <w:pStyle w:val="Heading2"/>
        <w:spacing w:before="0" w:after="150"/>
        <w:rPr/>
      </w:pPr>
      <w:r>
        <w:rPr/>
        <w:t>Annexe F : Fiche de référence client</w:t>
      </w:r>
    </w:p>
    <w:p>
      <w:pPr>
        <w:pStyle w:val="Normal"/>
        <w:spacing w:before="120" w:after="120"/>
        <w:rPr/>
      </w:pPr>
      <w:r>
        <w:rPr/>
        <w:t>Les candidats fourniront au minimum 5 fiches de référence pour des projets ERP réalisés dans le secteur retail ou distribution. Au moins une référence devra concerner un déploiement international multi-pays en Europe.</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Rubrique</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Contenu attendu</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Client</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Nom de l'entreprise, secteur d'activité, taille (CA, effectif), implantation géographique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Contexte du projet</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Enjeux, objectifs, système remplacé, contraintes particulières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Périmètre fonctionnel</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Modules déployés, processus couverts, nombre de pays/sites, nombre d'utilisateurs</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Déroulement du projet</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Dates (début, go-live), durée, phases, méthodologie, équipe mobilisée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Réalisations spécifiques</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Développements, intégrations, migration de données, conduite du changement</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Résultats et bénéfices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Résultats quantifiés, bénéfices métiers obtenus, satisfaction client</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Contact référent</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Nom, fonction, coordonnées (avec accord préalable pour contact)</w:t>
            </w:r>
          </w:p>
        </w:tc>
      </w:tr>
    </w:tbl>
    <w:p>
      <w:pPr>
        <w:pStyle w:val="Normal"/>
        <w:rPr/>
      </w:pPr>
      <w:r>
        <w:rPr/>
      </w:r>
      <w:r>
        <w:br w:type="page"/>
      </w:r>
    </w:p>
    <w:p>
      <w:pPr>
        <w:pStyle w:val="Heading2"/>
        <w:spacing w:before="0" w:after="150"/>
        <w:rPr/>
      </w:pPr>
      <w:r>
        <w:rPr/>
        <w:t>Annexe G : Cartographie applicative actuelle</w:t>
      </w:r>
    </w:p>
    <w:p>
      <w:pPr>
        <w:pStyle w:val="Normal"/>
        <w:spacing w:before="120" w:after="120"/>
        <w:rPr/>
      </w:pPr>
      <w:r>
        <w:rPr/>
        <w:t>Cette annexe présente la cartographie du système d'information actuel du Groupe Retail Horizon pour permettre aux candidats de comprendre l'écosystème applicatif.</w:t>
      </w:r>
    </w:p>
    <w:tbl>
      <w:tblPr>
        <w:tblW w:w="5000" w:type="pct"/>
        <w:jc w:val="left"/>
        <w:tblInd w:w="0" w:type="dxa"/>
        <w:tblLayout w:type="fixed"/>
        <w:tblCellMar>
          <w:top w:w="80" w:type="dxa"/>
          <w:left w:w="120" w:type="dxa"/>
          <w:bottom w:w="80" w:type="dxa"/>
          <w:right w:w="120" w:type="dxa"/>
        </w:tblCellMar>
      </w:tblPr>
      <w:tblGrid>
        <w:gridCol w:w="2256"/>
        <w:gridCol w:w="2256"/>
        <w:gridCol w:w="2257"/>
        <w:gridCol w:w="2256"/>
      </w:tblGrid>
      <w:tr>
        <w:trPr/>
        <w:tc>
          <w:tcPr>
            <w:tcW w:w="225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Domaine</w:t>
            </w:r>
          </w:p>
        </w:tc>
        <w:tc>
          <w:tcPr>
            <w:tcW w:w="225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Application</w:t>
            </w:r>
          </w:p>
        </w:tc>
        <w:tc>
          <w:tcPr>
            <w:tcW w:w="2257"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Éditeur</w:t>
            </w:r>
          </w:p>
        </w:tc>
        <w:tc>
          <w:tcPr>
            <w:tcW w:w="2256"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Évolution</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ERP actuel</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SAP ECC 6.0</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SAP</w:t>
            </w:r>
          </w:p>
        </w:tc>
        <w:tc>
          <w:tcPr>
            <w:tcW w:w="2256" w:type="dxa"/>
            <w:tcBorders>
              <w:top w:val="single" w:sz="2" w:space="0" w:color="CCCCCC"/>
              <w:left w:val="single" w:sz="2" w:space="0" w:color="CCCCCC"/>
              <w:bottom w:val="single" w:sz="2" w:space="0" w:color="CCCCCC"/>
              <w:right w:val="single" w:sz="2" w:space="0" w:color="CCCCCC"/>
            </w:tcBorders>
            <w:shd w:fill="FFC7CE" w:val="clear"/>
          </w:tcPr>
          <w:p>
            <w:pPr>
              <w:pStyle w:val="Normal"/>
              <w:rPr/>
            </w:pPr>
            <w:r>
              <w:rPr>
                <w:color w:val="9C0006"/>
              </w:rPr>
              <w:t>Remplacement</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E-commerce</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Salesforce Commerce Cloud</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Salesforce</w:t>
            </w:r>
          </w:p>
        </w:tc>
        <w:tc>
          <w:tcPr>
            <w:tcW w:w="2256"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color w:val="006100"/>
              </w:rPr>
              <w:t>Conservation</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Caisses magasin</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Cegid Retail Y2</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Cegid</w:t>
            </w:r>
          </w:p>
        </w:tc>
        <w:tc>
          <w:tcPr>
            <w:tcW w:w="2256"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color w:val="006100"/>
              </w:rPr>
              <w:t>Conservation</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WMS Entrepôts</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Manhattan SCALE</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Manhattan Associates</w:t>
            </w:r>
          </w:p>
        </w:tc>
        <w:tc>
          <w:tcPr>
            <w:tcW w:w="2256"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color w:val="006100"/>
              </w:rPr>
              <w:t>Conservation</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CRM</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Salesforce Sales &amp; Service</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Salesforce</w:t>
            </w:r>
          </w:p>
        </w:tc>
        <w:tc>
          <w:tcPr>
            <w:tcW w:w="2256"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color w:val="006100"/>
              </w:rPr>
              <w:t>Conservation</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BI / Analytics</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Tableau + Snowflake</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Tableau / Snowflake</w:t>
            </w:r>
          </w:p>
        </w:tc>
        <w:tc>
          <w:tcPr>
            <w:tcW w:w="2256"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color w:val="006100"/>
              </w:rPr>
              <w:t>Conservation</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SIRH</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Workday</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Workday</w:t>
            </w:r>
          </w:p>
        </w:tc>
        <w:tc>
          <w:tcPr>
            <w:tcW w:w="2256"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color w:val="006100"/>
              </w:rPr>
              <w:t>Conservation</w:t>
            </w:r>
          </w:p>
        </w:tc>
      </w:tr>
      <w:tr>
        <w:trPr/>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ESB / Intégration</w:t>
            </w:r>
          </w:p>
        </w:tc>
        <w:tc>
          <w:tcPr>
            <w:tcW w:w="2256"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MuleSoft Anypoint</w:t>
            </w:r>
          </w:p>
        </w:tc>
        <w:tc>
          <w:tcPr>
            <w:tcW w:w="2257"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Salesforce</w:t>
            </w:r>
          </w:p>
        </w:tc>
        <w:tc>
          <w:tcPr>
            <w:tcW w:w="2256"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color w:val="006100"/>
              </w:rPr>
              <w:t>Conservation</w:t>
            </w:r>
          </w:p>
        </w:tc>
      </w:tr>
      <w:tr>
        <w:trPr/>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PIM</w:t>
            </w:r>
          </w:p>
        </w:tc>
        <w:tc>
          <w:tcPr>
            <w:tcW w:w="2256" w:type="dxa"/>
            <w:tcBorders>
              <w:top w:val="single" w:sz="2" w:space="0" w:color="CCCCCC"/>
              <w:left w:val="single" w:sz="2" w:space="0" w:color="CCCCCC"/>
              <w:bottom w:val="single" w:sz="2" w:space="0" w:color="CCCCCC"/>
              <w:right w:val="single" w:sz="2" w:space="0" w:color="CCCCCC"/>
            </w:tcBorders>
          </w:tcPr>
          <w:p>
            <w:pPr>
              <w:pStyle w:val="Normal"/>
              <w:rPr/>
            </w:pPr>
            <w:r>
              <w:rPr/>
              <w:t>Akeneo PIM</w:t>
            </w:r>
          </w:p>
        </w:tc>
        <w:tc>
          <w:tcPr>
            <w:tcW w:w="2257" w:type="dxa"/>
            <w:tcBorders>
              <w:top w:val="single" w:sz="2" w:space="0" w:color="CCCCCC"/>
              <w:left w:val="single" w:sz="2" w:space="0" w:color="CCCCCC"/>
              <w:bottom w:val="single" w:sz="2" w:space="0" w:color="CCCCCC"/>
              <w:right w:val="single" w:sz="2" w:space="0" w:color="CCCCCC"/>
            </w:tcBorders>
          </w:tcPr>
          <w:p>
            <w:pPr>
              <w:pStyle w:val="Normal"/>
              <w:rPr/>
            </w:pPr>
            <w:r>
              <w:rPr/>
              <w:t>Akeneo</w:t>
            </w:r>
          </w:p>
        </w:tc>
        <w:tc>
          <w:tcPr>
            <w:tcW w:w="2256" w:type="dxa"/>
            <w:tcBorders>
              <w:top w:val="single" w:sz="2" w:space="0" w:color="CCCCCC"/>
              <w:left w:val="single" w:sz="2" w:space="0" w:color="CCCCCC"/>
              <w:bottom w:val="single" w:sz="2" w:space="0" w:color="CCCCCC"/>
              <w:right w:val="single" w:sz="2" w:space="0" w:color="CCCCCC"/>
            </w:tcBorders>
            <w:shd w:fill="C6EFCE" w:val="clear"/>
          </w:tcPr>
          <w:p>
            <w:pPr>
              <w:pStyle w:val="Normal"/>
              <w:rPr/>
            </w:pPr>
            <w:r>
              <w:rPr>
                <w:color w:val="006100"/>
              </w:rPr>
              <w:t>Conservation</w:t>
            </w:r>
          </w:p>
        </w:tc>
      </w:tr>
    </w:tbl>
    <w:p>
      <w:pPr>
        <w:pStyle w:val="Normal"/>
        <w:rPr/>
      </w:pPr>
      <w:r>
        <w:rPr/>
      </w:r>
      <w:r>
        <w:br w:type="page"/>
      </w:r>
    </w:p>
    <w:p>
      <w:pPr>
        <w:pStyle w:val="Heading2"/>
        <w:spacing w:before="0" w:after="150"/>
        <w:rPr/>
      </w:pPr>
      <w:r>
        <w:rPr/>
        <w:t>Annexe H : Glossaire et acronymes</w:t>
      </w:r>
    </w:p>
    <w:p>
      <w:pPr>
        <w:pStyle w:val="Normal"/>
        <w:spacing w:before="120" w:after="120"/>
        <w:rPr/>
      </w:pPr>
      <w:r>
        <w:rPr/>
        <w:t>Ce glossaire définit les termes et acronymes utilisés dans le cahier des charges.</w:t>
      </w:r>
    </w:p>
    <w:tbl>
      <w:tblPr>
        <w:tblW w:w="5000" w:type="pct"/>
        <w:jc w:val="left"/>
        <w:tblInd w:w="0" w:type="dxa"/>
        <w:tblLayout w:type="fixed"/>
        <w:tblCellMar>
          <w:top w:w="80" w:type="dxa"/>
          <w:left w:w="120" w:type="dxa"/>
          <w:bottom w:w="80" w:type="dxa"/>
          <w:right w:w="120" w:type="dxa"/>
        </w:tblCellMar>
      </w:tblPr>
      <w:tblGrid>
        <w:gridCol w:w="4512"/>
        <w:gridCol w:w="4513"/>
      </w:tblGrid>
      <w:tr>
        <w:trPr/>
        <w:tc>
          <w:tcPr>
            <w:tcW w:w="451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Terme</w:t>
            </w:r>
          </w:p>
        </w:tc>
        <w:tc>
          <w:tcPr>
            <w:tcW w:w="4513"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Définition</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API</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Application Programming Interface - Interface de programmation applicative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B2B / B2C</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Business to Business / Consumer - Commerce inter-entreprises / vers consommateur</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BI</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Business Intelligence - Informatique décisionnelle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CRM</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Customer Relationship Management - Gestion de la relation client</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EDI</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Electronic Data Interchange - Échange de données informatisé</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ERP</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Enterprise Resource Planning - Progiciel de gestion intégré (PGI)</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ESB</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Enterprise Service Bus - Bus de services d'entreprise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MFA</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Multi-Factor Authentication - Authentification multi-facteurs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PCA / PRA</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Plan de Continuité / Reprise d'Activité</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PIM</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Product Information Management - Gestion des informations produits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PoC</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Proof of Concept - Démonstration de faisabilité</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RGPD</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Règlement Général sur la Protection des Données</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RTO / RPO</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Recovery Time / Point Objective - Délai / Point de reprise objectif</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SaaS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Software as a Service - Logiciel en tant que service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SLA</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Service Level Agreement - Accord de niveau de service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SKU</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Stock Keeping Unit - Unité de gestion de stock (référence article)</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SSO</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Single Sign-On - Authentification unique</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TCO</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Total Cost of Ownership - Coût total de possession</w:t>
            </w:r>
          </w:p>
        </w:tc>
      </w:tr>
      <w:tr>
        <w:trPr/>
        <w:tc>
          <w:tcPr>
            <w:tcW w:w="4512" w:type="dxa"/>
            <w:tcBorders>
              <w:top w:val="single" w:sz="2" w:space="0" w:color="CCCCCC"/>
              <w:left w:val="single" w:sz="2" w:space="0" w:color="CCCCCC"/>
              <w:bottom w:val="single" w:sz="2" w:space="0" w:color="CCCCCC"/>
              <w:right w:val="single" w:sz="2" w:space="0" w:color="CCCCCC"/>
            </w:tcBorders>
          </w:tcPr>
          <w:p>
            <w:pPr>
              <w:pStyle w:val="Normal"/>
              <w:rPr/>
            </w:pPr>
            <w:r>
              <w:rPr/>
              <w:t>UAT</w:t>
            </w:r>
          </w:p>
        </w:tc>
        <w:tc>
          <w:tcPr>
            <w:tcW w:w="4513" w:type="dxa"/>
            <w:tcBorders>
              <w:top w:val="single" w:sz="2" w:space="0" w:color="CCCCCC"/>
              <w:left w:val="single" w:sz="2" w:space="0" w:color="CCCCCC"/>
              <w:bottom w:val="single" w:sz="2" w:space="0" w:color="CCCCCC"/>
              <w:right w:val="single" w:sz="2" w:space="0" w:color="CCCCCC"/>
            </w:tcBorders>
          </w:tcPr>
          <w:p>
            <w:pPr>
              <w:pStyle w:val="Normal"/>
              <w:rPr/>
            </w:pPr>
            <w:r>
              <w:rPr/>
              <w:t>User Acceptance Testing - Recette utilisateur</w:t>
            </w:r>
          </w:p>
        </w:tc>
      </w:tr>
      <w:tr>
        <w:trPr/>
        <w:tc>
          <w:tcPr>
            <w:tcW w:w="4512"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WMS</w:t>
            </w:r>
          </w:p>
        </w:tc>
        <w:tc>
          <w:tcPr>
            <w:tcW w:w="4513"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Warehouse Management System - Système de gestion d'entrepôt</w:t>
            </w:r>
          </w:p>
        </w:tc>
      </w:tr>
    </w:tbl>
    <w:p>
      <w:pPr>
        <w:pStyle w:val="Normal"/>
        <w:rPr/>
      </w:pPr>
      <w:r>
        <w:rPr/>
      </w:r>
      <w:r>
        <w:br w:type="page"/>
      </w:r>
    </w:p>
    <w:p>
      <w:pPr>
        <w:pStyle w:val="Heading2"/>
        <w:spacing w:before="0" w:after="150"/>
        <w:rPr/>
      </w:pPr>
      <w:r>
        <w:rPr/>
        <w:t>Annexe I : Accord de confidentialité (NDA)</w:t>
      </w:r>
    </w:p>
    <w:p>
      <w:pPr>
        <w:pStyle w:val="Normal"/>
        <w:spacing w:before="120" w:after="120"/>
        <w:rPr/>
      </w:pPr>
      <w:r>
        <w:rPr/>
        <w:t>Tout candidat souhaitant participer devra signer l'accord de confidentialité joint. L'accord couvre l'ensemble des informations communiquées : cahier des charges, documents complémentaires, réponses aux questions, informations lors des présentations. La durée de l'engagement est de 5 ans. L'accord signé sera retourné avec la proposition.</w:t>
      </w:r>
    </w:p>
    <w:p>
      <w:pPr>
        <w:pStyle w:val="Heading2"/>
        <w:rPr/>
      </w:pPr>
      <w:r>
        <w:rPr/>
        <w:t>Annexe J : Projet de contrat-cadre</w:t>
      </w:r>
    </w:p>
    <w:p>
      <w:pPr>
        <w:pStyle w:val="Normal"/>
        <w:spacing w:before="120" w:after="120"/>
        <w:rPr/>
      </w:pPr>
      <w:r>
        <w:rPr/>
        <w:t>Le projet de contrat-cadre joint présente les principales clauses contractuelles envisagées. Les candidats examineront ce document et indiqueront leur acceptation ou leurs réserves motivées.</w:t>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c>
          <w:tcPr>
            <w:tcW w:w="300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Article</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Intitulé</w:t>
            </w:r>
          </w:p>
        </w:tc>
        <w:tc>
          <w:tcPr>
            <w:tcW w:w="300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b/>
                <w:bCs/>
                <w:color w:val="FFFFFF"/>
              </w:rPr>
              <w:t>Points d'attention</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1</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Objet et périmètre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Définition précise du périmètre</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2</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Durée et renouvellement</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5 ans + renouvellement 2 ans</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3</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Obligations du prestataire</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Moyens vs résultats</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4</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Obligations du client</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Prérequis, disponibilité équipes</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5</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Conditions financières</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Indexation, révision annuelle</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6</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Propriété intellectuelle</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Développements spécifiques</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7</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Confidentialité</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5 ans post-contrat</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8</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Protection des données (RGPD)</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Clauses sous-traitant</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9</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Responsabilité et assurances</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Plafonds, RC Pro 10M€</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10</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Réversibilité</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6 mois assistance minimum</w:t>
            </w:r>
          </w:p>
        </w:tc>
      </w:tr>
      <w:tr>
        <w:trPr/>
        <w:tc>
          <w:tcPr>
            <w:tcW w:w="3008" w:type="dxa"/>
            <w:tcBorders>
              <w:top w:val="single" w:sz="2" w:space="0" w:color="CCCCCC"/>
              <w:left w:val="single" w:sz="2" w:space="0" w:color="CCCCCC"/>
              <w:bottom w:val="single" w:sz="2" w:space="0" w:color="CCCCCC"/>
              <w:right w:val="single" w:sz="2" w:space="0" w:color="CCCCCC"/>
            </w:tcBorders>
          </w:tcPr>
          <w:p>
            <w:pPr>
              <w:pStyle w:val="Normal"/>
              <w:rPr/>
            </w:pPr>
            <w:r>
              <w:rPr/>
              <w:t>11</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Résiliation</w:t>
            </w:r>
          </w:p>
        </w:tc>
        <w:tc>
          <w:tcPr>
            <w:tcW w:w="3009" w:type="dxa"/>
            <w:tcBorders>
              <w:top w:val="single" w:sz="2" w:space="0" w:color="CCCCCC"/>
              <w:left w:val="single" w:sz="2" w:space="0" w:color="CCCCCC"/>
              <w:bottom w:val="single" w:sz="2" w:space="0" w:color="CCCCCC"/>
              <w:right w:val="single" w:sz="2" w:space="0" w:color="CCCCCC"/>
            </w:tcBorders>
          </w:tcPr>
          <w:p>
            <w:pPr>
              <w:pStyle w:val="Normal"/>
              <w:rPr/>
            </w:pPr>
            <w:r>
              <w:rPr/>
              <w:t>Pour faute, pour convenance</w:t>
            </w:r>
          </w:p>
        </w:tc>
      </w:tr>
      <w:tr>
        <w:trPr/>
        <w:tc>
          <w:tcPr>
            <w:tcW w:w="300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12</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Litiges et droit applicable</w:t>
            </w:r>
          </w:p>
        </w:tc>
        <w:tc>
          <w:tcPr>
            <w:tcW w:w="300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Droit français, tribunaux Paris</w:t>
            </w:r>
          </w:p>
        </w:tc>
      </w:tr>
    </w:tbl>
    <w:p>
      <w:pPr>
        <w:pStyle w:val="Normal"/>
        <w:spacing w:before="300" w:after="200"/>
        <w:jc w:val="center"/>
        <w:rPr/>
      </w:pPr>
      <w:r>
        <w:rPr>
          <w:b/>
          <w:bCs/>
          <w:color w:val="1F4E79"/>
          <w:sz w:val="28"/>
          <w:szCs w:val="28"/>
        </w:rPr>
        <w:t xml:space="preserve">— </w:t>
      </w:r>
      <w:r>
        <w:rPr>
          <w:b/>
          <w:bCs/>
          <w:color w:val="1F4E79"/>
          <w:sz w:val="28"/>
          <w:szCs w:val="28"/>
        </w:rPr>
        <w:t>Fin du Cahier des Charges —</w:t>
      </w:r>
    </w:p>
    <w:p>
      <w:pPr>
        <w:pStyle w:val="Normal"/>
        <w:spacing w:before="200" w:after="50"/>
        <w:jc w:val="center"/>
        <w:rPr/>
      </w:pPr>
      <w:r>
        <w:rPr>
          <w:i/>
          <w:iCs/>
          <w:sz w:val="22"/>
          <w:szCs w:val="22"/>
        </w:rPr>
        <w:t>Groupe Retail Horizon</w:t>
      </w:r>
    </w:p>
    <w:p>
      <w:pPr>
        <w:pStyle w:val="Normal"/>
        <w:spacing w:before="50" w:after="50"/>
        <w:jc w:val="center"/>
        <w:rPr/>
      </w:pPr>
      <w:r>
        <w:rPr>
          <w:i/>
          <w:iCs/>
          <w:sz w:val="20"/>
          <w:szCs w:val="20"/>
        </w:rPr>
        <w:t>Direction des Systèmes d'Information</w:t>
      </w:r>
    </w:p>
    <w:p>
      <w:pPr>
        <w:pStyle w:val="Normal"/>
        <w:spacing w:before="50" w:after="0"/>
        <w:jc w:val="center"/>
        <w:rPr/>
      </w:pPr>
      <w:r>
        <w:rPr>
          <w:i/>
          <w:iCs/>
          <w:sz w:val="20"/>
          <w:szCs w:val="20"/>
        </w:rPr>
        <w:t>Janvier 2026</w:t>
      </w:r>
    </w:p>
    <w:p>
      <w:pPr>
        <w:pStyle w:val="Normal"/>
        <w:spacing w:before="120" w:after="120"/>
        <w:rPr/>
      </w:pPr>
      <w:r>
        <w:rPr/>
      </w:r>
    </w:p>
    <w:p>
      <w:pPr>
        <w:pStyle w:val="Normal"/>
        <w:spacing w:before="12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73</w:t>
    </w:r>
    <w:r>
      <w:rPr/>
      <w:fldChar w:fldCharType="end"/>
    </w:r>
    <w:r>
      <w:rPr>
        <w:sz w:val="18"/>
        <w:szCs w:val="18"/>
      </w:rPr>
      <w:t xml:space="preserve"> sur </w:t>
    </w:r>
    <w:r>
      <w:rPr/>
      <w:fldChar w:fldCharType="begin"/>
    </w:r>
    <w:r>
      <w:rPr/>
      <w:instrText xml:space="preserve"> NUMPAGES </w:instrText>
    </w:r>
    <w:r>
      <w:rPr/>
      <w:fldChar w:fldCharType="separate"/>
    </w:r>
    <w:r>
      <w:rPr/>
      <w:t>73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73</w:t>
    </w:r>
    <w:r>
      <w:rPr/>
      <w:fldChar w:fldCharType="end"/>
    </w:r>
    <w:r>
      <w:rPr>
        <w:sz w:val="18"/>
        <w:szCs w:val="18"/>
      </w:rPr>
      <w:t xml:space="preserve"> sur </w:t>
    </w:r>
    <w:r>
      <w:rPr/>
      <w:fldChar w:fldCharType="begin"/>
    </w:r>
    <w:r>
      <w:rPr/>
      <w:instrText xml:space="preserve"> NUMPAGES </w:instrText>
    </w:r>
    <w:r>
      <w:rPr/>
      <w:fldChar w:fldCharType="separate"/>
    </w:r>
    <w:r>
      <w:rPr/>
      <w:t>73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CONFIDENTIEL - Appel d'Offres ERP N° AO-2026-ERP-001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CONFIDENTIEL - Appel d'Offres ERP N° AO-2026-ERP-001</w: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200"/>
      <w:outlineLvl w:val="0"/>
    </w:pPr>
    <w:rPr>
      <w:rFonts w:ascii="Arial" w:hAnsi="Arial" w:eastAsia="Arial" w:cs="Arial"/>
      <w:b/>
      <w:bCs/>
      <w:color w:val="1F4E79"/>
      <w:sz w:val="32"/>
      <w:szCs w:val="32"/>
    </w:rPr>
  </w:style>
  <w:style w:type="paragraph" w:styleId="Heading2">
    <w:name w:val="Heading 2"/>
    <w:basedOn w:val="Titre"/>
    <w:qFormat/>
    <w:pPr>
      <w:spacing w:before="300" w:after="150"/>
      <w:outlineLvl w:val="1"/>
    </w:pPr>
    <w:rPr>
      <w:rFonts w:ascii="Arial" w:hAnsi="Arial" w:eastAsia="Arial" w:cs="Arial"/>
      <w:b/>
      <w:bCs/>
      <w:color w:val="2E75B6"/>
      <w:sz w:val="26"/>
      <w:szCs w:val="26"/>
    </w:rPr>
  </w:style>
  <w:style w:type="paragraph" w:styleId="Heading3">
    <w:name w:val="Heading 3"/>
    <w:basedOn w:val="Titre"/>
    <w:qFormat/>
    <w:pPr>
      <w:spacing w:before="240" w:after="120"/>
      <w:outlineLvl w:val="2"/>
    </w:pPr>
    <w:rPr>
      <w:rFonts w:ascii="Arial" w:hAnsi="Arial" w:eastAsia="Arial" w:cs="Arial"/>
      <w:b/>
      <w:bCs/>
      <w:color w:val="404040"/>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spacing w:before="0" w:after="400"/>
      <w:jc w:val="center"/>
    </w:pPr>
    <w:rPr>
      <w:rFonts w:ascii="Arial" w:hAnsi="Arial" w:eastAsia="Arial" w:cs="Arial"/>
      <w:b/>
      <w:bCs/>
      <w:color w:val="1F4E79"/>
      <w:sz w:val="48"/>
      <w:szCs w:val="48"/>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TotalTime>
  <Application>LibreOffice/24.2.7.2$Linux_X86_64 LibreOffice_project/420$Build-2</Application>
  <AppVersion>15.0000</AppVersion>
  <Pages>73</Pages>
  <Words>26774</Words>
  <Characters>162991</Characters>
  <CharactersWithSpaces>188310</CharactersWithSpaces>
  <Paragraphs>1451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2026-01-13T09:36:17Z</dcterms:created>
  <dc:creator>Un-named</dc:creator>
  <dc:description/>
  <dc:language>fr-FR</dc:language>
  <cp:lastModifiedBy/>
  <dcterms:modified xsi:type="dcterms:W3CDTF">2026-01-13T17:20:46Z</dcterms:modified>
  <cp:revision>2</cp:revision>
  <dc:subject/>
  <dc:title/>
</cp:coreProperties>
</file>