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A1F93" w14:textId="77777777" w:rsidR="006234B2" w:rsidRPr="00C304F8" w:rsidRDefault="003271B1" w:rsidP="00C304F8">
      <w:pPr>
        <w:rPr>
          <w:b/>
        </w:rPr>
      </w:pPr>
      <w:r w:rsidRPr="00C304F8">
        <w:rPr>
          <w:b/>
        </w:rPr>
        <w:t>INTRODUCTION</w:t>
      </w:r>
    </w:p>
    <w:p w14:paraId="3A2BC6D8" w14:textId="1AC62471" w:rsidR="004C0C87" w:rsidRDefault="00475520" w:rsidP="002576FB">
      <w:pPr>
        <w:spacing w:line="480" w:lineRule="auto"/>
        <w:ind w:firstLine="720"/>
      </w:pPr>
      <w:r>
        <w:t xml:space="preserve">The mass extinction that had the most detrimental effects on </w:t>
      </w:r>
      <w:r w:rsidR="003C5E86">
        <w:t>marine bio</w:t>
      </w:r>
      <w:r>
        <w:t>diversity across the globe came at the end of the Permian period</w:t>
      </w:r>
      <w:r w:rsidR="00191150">
        <w:t xml:space="preserve"> </w:t>
      </w:r>
      <w:r>
        <w:t>(</w:t>
      </w:r>
      <w:r w:rsidR="003C5E86">
        <w:t>Sepkoski 1981</w:t>
      </w:r>
      <w:r>
        <w:t xml:space="preserve">). </w:t>
      </w:r>
      <w:r w:rsidR="00EA32FD">
        <w:t>There are extensive and diverse ecological communities covering the globe, and each of these may be affected differently based on what type of environmental changes they encounter</w:t>
      </w:r>
      <w:r w:rsidR="00191150">
        <w:t xml:space="preserve"> </w:t>
      </w:r>
      <w:r w:rsidR="00F13921">
        <w:t>(</w:t>
      </w:r>
      <w:r w:rsidR="007175CE">
        <w:t>Walther et al.</w:t>
      </w:r>
      <w:r w:rsidR="0028539E">
        <w:t xml:space="preserve"> 2002</w:t>
      </w:r>
      <w:r w:rsidR="00F13921">
        <w:t>)</w:t>
      </w:r>
      <w:r w:rsidR="0074256C">
        <w:t>.</w:t>
      </w:r>
      <w:r w:rsidR="00EA32FD">
        <w:t xml:space="preserve"> </w:t>
      </w:r>
      <w:r w:rsidR="00F13921">
        <w:t xml:space="preserve">If we </w:t>
      </w:r>
      <w:r w:rsidR="005E45CD">
        <w:t>could understand what organisms</w:t>
      </w:r>
      <w:r w:rsidR="00F13921">
        <w:t xml:space="preserve"> would be the</w:t>
      </w:r>
      <w:r w:rsidR="005E45CD">
        <w:t xml:space="preserve"> most susceptible to rapid environmental change</w:t>
      </w:r>
      <w:r w:rsidR="00F13921">
        <w:t xml:space="preserve"> based on previous extinctions, we may be able to focus our resources on preserving the species of these communities.</w:t>
      </w:r>
      <w:r w:rsidR="002576FB">
        <w:t xml:space="preserve"> </w:t>
      </w:r>
      <w:r w:rsidR="00F13921">
        <w:t>My objective is to us</w:t>
      </w:r>
      <w:r w:rsidR="00F26EBE">
        <w:t>e the Permo-Triassic extinction</w:t>
      </w:r>
      <w:r w:rsidR="00F13921">
        <w:t xml:space="preserve"> to look at the changes </w:t>
      </w:r>
      <w:r w:rsidR="0074256C">
        <w:t>in diversity experi</w:t>
      </w:r>
      <w:r w:rsidR="00C304F8">
        <w:t>enced between tropical and extratropical latitudes</w:t>
      </w:r>
      <w:r w:rsidR="0074256C">
        <w:t xml:space="preserve"> from </w:t>
      </w:r>
      <w:r w:rsidR="00F13921">
        <w:t>the La</w:t>
      </w:r>
      <w:r w:rsidR="0074256C">
        <w:t xml:space="preserve">te Permian and Early Triassic. </w:t>
      </w:r>
      <w:r w:rsidR="002576FB">
        <w:t xml:space="preserve">I hypothesize </w:t>
      </w:r>
      <w:r w:rsidR="002A25E3">
        <w:t>that there</w:t>
      </w:r>
      <w:r w:rsidR="00C304F8">
        <w:t xml:space="preserve"> will</w:t>
      </w:r>
      <w:r w:rsidR="002A25E3">
        <w:t xml:space="preserve"> be higher</w:t>
      </w:r>
      <w:r w:rsidR="004265A3">
        <w:t xml:space="preserve"> rates of survivorship in</w:t>
      </w:r>
      <w:r w:rsidR="006D4590">
        <w:t xml:space="preserve"> extra</w:t>
      </w:r>
      <w:r w:rsidR="002A25E3">
        <w:t>tropical climates than tropical climates</w:t>
      </w:r>
      <w:r w:rsidR="002576FB">
        <w:t>.</w:t>
      </w:r>
    </w:p>
    <w:p w14:paraId="2F0A5D28" w14:textId="35625019" w:rsidR="003801CF" w:rsidRDefault="003801CF" w:rsidP="003801CF">
      <w:pPr>
        <w:spacing w:line="480" w:lineRule="auto"/>
        <w:rPr>
          <w:b/>
        </w:rPr>
      </w:pPr>
      <w:r w:rsidRPr="003801CF">
        <w:rPr>
          <w:b/>
        </w:rPr>
        <w:t>JUSTIFICATION</w:t>
      </w:r>
    </w:p>
    <w:p w14:paraId="2CEF4D8F" w14:textId="5C24C7E4" w:rsidR="002700B7" w:rsidRDefault="00AE7B66" w:rsidP="00443CE2">
      <w:pPr>
        <w:spacing w:line="480" w:lineRule="auto"/>
        <w:ind w:firstLine="720"/>
      </w:pPr>
      <w:r>
        <w:t>The extinction at the end of the Permian period was the worst mass extinction of the Phanerozoic wit</w:t>
      </w:r>
      <w:r w:rsidR="00B92F92">
        <w:t>h the loss of more than 90% of marine species</w:t>
      </w:r>
      <w:r w:rsidR="007175CE">
        <w:t xml:space="preserve"> (Benton &amp; Twitchett 2003, </w:t>
      </w:r>
      <w:r w:rsidR="00B92F92">
        <w:t>Jin et al. 2000</w:t>
      </w:r>
      <w:r w:rsidR="007175CE">
        <w:t>, Clarkson et al. 2015)</w:t>
      </w:r>
      <w:r>
        <w:t xml:space="preserve">. </w:t>
      </w:r>
      <w:r w:rsidR="002700B7">
        <w:t xml:space="preserve">There are many hypotheses as to what caused the end-Permian extinction event, but the most likely candidates are related to volcanism from the Siberian </w:t>
      </w:r>
      <w:r w:rsidR="00757D2C">
        <w:t>Traps</w:t>
      </w:r>
      <w:r w:rsidR="007175CE">
        <w:t xml:space="preserve"> </w:t>
      </w:r>
      <w:r w:rsidR="00757D2C">
        <w:t xml:space="preserve">releasing massive amounts of greenhouse gases into the atmosphere </w:t>
      </w:r>
      <w:r w:rsidR="007175CE">
        <w:t>(Benton &amp; Twitchett</w:t>
      </w:r>
      <w:r w:rsidR="000D324C">
        <w:t xml:space="preserve"> 2003</w:t>
      </w:r>
      <w:r w:rsidR="007175CE">
        <w:t>, Clarkson et al. 2015</w:t>
      </w:r>
      <w:r w:rsidR="002700B7">
        <w:t xml:space="preserve">). It </w:t>
      </w:r>
      <w:r w:rsidR="004265A3">
        <w:t>has been suggested that the end-</w:t>
      </w:r>
      <w:r w:rsidR="002700B7">
        <w:t>Permian event</w:t>
      </w:r>
      <w:r w:rsidR="003C5E86">
        <w:t xml:space="preserve"> could be an analog for our curr</w:t>
      </w:r>
      <w:r w:rsidR="00757D2C">
        <w:t xml:space="preserve">ent global conditions </w:t>
      </w:r>
      <w:r w:rsidR="003C5E86">
        <w:t xml:space="preserve">(Payne &amp; Clapham 2012). Of particular interest to this study is the impact that this volcanism </w:t>
      </w:r>
      <w:r w:rsidR="00757D2C">
        <w:t xml:space="preserve">and the </w:t>
      </w:r>
      <w:r w:rsidR="009B6C62">
        <w:t xml:space="preserve">volcanic </w:t>
      </w:r>
      <w:r w:rsidR="00757D2C">
        <w:t xml:space="preserve">gases released </w:t>
      </w:r>
      <w:r w:rsidR="003C5E86">
        <w:t>had on the oceans. Two very important factors likely played a role in the decl</w:t>
      </w:r>
      <w:r w:rsidR="002A25E3">
        <w:t>ine of</w:t>
      </w:r>
      <w:r w:rsidR="003C5E86">
        <w:t xml:space="preserve"> biodiversity: ocean anoxia and ocean acidification (</w:t>
      </w:r>
      <w:r w:rsidR="007175CE">
        <w:t>Wignall &amp; Hallam</w:t>
      </w:r>
      <w:r w:rsidR="003535EF">
        <w:t xml:space="preserve"> 1992</w:t>
      </w:r>
      <w:r w:rsidR="00240CE8">
        <w:t xml:space="preserve">, </w:t>
      </w:r>
      <w:r w:rsidR="007175CE">
        <w:t>Wignall &amp; Twitchett</w:t>
      </w:r>
      <w:r w:rsidR="003C5E86">
        <w:t xml:space="preserve"> 1996</w:t>
      </w:r>
      <w:r w:rsidR="00240CE8">
        <w:t>,</w:t>
      </w:r>
      <w:r w:rsidR="007175CE">
        <w:t xml:space="preserve"> Clarkson et al.</w:t>
      </w:r>
      <w:r w:rsidR="003C5E86">
        <w:t xml:space="preserve"> 2015). </w:t>
      </w:r>
      <w:r w:rsidR="002A25E3">
        <w:t>This study will not be focused directly on these causal mechanisms</w:t>
      </w:r>
      <w:r w:rsidR="006D4590">
        <w:t>,</w:t>
      </w:r>
      <w:r w:rsidR="002A25E3">
        <w:t xml:space="preserve"> but will instead focus on </w:t>
      </w:r>
      <w:r w:rsidR="002A25E3">
        <w:lastRenderedPageBreak/>
        <w:t>detecting geographic patterns</w:t>
      </w:r>
      <w:r w:rsidR="00757D2C">
        <w:t xml:space="preserve"> of marine biodiversity loss that coincided with these phenomena</w:t>
      </w:r>
      <w:r w:rsidR="002A25E3">
        <w:t>.</w:t>
      </w:r>
    </w:p>
    <w:p w14:paraId="2E3D9CA7" w14:textId="715005C1" w:rsidR="00240CE8" w:rsidRDefault="002700B7" w:rsidP="002700B7">
      <w:pPr>
        <w:spacing w:line="480" w:lineRule="auto"/>
        <w:ind w:firstLine="720"/>
      </w:pPr>
      <w:r>
        <w:t>By examining how ecological communities changed based on latitude, I hope to find patterns that would show a correlation between the geographic latitude at which a species persists and its likelihood of extirpation. This researc</w:t>
      </w:r>
      <w:r w:rsidR="00096AA3">
        <w:t>h, in combination with</w:t>
      </w:r>
      <w:r>
        <w:t xml:space="preserve"> studies on susceptible ecosystems, could give us predictive power to know w</w:t>
      </w:r>
      <w:r w:rsidR="00757D2C">
        <w:t>hat species are most at risk</w:t>
      </w:r>
      <w:r w:rsidR="007175CE">
        <w:t xml:space="preserve"> (Lind</w:t>
      </w:r>
      <w:r w:rsidR="00323F9A">
        <w:t>n</w:t>
      </w:r>
      <w:r w:rsidR="007175CE">
        <w:t>er et al. 2009, Walther et al. 2002, Scholze et al. 2006)</w:t>
      </w:r>
      <w:r w:rsidR="003C5E86">
        <w:t>.</w:t>
      </w:r>
      <w:r w:rsidR="00240CE8" w:rsidRPr="00240CE8">
        <w:t xml:space="preserve"> </w:t>
      </w:r>
      <w:r w:rsidR="00757D2C">
        <w:t xml:space="preserve">Several studies show that organisms that inhabit environments with more thermal variability are more likely to acclimate to new temperature ranges (Clarke 2003, Feder 1982). </w:t>
      </w:r>
      <w:r w:rsidR="00726305">
        <w:t xml:space="preserve">Due to the stable </w:t>
      </w:r>
      <w:r w:rsidR="00471597">
        <w:t>environments in tropical marine latitudes</w:t>
      </w:r>
      <w:r w:rsidR="00726305">
        <w:t xml:space="preserve">, many of these organisms have reduced physiological tolerance for shifts in temperature or salinity (Walther et al. 2002). </w:t>
      </w:r>
      <w:r w:rsidR="00757D2C">
        <w:t>For this reas</w:t>
      </w:r>
      <w:r w:rsidR="009B6C62">
        <w:t>on, I hypothesize</w:t>
      </w:r>
      <w:r w:rsidR="00367DF3">
        <w:t xml:space="preserve"> that tropi</w:t>
      </w:r>
      <w:r w:rsidR="00726305">
        <w:t>cal organisms</w:t>
      </w:r>
      <w:r w:rsidR="00367DF3">
        <w:t xml:space="preserve"> will be more susce</w:t>
      </w:r>
      <w:r w:rsidR="006D4590">
        <w:t>ptible to extinction than extra</w:t>
      </w:r>
      <w:r w:rsidR="00367DF3">
        <w:t>tropical organisms</w:t>
      </w:r>
      <w:r w:rsidR="00726305">
        <w:t xml:space="preserve"> in a scenario of rapid global climate change</w:t>
      </w:r>
      <w:r w:rsidR="00367DF3">
        <w:t>.</w:t>
      </w:r>
    </w:p>
    <w:p w14:paraId="1BC6992E" w14:textId="672945B5" w:rsidR="002700B7" w:rsidRDefault="00240CE8" w:rsidP="002700B7">
      <w:pPr>
        <w:spacing w:line="480" w:lineRule="auto"/>
        <w:ind w:firstLine="720"/>
      </w:pPr>
      <w:r>
        <w:t>Preservation of the biodiversity on this planet is not only important to the balance and sustainability of ecological communities, but also to the sustainability of our own species</w:t>
      </w:r>
      <w:r w:rsidR="000D5E0E">
        <w:t xml:space="preserve"> (Norton 2014).</w:t>
      </w:r>
      <w:r>
        <w:t xml:space="preserve"> An understanding of past extinction events may enable us to predict which environments would experience the greatest losses in such an event, and from that knowledge, we can focus our efforts on preserving those ecosystems</w:t>
      </w:r>
      <w:r w:rsidR="000D5E0E">
        <w:t>.</w:t>
      </w:r>
    </w:p>
    <w:p w14:paraId="76450303" w14:textId="77B2F0C0" w:rsidR="00811BF4" w:rsidRDefault="00811BF4" w:rsidP="003801CF">
      <w:pPr>
        <w:spacing w:line="480" w:lineRule="auto"/>
        <w:rPr>
          <w:b/>
        </w:rPr>
      </w:pPr>
      <w:r w:rsidRPr="00811BF4">
        <w:rPr>
          <w:b/>
        </w:rPr>
        <w:t>RESEARCH PLAN</w:t>
      </w:r>
    </w:p>
    <w:p w14:paraId="4FCE3576" w14:textId="073A354C" w:rsidR="00D17E55" w:rsidRDefault="00811BF4" w:rsidP="00443CE2">
      <w:pPr>
        <w:spacing w:line="480" w:lineRule="auto"/>
      </w:pPr>
      <w:r>
        <w:tab/>
        <w:t xml:space="preserve">I will begin this study by compiling </w:t>
      </w:r>
      <w:r w:rsidR="00CD58C3">
        <w:t xml:space="preserve">presence </w:t>
      </w:r>
      <w:r>
        <w:t xml:space="preserve">data </w:t>
      </w:r>
      <w:r w:rsidR="00F26EBE">
        <w:t xml:space="preserve">for marine invertebrate taxa </w:t>
      </w:r>
      <w:r>
        <w:t>from the Paleobiology Database</w:t>
      </w:r>
      <w:r w:rsidR="00C304F8">
        <w:t xml:space="preserve"> (PBDB)</w:t>
      </w:r>
      <w:r w:rsidR="00CD58C3">
        <w:t xml:space="preserve"> into R</w:t>
      </w:r>
      <w:r w:rsidR="00240CE8">
        <w:t xml:space="preserve">. </w:t>
      </w:r>
      <w:r w:rsidR="00C304F8">
        <w:t>The PBDB is an online collection of fossil occurrences tha</w:t>
      </w:r>
      <w:r w:rsidR="009B6C62">
        <w:t>t records many useful components</w:t>
      </w:r>
      <w:r w:rsidR="00C304F8">
        <w:t xml:space="preserve"> of each occurrence, such as the taxonomic affinity, number of occurrences, paleogeographic coordinates, and time interval of occurrence. </w:t>
      </w:r>
      <w:r w:rsidR="00491A01">
        <w:t xml:space="preserve">The data collected will </w:t>
      </w:r>
      <w:r w:rsidR="002A25E3">
        <w:t>be from</w:t>
      </w:r>
      <w:r w:rsidR="006D4590">
        <w:t xml:space="preserve"> four marine invertebrate groups – </w:t>
      </w:r>
      <w:r w:rsidR="006D4590" w:rsidRPr="006D4590">
        <w:rPr>
          <w:i/>
        </w:rPr>
        <w:t>Bivalvia</w:t>
      </w:r>
      <w:r w:rsidR="006D4590">
        <w:t xml:space="preserve">, </w:t>
      </w:r>
      <w:r w:rsidR="006D4590" w:rsidRPr="006D4590">
        <w:rPr>
          <w:i/>
        </w:rPr>
        <w:t>Brachiopoda</w:t>
      </w:r>
      <w:r w:rsidR="006D4590">
        <w:t xml:space="preserve">, </w:t>
      </w:r>
      <w:r w:rsidR="006D4590" w:rsidRPr="006D4590">
        <w:rPr>
          <w:i/>
        </w:rPr>
        <w:t>Foraminifera</w:t>
      </w:r>
      <w:r w:rsidR="006D4590">
        <w:t xml:space="preserve">, and </w:t>
      </w:r>
      <w:r w:rsidR="006D4590" w:rsidRPr="006D4590">
        <w:rPr>
          <w:i/>
        </w:rPr>
        <w:t>Ostracoda</w:t>
      </w:r>
      <w:r w:rsidR="006D4590">
        <w:t xml:space="preserve"> – f</w:t>
      </w:r>
      <w:r w:rsidR="00491A01">
        <w:t>rom the Mid-Permian through the Mid-T</w:t>
      </w:r>
      <w:r w:rsidR="008E3B45">
        <w:t>riassic to encompass a wide range of taxa from the int</w:t>
      </w:r>
      <w:r w:rsidR="00906955">
        <w:t>ervals before and after the end-</w:t>
      </w:r>
      <w:r w:rsidR="008E3B45">
        <w:t>Permian extinction (Leighton &amp; Schneider 2008</w:t>
      </w:r>
      <w:r w:rsidR="006D4590">
        <w:t>, Jin et al. 2000</w:t>
      </w:r>
      <w:r w:rsidR="008E3B45">
        <w:t xml:space="preserve">). </w:t>
      </w:r>
      <w:r w:rsidR="006D4590">
        <w:t>These four groups of marine invertebrates were selected because</w:t>
      </w:r>
      <w:r w:rsidR="009B6C62">
        <w:t>,</w:t>
      </w:r>
      <w:r w:rsidR="006D4590">
        <w:t xml:space="preserve"> </w:t>
      </w:r>
      <w:r w:rsidR="009B6C62">
        <w:t xml:space="preserve">although they were strongly affected by the event, </w:t>
      </w:r>
      <w:r w:rsidR="006D4590">
        <w:t>some members persisted</w:t>
      </w:r>
      <w:r w:rsidR="00906955">
        <w:t xml:space="preserve"> into the Triassic unlike some </w:t>
      </w:r>
      <w:r w:rsidR="006D4590">
        <w:t xml:space="preserve">other </w:t>
      </w:r>
      <w:r w:rsidR="00906955">
        <w:t xml:space="preserve">important </w:t>
      </w:r>
      <w:r w:rsidR="006D4590">
        <w:t>Paleozoic groups.</w:t>
      </w:r>
    </w:p>
    <w:p w14:paraId="1B08746F" w14:textId="2BDFBCEA" w:rsidR="00146085" w:rsidRDefault="00811BF4" w:rsidP="00146085">
      <w:pPr>
        <w:spacing w:line="480" w:lineRule="auto"/>
        <w:ind w:firstLine="720"/>
      </w:pPr>
      <w:r>
        <w:t>The data will be divided into two groups, those genera present dur</w:t>
      </w:r>
      <w:r w:rsidR="008E3B45">
        <w:t>ing the middle to late Permian and those present from the early to middle Triassic</w:t>
      </w:r>
      <w:r w:rsidR="00240CE8">
        <w:t xml:space="preserve">. </w:t>
      </w:r>
      <w:r w:rsidR="00CD58C3">
        <w:t>To analyze the g</w:t>
      </w:r>
      <w:r w:rsidR="00240CE8">
        <w:t>eographic location of each occurrence</w:t>
      </w:r>
      <w:r w:rsidR="008E3B45">
        <w:t>,</w:t>
      </w:r>
      <w:r w:rsidR="004265A3">
        <w:t xml:space="preserve"> I will arrange the data into two groups using</w:t>
      </w:r>
      <w:r w:rsidR="00CD58C3">
        <w:t xml:space="preserve"> the paleolat component of the data housed</w:t>
      </w:r>
      <w:r w:rsidR="00C304F8">
        <w:t xml:space="preserve"> in the PBDB</w:t>
      </w:r>
      <w:r w:rsidR="004265A3">
        <w:t xml:space="preserve"> </w:t>
      </w:r>
      <w:r w:rsidR="009B6C62">
        <w:t>and</w:t>
      </w:r>
      <w:r w:rsidR="004265A3">
        <w:t xml:space="preserve"> </w:t>
      </w:r>
      <w:r w:rsidR="00CD58C3">
        <w:t>co</w:t>
      </w:r>
      <w:r w:rsidR="009B6C62">
        <w:t>mpare</w:t>
      </w:r>
      <w:bookmarkStart w:id="0" w:name="_GoBack"/>
      <w:bookmarkEnd w:id="0"/>
      <w:r w:rsidR="00CD58C3">
        <w:t xml:space="preserve"> which genera are present at latitudes between 23.5</w:t>
      </w:r>
      <w:r w:rsidR="00CD58C3">
        <w:sym w:font="Symbol" w:char="F0B0"/>
      </w:r>
      <w:r w:rsidR="00CD58C3">
        <w:t xml:space="preserve"> S and 23.5</w:t>
      </w:r>
      <w:r w:rsidR="00CD58C3">
        <w:sym w:font="Symbol" w:char="F0B0"/>
      </w:r>
      <w:r w:rsidR="00CD58C3">
        <w:t xml:space="preserve"> N, the Tropic of Capricorn and Tropic of Cancer respectively, and which genera are presen</w:t>
      </w:r>
      <w:r w:rsidR="006D4590">
        <w:t>t at extra</w:t>
      </w:r>
      <w:r w:rsidR="003C5E6B">
        <w:t xml:space="preserve">tropical </w:t>
      </w:r>
      <w:r w:rsidR="00CD58C3">
        <w:t>latitud</w:t>
      </w:r>
      <w:r w:rsidR="00443CE2">
        <w:t xml:space="preserve">es. </w:t>
      </w:r>
      <w:r w:rsidR="00F26EBE">
        <w:t xml:space="preserve">I will then </w:t>
      </w:r>
      <w:r w:rsidR="00240CE8">
        <w:t xml:space="preserve">test the data using a binary logistic regression, </w:t>
      </w:r>
      <w:r w:rsidR="002A25E3">
        <w:t xml:space="preserve">with </w:t>
      </w:r>
      <w:r w:rsidR="00240CE8">
        <w:t>the two components being survivorship and extin</w:t>
      </w:r>
      <w:r w:rsidR="007175CE">
        <w:t>ction (Payne &amp; Finnegan</w:t>
      </w:r>
      <w:r w:rsidR="00443CE2">
        <w:t xml:space="preserve"> 2007). The data will also be analyzed with an</w:t>
      </w:r>
      <w:r w:rsidR="002A25E3">
        <w:t xml:space="preserve"> odds ratio test to determine if</w:t>
      </w:r>
      <w:r w:rsidR="00443CE2">
        <w:t xml:space="preserve"> geogr</w:t>
      </w:r>
      <w:r w:rsidR="002A25E3">
        <w:t xml:space="preserve">aphic latitude is a likely explanation of </w:t>
      </w:r>
      <w:r w:rsidR="005E45CD">
        <w:t xml:space="preserve">patterns of </w:t>
      </w:r>
      <w:r w:rsidR="00443CE2">
        <w:t>extinction or if it ca</w:t>
      </w:r>
      <w:r w:rsidR="005E45CD">
        <w:t xml:space="preserve">nnot account for the extinction </w:t>
      </w:r>
      <w:r w:rsidR="00146085">
        <w:t xml:space="preserve">patterns </w:t>
      </w:r>
      <w:r w:rsidR="00443CE2">
        <w:t>observed in the fossil record.</w:t>
      </w:r>
    </w:p>
    <w:p w14:paraId="0835778B" w14:textId="328D8648" w:rsidR="008E3B45" w:rsidRDefault="00AE7B66" w:rsidP="00EA4E1D">
      <w:r>
        <w:br w:type="page"/>
      </w:r>
    </w:p>
    <w:p w14:paraId="048E6236" w14:textId="6E9B8AE2" w:rsidR="008E3B45" w:rsidRDefault="008E3B45" w:rsidP="00EA4E1D">
      <w:pPr>
        <w:spacing w:line="480" w:lineRule="auto"/>
        <w:rPr>
          <w:b/>
        </w:rPr>
      </w:pPr>
      <w:r w:rsidRPr="00426C77">
        <w:rPr>
          <w:b/>
        </w:rPr>
        <w:t>REFERENCES CITED</w:t>
      </w:r>
    </w:p>
    <w:p w14:paraId="7F3CF4D5" w14:textId="352DE0A8" w:rsidR="003535EF" w:rsidRPr="00367DF3" w:rsidRDefault="003535EF" w:rsidP="00EA4E1D">
      <w:pPr>
        <w:rPr>
          <w:rFonts w:eastAsia="Times New Roman" w:cs="Times New Roman"/>
        </w:rPr>
      </w:pPr>
      <w:r w:rsidRPr="00367DF3">
        <w:rPr>
          <w:rFonts w:eastAsia="Times New Roman" w:cs="Times New Roman"/>
        </w:rPr>
        <w:t xml:space="preserve">Benton, M. J., &amp; Twitchett, R. J. (2003). How to kill (almost) all life: The end-Permian extinction event. </w:t>
      </w:r>
      <w:r w:rsidRPr="00367DF3">
        <w:rPr>
          <w:rFonts w:eastAsia="Times New Roman" w:cs="Times New Roman"/>
          <w:i/>
          <w:iCs/>
        </w:rPr>
        <w:t>Trends in Ecology &amp; Evolution,</w:t>
      </w:r>
      <w:r w:rsidRPr="00367DF3">
        <w:rPr>
          <w:rFonts w:eastAsia="Times New Roman" w:cs="Times New Roman"/>
        </w:rPr>
        <w:t xml:space="preserve"> </w:t>
      </w:r>
      <w:r w:rsidRPr="00367DF3">
        <w:rPr>
          <w:rFonts w:eastAsia="Times New Roman" w:cs="Times New Roman"/>
          <w:i/>
          <w:iCs/>
        </w:rPr>
        <w:t>18</w:t>
      </w:r>
      <w:r w:rsidRPr="00367DF3">
        <w:rPr>
          <w:rFonts w:eastAsia="Times New Roman" w:cs="Times New Roman"/>
        </w:rPr>
        <w:t xml:space="preserve">(7), 358-365. doi:10.1016/s0169-5347(03)00093-4 </w:t>
      </w:r>
    </w:p>
    <w:p w14:paraId="4C6D35B7" w14:textId="77777777" w:rsidR="00F97D51" w:rsidRPr="00367DF3" w:rsidRDefault="00F97D51" w:rsidP="00EA4E1D">
      <w:pPr>
        <w:ind w:left="720"/>
        <w:rPr>
          <w:rFonts w:eastAsia="Times New Roman" w:cs="Times New Roman"/>
        </w:rPr>
      </w:pPr>
    </w:p>
    <w:p w14:paraId="2C2B7BBE" w14:textId="77777777" w:rsidR="00367DF3" w:rsidRPr="00367DF3" w:rsidRDefault="00367DF3" w:rsidP="00367DF3">
      <w:pPr>
        <w:rPr>
          <w:rFonts w:eastAsia="Times New Roman" w:cs="Times New Roman"/>
        </w:rPr>
      </w:pPr>
      <w:r w:rsidRPr="00367DF3">
        <w:rPr>
          <w:rFonts w:eastAsia="Times New Roman" w:cs="Times New Roman"/>
        </w:rPr>
        <w:t xml:space="preserve">Clarke, A. (2003). Costs and consequences of evolutionary temperature adaptation. </w:t>
      </w:r>
      <w:r w:rsidRPr="00367DF3">
        <w:rPr>
          <w:rFonts w:eastAsia="Times New Roman" w:cs="Times New Roman"/>
          <w:i/>
          <w:iCs/>
        </w:rPr>
        <w:t>Trends in Ecology &amp; Evolution,</w:t>
      </w:r>
      <w:r w:rsidRPr="00367DF3">
        <w:rPr>
          <w:rFonts w:eastAsia="Times New Roman" w:cs="Times New Roman"/>
        </w:rPr>
        <w:t xml:space="preserve"> </w:t>
      </w:r>
      <w:r w:rsidRPr="00367DF3">
        <w:rPr>
          <w:rFonts w:eastAsia="Times New Roman" w:cs="Times New Roman"/>
          <w:i/>
          <w:iCs/>
        </w:rPr>
        <w:t>18</w:t>
      </w:r>
      <w:r w:rsidRPr="00367DF3">
        <w:rPr>
          <w:rFonts w:eastAsia="Times New Roman" w:cs="Times New Roman"/>
        </w:rPr>
        <w:t xml:space="preserve">(11), 573-581. doi:10.1016/j.tree.2003.08.007 </w:t>
      </w:r>
    </w:p>
    <w:p w14:paraId="1B36FC05" w14:textId="77777777" w:rsidR="00367DF3" w:rsidRPr="00367DF3" w:rsidRDefault="00367DF3" w:rsidP="00EA4E1D">
      <w:pPr>
        <w:rPr>
          <w:rFonts w:eastAsia="Times New Roman" w:cs="Times New Roman"/>
        </w:rPr>
      </w:pPr>
    </w:p>
    <w:p w14:paraId="560301E9" w14:textId="77777777" w:rsidR="00F97D51" w:rsidRPr="00367DF3" w:rsidRDefault="00F97D51" w:rsidP="00EA4E1D">
      <w:pPr>
        <w:rPr>
          <w:rFonts w:eastAsia="Times New Roman" w:cs="Times New Roman"/>
        </w:rPr>
      </w:pPr>
      <w:r w:rsidRPr="00367DF3">
        <w:rPr>
          <w:rFonts w:eastAsia="Times New Roman" w:cs="Times New Roman"/>
        </w:rPr>
        <w:t xml:space="preserve">Clarkson, M. O., Kasemann, S. A., Wood, R. A., Lenton, T. M., Daines, S. J., Richoz, S., . . . Tipper, E. T. (2015). Ocean acidification and the Permo-Triassic mass extinction. </w:t>
      </w:r>
      <w:r w:rsidRPr="00367DF3">
        <w:rPr>
          <w:rFonts w:eastAsia="Times New Roman" w:cs="Times New Roman"/>
          <w:i/>
          <w:iCs/>
        </w:rPr>
        <w:t>Science,</w:t>
      </w:r>
      <w:r w:rsidRPr="00367DF3">
        <w:rPr>
          <w:rFonts w:eastAsia="Times New Roman" w:cs="Times New Roman"/>
        </w:rPr>
        <w:t xml:space="preserve"> </w:t>
      </w:r>
      <w:r w:rsidRPr="00367DF3">
        <w:rPr>
          <w:rFonts w:eastAsia="Times New Roman" w:cs="Times New Roman"/>
          <w:i/>
          <w:iCs/>
        </w:rPr>
        <w:t>348</w:t>
      </w:r>
      <w:r w:rsidRPr="00367DF3">
        <w:rPr>
          <w:rFonts w:eastAsia="Times New Roman" w:cs="Times New Roman"/>
        </w:rPr>
        <w:t xml:space="preserve">(6231), 229-232. doi:10.1126/science.aaa0193 </w:t>
      </w:r>
    </w:p>
    <w:p w14:paraId="3C10527E" w14:textId="77777777" w:rsidR="003535EF" w:rsidRPr="00367DF3" w:rsidRDefault="003535EF" w:rsidP="00EA4E1D">
      <w:pPr>
        <w:ind w:left="720"/>
        <w:rPr>
          <w:rFonts w:eastAsia="Times New Roman" w:cs="Times New Roman"/>
        </w:rPr>
      </w:pPr>
    </w:p>
    <w:p w14:paraId="66A6A803" w14:textId="77777777" w:rsidR="00367DF3" w:rsidRPr="00367DF3" w:rsidRDefault="00367DF3" w:rsidP="00367DF3">
      <w:pPr>
        <w:rPr>
          <w:rFonts w:eastAsia="Times New Roman" w:cs="Times New Roman"/>
        </w:rPr>
      </w:pPr>
      <w:r w:rsidRPr="00367DF3">
        <w:rPr>
          <w:rFonts w:eastAsia="Times New Roman" w:cs="Times New Roman"/>
        </w:rPr>
        <w:t xml:space="preserve">Feder, M. E. (1982). Environmental variability and thermal acclimation of metabolism in tropical anurans. </w:t>
      </w:r>
      <w:r w:rsidRPr="00367DF3">
        <w:rPr>
          <w:rFonts w:eastAsia="Times New Roman" w:cs="Times New Roman"/>
          <w:i/>
          <w:iCs/>
        </w:rPr>
        <w:t>Journal of Thermal Biology,</w:t>
      </w:r>
      <w:r w:rsidRPr="00367DF3">
        <w:rPr>
          <w:rFonts w:eastAsia="Times New Roman" w:cs="Times New Roman"/>
        </w:rPr>
        <w:t xml:space="preserve"> </w:t>
      </w:r>
      <w:r w:rsidRPr="00367DF3">
        <w:rPr>
          <w:rFonts w:eastAsia="Times New Roman" w:cs="Times New Roman"/>
          <w:i/>
          <w:iCs/>
        </w:rPr>
        <w:t>7</w:t>
      </w:r>
      <w:r w:rsidRPr="00367DF3">
        <w:rPr>
          <w:rFonts w:eastAsia="Times New Roman" w:cs="Times New Roman"/>
        </w:rPr>
        <w:t xml:space="preserve">(1), 23-28. doi:10.1016/0306-4565(82)90015-8 </w:t>
      </w:r>
    </w:p>
    <w:p w14:paraId="22886856" w14:textId="77777777" w:rsidR="00367DF3" w:rsidRPr="00367DF3" w:rsidRDefault="00367DF3" w:rsidP="00EA4E1D">
      <w:pPr>
        <w:rPr>
          <w:rFonts w:eastAsia="Times New Roman" w:cs="Times New Roman"/>
        </w:rPr>
      </w:pPr>
    </w:p>
    <w:p w14:paraId="62B38C89" w14:textId="77777777" w:rsidR="00323F9A" w:rsidRPr="00323F9A" w:rsidRDefault="00323F9A" w:rsidP="00323F9A">
      <w:pPr>
        <w:rPr>
          <w:rFonts w:eastAsia="Times New Roman" w:cs="Times New Roman"/>
        </w:rPr>
      </w:pPr>
      <w:r w:rsidRPr="00323F9A">
        <w:rPr>
          <w:rFonts w:eastAsia="Times New Roman" w:cs="Times New Roman"/>
        </w:rPr>
        <w:t xml:space="preserve">Jin, Y. G., Wang, Y., Wang, W., Shang, Q. H., Cao, C. Q., &amp; Erwin, D. H. (2000). Pattern of Marine Mass Extinction Near the Permian-Triassic Boundary in South China. </w:t>
      </w:r>
      <w:r w:rsidRPr="00323F9A">
        <w:rPr>
          <w:rFonts w:eastAsia="Times New Roman" w:cs="Times New Roman"/>
          <w:i/>
          <w:iCs/>
        </w:rPr>
        <w:t>Science,</w:t>
      </w:r>
      <w:r w:rsidRPr="00323F9A">
        <w:rPr>
          <w:rFonts w:eastAsia="Times New Roman" w:cs="Times New Roman"/>
        </w:rPr>
        <w:t xml:space="preserve"> </w:t>
      </w:r>
      <w:r w:rsidRPr="00323F9A">
        <w:rPr>
          <w:rFonts w:eastAsia="Times New Roman" w:cs="Times New Roman"/>
          <w:i/>
          <w:iCs/>
        </w:rPr>
        <w:t>289</w:t>
      </w:r>
      <w:r w:rsidRPr="00323F9A">
        <w:rPr>
          <w:rFonts w:eastAsia="Times New Roman" w:cs="Times New Roman"/>
        </w:rPr>
        <w:t xml:space="preserve">(5478), 432-436. doi:10.1126/science.289.5478.432 </w:t>
      </w:r>
    </w:p>
    <w:p w14:paraId="1D233F2F" w14:textId="77777777" w:rsidR="00323F9A" w:rsidRDefault="00323F9A" w:rsidP="00EA4E1D">
      <w:pPr>
        <w:rPr>
          <w:rFonts w:eastAsia="Times New Roman" w:cs="Times New Roman"/>
        </w:rPr>
      </w:pPr>
    </w:p>
    <w:p w14:paraId="3206B29A" w14:textId="73A32F05" w:rsidR="008E3B45" w:rsidRPr="00367DF3" w:rsidRDefault="008E3B45" w:rsidP="00EA4E1D">
      <w:pPr>
        <w:rPr>
          <w:rFonts w:eastAsia="Times New Roman" w:cs="Times New Roman"/>
        </w:rPr>
      </w:pPr>
      <w:r w:rsidRPr="00367DF3">
        <w:rPr>
          <w:rFonts w:eastAsia="Times New Roman" w:cs="Times New Roman"/>
        </w:rPr>
        <w:t xml:space="preserve">Leighton, L. R., &amp; Schneider, C. L. (2008). Taxon characteristics that promote survivorship through the Permian–Triassic interval: Transition from the Paleozoic to the Mesozoic brachiopod fauna. </w:t>
      </w:r>
      <w:r w:rsidRPr="00367DF3">
        <w:rPr>
          <w:rFonts w:eastAsia="Times New Roman" w:cs="Times New Roman"/>
          <w:i/>
          <w:iCs/>
        </w:rPr>
        <w:t>Paleobiology,</w:t>
      </w:r>
      <w:r w:rsidRPr="00367DF3">
        <w:rPr>
          <w:rFonts w:eastAsia="Times New Roman" w:cs="Times New Roman"/>
        </w:rPr>
        <w:t xml:space="preserve"> </w:t>
      </w:r>
      <w:r w:rsidRPr="00367DF3">
        <w:rPr>
          <w:rFonts w:eastAsia="Times New Roman" w:cs="Times New Roman"/>
          <w:i/>
          <w:iCs/>
        </w:rPr>
        <w:t>34</w:t>
      </w:r>
      <w:r w:rsidRPr="00367DF3">
        <w:rPr>
          <w:rFonts w:eastAsia="Times New Roman" w:cs="Times New Roman"/>
        </w:rPr>
        <w:t xml:space="preserve">(1), 65-79. doi:10.1666/06082.1 </w:t>
      </w:r>
    </w:p>
    <w:p w14:paraId="3CF199F2" w14:textId="77777777" w:rsidR="003535EF" w:rsidRPr="00367DF3" w:rsidRDefault="003535EF" w:rsidP="00EA4E1D">
      <w:pPr>
        <w:ind w:left="720"/>
        <w:rPr>
          <w:rFonts w:eastAsia="Times New Roman" w:cs="Times New Roman"/>
        </w:rPr>
      </w:pPr>
    </w:p>
    <w:p w14:paraId="4730F9F2" w14:textId="751E465E" w:rsidR="003535EF" w:rsidRPr="00323F9A" w:rsidRDefault="003535EF" w:rsidP="00EA4E1D">
      <w:pPr>
        <w:rPr>
          <w:rFonts w:eastAsia="Times New Roman" w:cs="Times New Roman"/>
        </w:rPr>
      </w:pPr>
      <w:r w:rsidRPr="00367DF3">
        <w:rPr>
          <w:rFonts w:eastAsia="Times New Roman" w:cs="Times New Roman"/>
        </w:rPr>
        <w:t xml:space="preserve">Lindner, M., Maroschek, M., Netherer, S., Kremer, A., Barbati, A., Garcia-Gonzalo, J., . . . Marchetti, M. (2010). Climate change impacts, adaptive capacity, and vulnerability of European </w:t>
      </w:r>
      <w:r w:rsidRPr="00323F9A">
        <w:rPr>
          <w:rFonts w:eastAsia="Times New Roman" w:cs="Times New Roman"/>
        </w:rPr>
        <w:t xml:space="preserve">forest ecosystems. </w:t>
      </w:r>
      <w:r w:rsidRPr="00323F9A">
        <w:rPr>
          <w:rFonts w:eastAsia="Times New Roman" w:cs="Times New Roman"/>
          <w:i/>
          <w:iCs/>
        </w:rPr>
        <w:t>Forest Ecology and Management,</w:t>
      </w:r>
      <w:r w:rsidRPr="00323F9A">
        <w:rPr>
          <w:rFonts w:eastAsia="Times New Roman" w:cs="Times New Roman"/>
        </w:rPr>
        <w:t xml:space="preserve"> </w:t>
      </w:r>
      <w:r w:rsidRPr="00323F9A">
        <w:rPr>
          <w:rFonts w:eastAsia="Times New Roman" w:cs="Times New Roman"/>
          <w:i/>
          <w:iCs/>
        </w:rPr>
        <w:t>259</w:t>
      </w:r>
      <w:r w:rsidRPr="00323F9A">
        <w:rPr>
          <w:rFonts w:eastAsia="Times New Roman" w:cs="Times New Roman"/>
        </w:rPr>
        <w:t xml:space="preserve">(4), 698-709. doi:10.1016/j.foreco.2009.09.023 </w:t>
      </w:r>
    </w:p>
    <w:p w14:paraId="3B85E70B" w14:textId="77777777" w:rsidR="00323F9A" w:rsidRPr="00323F9A" w:rsidRDefault="00323F9A" w:rsidP="00367DF3">
      <w:pPr>
        <w:rPr>
          <w:rFonts w:eastAsia="Times New Roman" w:cs="Times New Roman"/>
        </w:rPr>
      </w:pPr>
    </w:p>
    <w:p w14:paraId="0CA2054A" w14:textId="77777777" w:rsidR="00367DF3" w:rsidRPr="00367DF3" w:rsidRDefault="00367DF3" w:rsidP="00367DF3">
      <w:pPr>
        <w:rPr>
          <w:rFonts w:eastAsia="Times New Roman" w:cs="Times New Roman"/>
        </w:rPr>
      </w:pPr>
      <w:r w:rsidRPr="00367DF3">
        <w:rPr>
          <w:rFonts w:eastAsia="Times New Roman" w:cs="Times New Roman"/>
        </w:rPr>
        <w:t xml:space="preserve">Norton, B. G. (2014). </w:t>
      </w:r>
      <w:r w:rsidRPr="00367DF3">
        <w:rPr>
          <w:rFonts w:eastAsia="Times New Roman" w:cs="Times New Roman"/>
          <w:i/>
          <w:iCs/>
        </w:rPr>
        <w:t>Why Preserve Natural Variety?</w:t>
      </w:r>
      <w:r w:rsidRPr="00367DF3">
        <w:rPr>
          <w:rFonts w:eastAsia="Times New Roman" w:cs="Times New Roman"/>
        </w:rPr>
        <w:t xml:space="preserve"> Princeton: Princeton University Press. </w:t>
      </w:r>
    </w:p>
    <w:p w14:paraId="3EB18FF8" w14:textId="77777777" w:rsidR="00367DF3" w:rsidRPr="00323F9A" w:rsidRDefault="00367DF3" w:rsidP="00EA4E1D">
      <w:pPr>
        <w:rPr>
          <w:rFonts w:eastAsia="Times New Roman" w:cs="Times New Roman"/>
        </w:rPr>
      </w:pPr>
    </w:p>
    <w:p w14:paraId="297AF6B7" w14:textId="615FB747" w:rsidR="008E3B45" w:rsidRPr="00323F9A" w:rsidRDefault="00426C77" w:rsidP="00EA4E1D">
      <w:pPr>
        <w:rPr>
          <w:rFonts w:eastAsia="Times New Roman" w:cs="Times New Roman"/>
        </w:rPr>
      </w:pPr>
      <w:r w:rsidRPr="00323F9A">
        <w:rPr>
          <w:rFonts w:eastAsia="Times New Roman" w:cs="Times New Roman"/>
        </w:rPr>
        <w:t xml:space="preserve">Payne, J. L., &amp; Clapham, M. E. (2012). End-Permian Mass Extinction in the Oceans: An Ancient Analog for the Twenty-First Century? </w:t>
      </w:r>
      <w:r w:rsidRPr="00323F9A">
        <w:rPr>
          <w:rFonts w:eastAsia="Times New Roman" w:cs="Times New Roman"/>
          <w:i/>
          <w:iCs/>
        </w:rPr>
        <w:t>Annu. Rev. Earth Planet. Sci. Annual Review of Earth and Planetary Sciences,</w:t>
      </w:r>
      <w:r w:rsidRPr="00323F9A">
        <w:rPr>
          <w:rFonts w:eastAsia="Times New Roman" w:cs="Times New Roman"/>
        </w:rPr>
        <w:t xml:space="preserve"> </w:t>
      </w:r>
      <w:r w:rsidRPr="00323F9A">
        <w:rPr>
          <w:rFonts w:eastAsia="Times New Roman" w:cs="Times New Roman"/>
          <w:i/>
          <w:iCs/>
        </w:rPr>
        <w:t>40</w:t>
      </w:r>
      <w:r w:rsidRPr="00323F9A">
        <w:rPr>
          <w:rFonts w:eastAsia="Times New Roman" w:cs="Times New Roman"/>
        </w:rPr>
        <w:t>(1), 89-111. doi:10.1146/annurev-earth-042711-105329</w:t>
      </w:r>
    </w:p>
    <w:p w14:paraId="19A20C51" w14:textId="77777777" w:rsidR="00426C77" w:rsidRPr="00367DF3" w:rsidRDefault="00426C77" w:rsidP="00EA4E1D">
      <w:pPr>
        <w:ind w:left="720"/>
        <w:rPr>
          <w:rFonts w:eastAsia="Times New Roman" w:cs="Times New Roman"/>
        </w:rPr>
      </w:pPr>
    </w:p>
    <w:p w14:paraId="4EB0BE21" w14:textId="0F38CD02" w:rsidR="008E3B45" w:rsidRPr="00367DF3" w:rsidRDefault="0097631C" w:rsidP="00EA4E1D">
      <w:pPr>
        <w:rPr>
          <w:rFonts w:eastAsia="Times New Roman" w:cs="Times New Roman"/>
        </w:rPr>
      </w:pPr>
      <w:r w:rsidRPr="00367DF3">
        <w:rPr>
          <w:rFonts w:eastAsia="Times New Roman" w:cs="Times New Roman"/>
        </w:rPr>
        <w:t xml:space="preserve">Payne, J. L., &amp; Finnegan, S. (2007). The effect of geographic range on extinction risk during background and mass extinction. </w:t>
      </w:r>
      <w:r w:rsidRPr="00367DF3">
        <w:rPr>
          <w:rFonts w:eastAsia="Times New Roman" w:cs="Times New Roman"/>
          <w:i/>
          <w:iCs/>
        </w:rPr>
        <w:t>Proceedings of the National Academy of Sciences,</w:t>
      </w:r>
      <w:r w:rsidRPr="00367DF3">
        <w:rPr>
          <w:rFonts w:eastAsia="Times New Roman" w:cs="Times New Roman"/>
        </w:rPr>
        <w:t xml:space="preserve"> </w:t>
      </w:r>
      <w:r w:rsidRPr="00367DF3">
        <w:rPr>
          <w:rFonts w:eastAsia="Times New Roman" w:cs="Times New Roman"/>
          <w:i/>
          <w:iCs/>
        </w:rPr>
        <w:t>104</w:t>
      </w:r>
      <w:r w:rsidRPr="00367DF3">
        <w:rPr>
          <w:rFonts w:eastAsia="Times New Roman" w:cs="Times New Roman"/>
        </w:rPr>
        <w:t>(25), 10506-105</w:t>
      </w:r>
      <w:r w:rsidR="000D324C" w:rsidRPr="00367DF3">
        <w:rPr>
          <w:rFonts w:eastAsia="Times New Roman" w:cs="Times New Roman"/>
        </w:rPr>
        <w:t>11. doi:10.1073/pnas.0701257104</w:t>
      </w:r>
    </w:p>
    <w:p w14:paraId="52CFF6B8" w14:textId="77777777" w:rsidR="000D324C" w:rsidRPr="00367DF3" w:rsidRDefault="000D324C" w:rsidP="00EA4E1D">
      <w:pPr>
        <w:ind w:left="720"/>
        <w:rPr>
          <w:rFonts w:eastAsia="Times New Roman" w:cs="Times New Roman"/>
        </w:rPr>
      </w:pPr>
    </w:p>
    <w:p w14:paraId="5A462152" w14:textId="72590D21" w:rsidR="000D324C" w:rsidRPr="00367DF3" w:rsidRDefault="000D324C" w:rsidP="00EA4E1D">
      <w:pPr>
        <w:rPr>
          <w:rFonts w:eastAsia="Times New Roman" w:cs="Times New Roman"/>
        </w:rPr>
      </w:pPr>
      <w:r w:rsidRPr="00367DF3">
        <w:rPr>
          <w:rFonts w:eastAsia="Times New Roman" w:cs="Times New Roman"/>
        </w:rPr>
        <w:t xml:space="preserve">Scholze, M., Knorr, W., Arnell, N. W., &amp; Prentice, I. C. (2006). A climate-change risk analysis for world ecosystems. </w:t>
      </w:r>
      <w:r w:rsidRPr="00367DF3">
        <w:rPr>
          <w:rFonts w:eastAsia="Times New Roman" w:cs="Times New Roman"/>
          <w:i/>
          <w:iCs/>
        </w:rPr>
        <w:t>Proceedings of the National Academy of Sciences,</w:t>
      </w:r>
      <w:r w:rsidRPr="00367DF3">
        <w:rPr>
          <w:rFonts w:eastAsia="Times New Roman" w:cs="Times New Roman"/>
        </w:rPr>
        <w:t xml:space="preserve"> </w:t>
      </w:r>
      <w:r w:rsidRPr="00367DF3">
        <w:rPr>
          <w:rFonts w:eastAsia="Times New Roman" w:cs="Times New Roman"/>
          <w:i/>
          <w:iCs/>
        </w:rPr>
        <w:t>103</w:t>
      </w:r>
      <w:r w:rsidRPr="00367DF3">
        <w:rPr>
          <w:rFonts w:eastAsia="Times New Roman" w:cs="Times New Roman"/>
        </w:rPr>
        <w:t xml:space="preserve">(35), 13116-13120. doi:10.1073/pnas.0601816103 </w:t>
      </w:r>
    </w:p>
    <w:p w14:paraId="648E904E" w14:textId="77777777" w:rsidR="00EA4E1D" w:rsidRPr="00367DF3" w:rsidRDefault="00EA4E1D" w:rsidP="00EA4E1D">
      <w:pPr>
        <w:rPr>
          <w:rFonts w:cs="Arial"/>
          <w:color w:val="1A1A1A"/>
        </w:rPr>
      </w:pPr>
    </w:p>
    <w:p w14:paraId="5D203D99" w14:textId="42DE086F" w:rsidR="00426C77" w:rsidRPr="00367DF3" w:rsidRDefault="00426C77" w:rsidP="00EA4E1D">
      <w:pPr>
        <w:rPr>
          <w:rFonts w:cs="Arial"/>
          <w:color w:val="1A1A1A"/>
        </w:rPr>
      </w:pPr>
      <w:r w:rsidRPr="00367DF3">
        <w:rPr>
          <w:rFonts w:cs="Arial"/>
          <w:color w:val="1A1A1A"/>
        </w:rPr>
        <w:t xml:space="preserve">Sepkoski, J. J.. (1981). A Factor Analytic Description of the Phanerozoic Marine Fossil Record. </w:t>
      </w:r>
      <w:r w:rsidRPr="00367DF3">
        <w:rPr>
          <w:rFonts w:cs="Arial"/>
          <w:i/>
          <w:iCs/>
          <w:color w:val="1A1A1A"/>
        </w:rPr>
        <w:t>Paleobiology</w:t>
      </w:r>
      <w:r w:rsidRPr="00367DF3">
        <w:rPr>
          <w:rFonts w:cs="Arial"/>
          <w:color w:val="1A1A1A"/>
        </w:rPr>
        <w:t xml:space="preserve">, </w:t>
      </w:r>
      <w:r w:rsidRPr="00367DF3">
        <w:rPr>
          <w:rFonts w:cs="Arial"/>
          <w:i/>
          <w:iCs/>
          <w:color w:val="1A1A1A"/>
        </w:rPr>
        <w:t>7</w:t>
      </w:r>
      <w:r w:rsidRPr="00367DF3">
        <w:rPr>
          <w:rFonts w:cs="Arial"/>
          <w:color w:val="1A1A1A"/>
        </w:rPr>
        <w:t xml:space="preserve">(1), 36–53. Retrieved from </w:t>
      </w:r>
      <w:hyperlink r:id="rId7" w:history="1">
        <w:r w:rsidRPr="00367DF3">
          <w:rPr>
            <w:rStyle w:val="Hyperlink"/>
            <w:rFonts w:cs="Arial"/>
          </w:rPr>
          <w:t>http://www.jstor.org/stable/2400639</w:t>
        </w:r>
      </w:hyperlink>
    </w:p>
    <w:p w14:paraId="7D8CDF38" w14:textId="77777777" w:rsidR="00F97D51" w:rsidRPr="00367DF3" w:rsidRDefault="00F97D51" w:rsidP="00EA4E1D">
      <w:pPr>
        <w:ind w:left="720"/>
        <w:rPr>
          <w:rFonts w:cs="Arial"/>
          <w:color w:val="1A1A1A"/>
        </w:rPr>
      </w:pPr>
    </w:p>
    <w:p w14:paraId="650EA2EA" w14:textId="77777777" w:rsidR="00F97D51" w:rsidRPr="00367DF3" w:rsidRDefault="00F97D51" w:rsidP="00EA4E1D">
      <w:pPr>
        <w:rPr>
          <w:rFonts w:eastAsia="Times New Roman" w:cs="Times New Roman"/>
        </w:rPr>
      </w:pPr>
      <w:r w:rsidRPr="00367DF3">
        <w:rPr>
          <w:rFonts w:eastAsia="Times New Roman" w:cs="Times New Roman"/>
        </w:rPr>
        <w:t xml:space="preserve">Walther, G., Post, E., Convey, P., Menzel, A., Parmesan, C., Beebee, T. J., . . . Bairlein, F. (2002). Ecological responses to recent climate change. </w:t>
      </w:r>
      <w:r w:rsidRPr="00367DF3">
        <w:rPr>
          <w:rFonts w:eastAsia="Times New Roman" w:cs="Times New Roman"/>
          <w:i/>
          <w:iCs/>
        </w:rPr>
        <w:t>Nature,</w:t>
      </w:r>
      <w:r w:rsidRPr="00367DF3">
        <w:rPr>
          <w:rFonts w:eastAsia="Times New Roman" w:cs="Times New Roman"/>
        </w:rPr>
        <w:t xml:space="preserve"> </w:t>
      </w:r>
      <w:r w:rsidRPr="00367DF3">
        <w:rPr>
          <w:rFonts w:eastAsia="Times New Roman" w:cs="Times New Roman"/>
          <w:i/>
          <w:iCs/>
        </w:rPr>
        <w:t>416</w:t>
      </w:r>
      <w:r w:rsidRPr="00367DF3">
        <w:rPr>
          <w:rFonts w:eastAsia="Times New Roman" w:cs="Times New Roman"/>
        </w:rPr>
        <w:t xml:space="preserve">(6879), 389-395. doi:10.1038/416389a </w:t>
      </w:r>
    </w:p>
    <w:p w14:paraId="6E823FF2" w14:textId="77777777" w:rsidR="003535EF" w:rsidRPr="00367DF3" w:rsidRDefault="003535EF" w:rsidP="00EA4E1D">
      <w:pPr>
        <w:ind w:left="720"/>
        <w:rPr>
          <w:rFonts w:cs="Arial"/>
          <w:color w:val="1A1A1A"/>
        </w:rPr>
      </w:pPr>
    </w:p>
    <w:p w14:paraId="719EA73A" w14:textId="497BFF8C" w:rsidR="003535EF" w:rsidRPr="00367DF3" w:rsidRDefault="00323F9A" w:rsidP="00EA4E1D">
      <w:pPr>
        <w:rPr>
          <w:rFonts w:eastAsia="Times New Roman" w:cs="Times New Roman"/>
        </w:rPr>
      </w:pPr>
      <w:r>
        <w:rPr>
          <w:rFonts w:eastAsia="Times New Roman" w:cs="Times New Roman"/>
        </w:rPr>
        <w:t>Wignall, P.</w:t>
      </w:r>
      <w:r w:rsidR="003535EF" w:rsidRPr="00367DF3">
        <w:rPr>
          <w:rFonts w:eastAsia="Times New Roman" w:cs="Times New Roman"/>
        </w:rPr>
        <w:t xml:space="preserve"> &amp; Hallam, A. (1992). Anoxia as a cause of the Permian/Triassic mass extinction: Facies evidence from northern Italy and the western United States. </w:t>
      </w:r>
      <w:r w:rsidR="003535EF" w:rsidRPr="00367DF3">
        <w:rPr>
          <w:rFonts w:eastAsia="Times New Roman" w:cs="Times New Roman"/>
          <w:i/>
          <w:iCs/>
        </w:rPr>
        <w:t>Palaeogeography, Palaeoclimatology, Palaeoecology,</w:t>
      </w:r>
      <w:r w:rsidR="003535EF" w:rsidRPr="00367DF3">
        <w:rPr>
          <w:rFonts w:eastAsia="Times New Roman" w:cs="Times New Roman"/>
        </w:rPr>
        <w:t xml:space="preserve"> </w:t>
      </w:r>
      <w:r w:rsidR="003535EF" w:rsidRPr="00367DF3">
        <w:rPr>
          <w:rFonts w:eastAsia="Times New Roman" w:cs="Times New Roman"/>
          <w:i/>
          <w:iCs/>
        </w:rPr>
        <w:t>93</w:t>
      </w:r>
      <w:r w:rsidR="003535EF" w:rsidRPr="00367DF3">
        <w:rPr>
          <w:rFonts w:eastAsia="Times New Roman" w:cs="Times New Roman"/>
        </w:rPr>
        <w:t xml:space="preserve">(1-2), 21-46. doi:10.1016/0031-0182(92)90182-5 </w:t>
      </w:r>
    </w:p>
    <w:p w14:paraId="602BF48A" w14:textId="77777777" w:rsidR="00426C77" w:rsidRPr="00367DF3" w:rsidRDefault="00426C77" w:rsidP="00EA4E1D">
      <w:pPr>
        <w:ind w:left="720"/>
        <w:rPr>
          <w:rFonts w:cs="Arial"/>
          <w:color w:val="1A1A1A"/>
        </w:rPr>
      </w:pPr>
    </w:p>
    <w:p w14:paraId="7F47DADA" w14:textId="69611B76" w:rsidR="008E3B45" w:rsidRPr="000D324C" w:rsidRDefault="00426C77" w:rsidP="00EA4E1D">
      <w:r w:rsidRPr="00367DF3">
        <w:rPr>
          <w:rFonts w:cs="Verdana"/>
          <w:color w:val="434343"/>
        </w:rPr>
        <w:t xml:space="preserve">Wignall, Paul B., and Richard J. Twitchett. "Oceanic Anoxia and the End Permian Mass Extinction." </w:t>
      </w:r>
      <w:r w:rsidRPr="00367DF3">
        <w:rPr>
          <w:rFonts w:cs="Verdana"/>
          <w:i/>
          <w:iCs/>
          <w:color w:val="434343"/>
        </w:rPr>
        <w:t>Science</w:t>
      </w:r>
      <w:r w:rsidRPr="00367DF3">
        <w:rPr>
          <w:rFonts w:cs="Verdana"/>
          <w:color w:val="434343"/>
        </w:rPr>
        <w:t xml:space="preserve"> 272.5265 (</w:t>
      </w:r>
      <w:r w:rsidRPr="000D324C">
        <w:rPr>
          <w:rFonts w:cs="Verdana"/>
          <w:color w:val="434343"/>
        </w:rPr>
        <w:t xml:space="preserve">1996): 1155. </w:t>
      </w:r>
      <w:r w:rsidRPr="000D324C">
        <w:rPr>
          <w:rFonts w:cs="Verdana"/>
          <w:i/>
          <w:iCs/>
          <w:color w:val="434343"/>
        </w:rPr>
        <w:t xml:space="preserve">ProQuest. </w:t>
      </w:r>
      <w:r w:rsidRPr="000D324C">
        <w:rPr>
          <w:rFonts w:cs="Verdana"/>
          <w:color w:val="434343"/>
        </w:rPr>
        <w:t>Web. 9 Apr. 2016.</w:t>
      </w:r>
    </w:p>
    <w:sectPr w:rsidR="008E3B45" w:rsidRPr="000D324C" w:rsidSect="00EB09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BE318" w14:textId="77777777" w:rsidR="001234BD" w:rsidRDefault="001234BD" w:rsidP="003801CF">
      <w:r>
        <w:separator/>
      </w:r>
    </w:p>
  </w:endnote>
  <w:endnote w:type="continuationSeparator" w:id="0">
    <w:p w14:paraId="66901665" w14:textId="77777777" w:rsidR="001234BD" w:rsidRDefault="001234BD" w:rsidP="0038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E866D" w14:textId="77777777" w:rsidR="001234BD" w:rsidRDefault="001234BD" w:rsidP="003801CF">
      <w:r>
        <w:separator/>
      </w:r>
    </w:p>
  </w:footnote>
  <w:footnote w:type="continuationSeparator" w:id="0">
    <w:p w14:paraId="3892C62B" w14:textId="77777777" w:rsidR="001234BD" w:rsidRDefault="001234BD" w:rsidP="003801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11CB2" w14:textId="7FA1E994" w:rsidR="003801CF" w:rsidRDefault="003801CF">
    <w:pPr>
      <w:pStyle w:val="Header"/>
    </w:pPr>
    <w:r>
      <w:t>Aaron Kufner</w:t>
    </w:r>
    <w:r>
      <w:ptab w:relativeTo="margin" w:alignment="center" w:leader="none"/>
    </w:r>
    <w:r w:rsidR="00C304F8">
      <w:t>GeoSci 541 Grant Proposal</w:t>
    </w:r>
    <w:r>
      <w:ptab w:relativeTo="margin" w:alignment="right" w:leader="none"/>
    </w:r>
    <w:r w:rsidR="00C304F8">
      <w:t>5/6</w:t>
    </w:r>
    <w:r>
      <w:t>/2016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E6583"/>
    <w:multiLevelType w:val="hybridMultilevel"/>
    <w:tmpl w:val="0040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B1"/>
    <w:rsid w:val="000672F6"/>
    <w:rsid w:val="000839BF"/>
    <w:rsid w:val="00096AA3"/>
    <w:rsid w:val="000D324C"/>
    <w:rsid w:val="000D5E0E"/>
    <w:rsid w:val="001234BD"/>
    <w:rsid w:val="00146085"/>
    <w:rsid w:val="00191150"/>
    <w:rsid w:val="001D4462"/>
    <w:rsid w:val="00240CE8"/>
    <w:rsid w:val="002576FB"/>
    <w:rsid w:val="00267DF3"/>
    <w:rsid w:val="002700B7"/>
    <w:rsid w:val="0028539E"/>
    <w:rsid w:val="002A25E3"/>
    <w:rsid w:val="00323F9A"/>
    <w:rsid w:val="003271B1"/>
    <w:rsid w:val="003535EF"/>
    <w:rsid w:val="00367DF3"/>
    <w:rsid w:val="003801CF"/>
    <w:rsid w:val="00386A25"/>
    <w:rsid w:val="003C5E6B"/>
    <w:rsid w:val="003C5E86"/>
    <w:rsid w:val="003D0AA0"/>
    <w:rsid w:val="003F1AD0"/>
    <w:rsid w:val="004265A3"/>
    <w:rsid w:val="00426C77"/>
    <w:rsid w:val="00443CE2"/>
    <w:rsid w:val="00471597"/>
    <w:rsid w:val="00475520"/>
    <w:rsid w:val="00491A01"/>
    <w:rsid w:val="004A6801"/>
    <w:rsid w:val="004C0C87"/>
    <w:rsid w:val="005708DB"/>
    <w:rsid w:val="005E45CD"/>
    <w:rsid w:val="00653C50"/>
    <w:rsid w:val="006D4590"/>
    <w:rsid w:val="007175CE"/>
    <w:rsid w:val="00726305"/>
    <w:rsid w:val="0074256C"/>
    <w:rsid w:val="00757D2C"/>
    <w:rsid w:val="007D3616"/>
    <w:rsid w:val="00811BF4"/>
    <w:rsid w:val="008E3B45"/>
    <w:rsid w:val="00906955"/>
    <w:rsid w:val="00971A9A"/>
    <w:rsid w:val="0097631C"/>
    <w:rsid w:val="009B2363"/>
    <w:rsid w:val="009B6C62"/>
    <w:rsid w:val="00A514B9"/>
    <w:rsid w:val="00A62A45"/>
    <w:rsid w:val="00AA440A"/>
    <w:rsid w:val="00AE7B66"/>
    <w:rsid w:val="00B0099C"/>
    <w:rsid w:val="00B668C9"/>
    <w:rsid w:val="00B804C2"/>
    <w:rsid w:val="00B823C5"/>
    <w:rsid w:val="00B92F92"/>
    <w:rsid w:val="00B94924"/>
    <w:rsid w:val="00BD1F01"/>
    <w:rsid w:val="00BF2FA5"/>
    <w:rsid w:val="00C304F8"/>
    <w:rsid w:val="00CD58C3"/>
    <w:rsid w:val="00D16587"/>
    <w:rsid w:val="00D17E55"/>
    <w:rsid w:val="00D40596"/>
    <w:rsid w:val="00D52ADD"/>
    <w:rsid w:val="00E07E93"/>
    <w:rsid w:val="00EA0988"/>
    <w:rsid w:val="00EA32FD"/>
    <w:rsid w:val="00EA4E1D"/>
    <w:rsid w:val="00EB0943"/>
    <w:rsid w:val="00EB4B91"/>
    <w:rsid w:val="00EE5A13"/>
    <w:rsid w:val="00F11D0B"/>
    <w:rsid w:val="00F13921"/>
    <w:rsid w:val="00F26EBE"/>
    <w:rsid w:val="00F35B20"/>
    <w:rsid w:val="00F50722"/>
    <w:rsid w:val="00F71DC3"/>
    <w:rsid w:val="00F97D51"/>
    <w:rsid w:val="00FE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156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1CF"/>
    <w:pPr>
      <w:tabs>
        <w:tab w:val="center" w:pos="4680"/>
        <w:tab w:val="right" w:pos="9360"/>
      </w:tabs>
    </w:pPr>
  </w:style>
  <w:style w:type="character" w:customStyle="1" w:styleId="HeaderChar">
    <w:name w:val="Header Char"/>
    <w:basedOn w:val="DefaultParagraphFont"/>
    <w:link w:val="Header"/>
    <w:uiPriority w:val="99"/>
    <w:rsid w:val="003801CF"/>
  </w:style>
  <w:style w:type="paragraph" w:styleId="Footer">
    <w:name w:val="footer"/>
    <w:basedOn w:val="Normal"/>
    <w:link w:val="FooterChar"/>
    <w:uiPriority w:val="99"/>
    <w:unhideWhenUsed/>
    <w:rsid w:val="003801CF"/>
    <w:pPr>
      <w:tabs>
        <w:tab w:val="center" w:pos="4680"/>
        <w:tab w:val="right" w:pos="9360"/>
      </w:tabs>
    </w:pPr>
  </w:style>
  <w:style w:type="character" w:customStyle="1" w:styleId="FooterChar">
    <w:name w:val="Footer Char"/>
    <w:basedOn w:val="DefaultParagraphFont"/>
    <w:link w:val="Footer"/>
    <w:uiPriority w:val="99"/>
    <w:rsid w:val="003801CF"/>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426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5339">
      <w:bodyDiv w:val="1"/>
      <w:marLeft w:val="0"/>
      <w:marRight w:val="0"/>
      <w:marTop w:val="0"/>
      <w:marBottom w:val="0"/>
      <w:divBdr>
        <w:top w:val="none" w:sz="0" w:space="0" w:color="auto"/>
        <w:left w:val="none" w:sz="0" w:space="0" w:color="auto"/>
        <w:bottom w:val="none" w:sz="0" w:space="0" w:color="auto"/>
        <w:right w:val="none" w:sz="0" w:space="0" w:color="auto"/>
      </w:divBdr>
      <w:divsChild>
        <w:div w:id="1230918922">
          <w:marLeft w:val="0"/>
          <w:marRight w:val="0"/>
          <w:marTop w:val="0"/>
          <w:marBottom w:val="0"/>
          <w:divBdr>
            <w:top w:val="none" w:sz="0" w:space="0" w:color="auto"/>
            <w:left w:val="none" w:sz="0" w:space="0" w:color="auto"/>
            <w:bottom w:val="none" w:sz="0" w:space="0" w:color="auto"/>
            <w:right w:val="none" w:sz="0" w:space="0" w:color="auto"/>
          </w:divBdr>
        </w:div>
      </w:divsChild>
    </w:div>
    <w:div w:id="139537480">
      <w:bodyDiv w:val="1"/>
      <w:marLeft w:val="0"/>
      <w:marRight w:val="0"/>
      <w:marTop w:val="0"/>
      <w:marBottom w:val="0"/>
      <w:divBdr>
        <w:top w:val="none" w:sz="0" w:space="0" w:color="auto"/>
        <w:left w:val="none" w:sz="0" w:space="0" w:color="auto"/>
        <w:bottom w:val="none" w:sz="0" w:space="0" w:color="auto"/>
        <w:right w:val="none" w:sz="0" w:space="0" w:color="auto"/>
      </w:divBdr>
      <w:divsChild>
        <w:div w:id="1008480183">
          <w:marLeft w:val="0"/>
          <w:marRight w:val="0"/>
          <w:marTop w:val="0"/>
          <w:marBottom w:val="0"/>
          <w:divBdr>
            <w:top w:val="none" w:sz="0" w:space="0" w:color="auto"/>
            <w:left w:val="none" w:sz="0" w:space="0" w:color="auto"/>
            <w:bottom w:val="none" w:sz="0" w:space="0" w:color="auto"/>
            <w:right w:val="none" w:sz="0" w:space="0" w:color="auto"/>
          </w:divBdr>
        </w:div>
      </w:divsChild>
    </w:div>
    <w:div w:id="456527603">
      <w:bodyDiv w:val="1"/>
      <w:marLeft w:val="0"/>
      <w:marRight w:val="0"/>
      <w:marTop w:val="0"/>
      <w:marBottom w:val="0"/>
      <w:divBdr>
        <w:top w:val="none" w:sz="0" w:space="0" w:color="auto"/>
        <w:left w:val="none" w:sz="0" w:space="0" w:color="auto"/>
        <w:bottom w:val="none" w:sz="0" w:space="0" w:color="auto"/>
        <w:right w:val="none" w:sz="0" w:space="0" w:color="auto"/>
      </w:divBdr>
      <w:divsChild>
        <w:div w:id="275868036">
          <w:marLeft w:val="0"/>
          <w:marRight w:val="0"/>
          <w:marTop w:val="0"/>
          <w:marBottom w:val="0"/>
          <w:divBdr>
            <w:top w:val="none" w:sz="0" w:space="0" w:color="auto"/>
            <w:left w:val="none" w:sz="0" w:space="0" w:color="auto"/>
            <w:bottom w:val="none" w:sz="0" w:space="0" w:color="auto"/>
            <w:right w:val="none" w:sz="0" w:space="0" w:color="auto"/>
          </w:divBdr>
        </w:div>
      </w:divsChild>
    </w:div>
    <w:div w:id="537276494">
      <w:bodyDiv w:val="1"/>
      <w:marLeft w:val="0"/>
      <w:marRight w:val="0"/>
      <w:marTop w:val="0"/>
      <w:marBottom w:val="0"/>
      <w:divBdr>
        <w:top w:val="none" w:sz="0" w:space="0" w:color="auto"/>
        <w:left w:val="none" w:sz="0" w:space="0" w:color="auto"/>
        <w:bottom w:val="none" w:sz="0" w:space="0" w:color="auto"/>
        <w:right w:val="none" w:sz="0" w:space="0" w:color="auto"/>
      </w:divBdr>
      <w:divsChild>
        <w:div w:id="414598066">
          <w:marLeft w:val="0"/>
          <w:marRight w:val="0"/>
          <w:marTop w:val="0"/>
          <w:marBottom w:val="0"/>
          <w:divBdr>
            <w:top w:val="none" w:sz="0" w:space="0" w:color="auto"/>
            <w:left w:val="none" w:sz="0" w:space="0" w:color="auto"/>
            <w:bottom w:val="none" w:sz="0" w:space="0" w:color="auto"/>
            <w:right w:val="none" w:sz="0" w:space="0" w:color="auto"/>
          </w:divBdr>
        </w:div>
      </w:divsChild>
    </w:div>
    <w:div w:id="566569526">
      <w:bodyDiv w:val="1"/>
      <w:marLeft w:val="0"/>
      <w:marRight w:val="0"/>
      <w:marTop w:val="0"/>
      <w:marBottom w:val="0"/>
      <w:divBdr>
        <w:top w:val="none" w:sz="0" w:space="0" w:color="auto"/>
        <w:left w:val="none" w:sz="0" w:space="0" w:color="auto"/>
        <w:bottom w:val="none" w:sz="0" w:space="0" w:color="auto"/>
        <w:right w:val="none" w:sz="0" w:space="0" w:color="auto"/>
      </w:divBdr>
      <w:divsChild>
        <w:div w:id="190146651">
          <w:marLeft w:val="0"/>
          <w:marRight w:val="0"/>
          <w:marTop w:val="0"/>
          <w:marBottom w:val="0"/>
          <w:divBdr>
            <w:top w:val="none" w:sz="0" w:space="0" w:color="auto"/>
            <w:left w:val="none" w:sz="0" w:space="0" w:color="auto"/>
            <w:bottom w:val="none" w:sz="0" w:space="0" w:color="auto"/>
            <w:right w:val="none" w:sz="0" w:space="0" w:color="auto"/>
          </w:divBdr>
        </w:div>
      </w:divsChild>
    </w:div>
    <w:div w:id="609435440">
      <w:bodyDiv w:val="1"/>
      <w:marLeft w:val="0"/>
      <w:marRight w:val="0"/>
      <w:marTop w:val="0"/>
      <w:marBottom w:val="0"/>
      <w:divBdr>
        <w:top w:val="none" w:sz="0" w:space="0" w:color="auto"/>
        <w:left w:val="none" w:sz="0" w:space="0" w:color="auto"/>
        <w:bottom w:val="none" w:sz="0" w:space="0" w:color="auto"/>
        <w:right w:val="none" w:sz="0" w:space="0" w:color="auto"/>
      </w:divBdr>
      <w:divsChild>
        <w:div w:id="657458634">
          <w:marLeft w:val="0"/>
          <w:marRight w:val="0"/>
          <w:marTop w:val="0"/>
          <w:marBottom w:val="0"/>
          <w:divBdr>
            <w:top w:val="none" w:sz="0" w:space="0" w:color="auto"/>
            <w:left w:val="none" w:sz="0" w:space="0" w:color="auto"/>
            <w:bottom w:val="none" w:sz="0" w:space="0" w:color="auto"/>
            <w:right w:val="none" w:sz="0" w:space="0" w:color="auto"/>
          </w:divBdr>
        </w:div>
      </w:divsChild>
    </w:div>
    <w:div w:id="1303383008">
      <w:bodyDiv w:val="1"/>
      <w:marLeft w:val="0"/>
      <w:marRight w:val="0"/>
      <w:marTop w:val="0"/>
      <w:marBottom w:val="0"/>
      <w:divBdr>
        <w:top w:val="none" w:sz="0" w:space="0" w:color="auto"/>
        <w:left w:val="none" w:sz="0" w:space="0" w:color="auto"/>
        <w:bottom w:val="none" w:sz="0" w:space="0" w:color="auto"/>
        <w:right w:val="none" w:sz="0" w:space="0" w:color="auto"/>
      </w:divBdr>
      <w:divsChild>
        <w:div w:id="948506327">
          <w:marLeft w:val="0"/>
          <w:marRight w:val="0"/>
          <w:marTop w:val="0"/>
          <w:marBottom w:val="0"/>
          <w:divBdr>
            <w:top w:val="none" w:sz="0" w:space="0" w:color="auto"/>
            <w:left w:val="none" w:sz="0" w:space="0" w:color="auto"/>
            <w:bottom w:val="none" w:sz="0" w:space="0" w:color="auto"/>
            <w:right w:val="none" w:sz="0" w:space="0" w:color="auto"/>
          </w:divBdr>
        </w:div>
      </w:divsChild>
    </w:div>
    <w:div w:id="1493058604">
      <w:bodyDiv w:val="1"/>
      <w:marLeft w:val="0"/>
      <w:marRight w:val="0"/>
      <w:marTop w:val="0"/>
      <w:marBottom w:val="0"/>
      <w:divBdr>
        <w:top w:val="none" w:sz="0" w:space="0" w:color="auto"/>
        <w:left w:val="none" w:sz="0" w:space="0" w:color="auto"/>
        <w:bottom w:val="none" w:sz="0" w:space="0" w:color="auto"/>
        <w:right w:val="none" w:sz="0" w:space="0" w:color="auto"/>
      </w:divBdr>
      <w:divsChild>
        <w:div w:id="196816631">
          <w:marLeft w:val="0"/>
          <w:marRight w:val="0"/>
          <w:marTop w:val="0"/>
          <w:marBottom w:val="0"/>
          <w:divBdr>
            <w:top w:val="none" w:sz="0" w:space="0" w:color="auto"/>
            <w:left w:val="none" w:sz="0" w:space="0" w:color="auto"/>
            <w:bottom w:val="none" w:sz="0" w:space="0" w:color="auto"/>
            <w:right w:val="none" w:sz="0" w:space="0" w:color="auto"/>
          </w:divBdr>
        </w:div>
      </w:divsChild>
    </w:div>
    <w:div w:id="1509099871">
      <w:bodyDiv w:val="1"/>
      <w:marLeft w:val="0"/>
      <w:marRight w:val="0"/>
      <w:marTop w:val="0"/>
      <w:marBottom w:val="0"/>
      <w:divBdr>
        <w:top w:val="none" w:sz="0" w:space="0" w:color="auto"/>
        <w:left w:val="none" w:sz="0" w:space="0" w:color="auto"/>
        <w:bottom w:val="none" w:sz="0" w:space="0" w:color="auto"/>
        <w:right w:val="none" w:sz="0" w:space="0" w:color="auto"/>
      </w:divBdr>
      <w:divsChild>
        <w:div w:id="203911939">
          <w:marLeft w:val="0"/>
          <w:marRight w:val="0"/>
          <w:marTop w:val="0"/>
          <w:marBottom w:val="0"/>
          <w:divBdr>
            <w:top w:val="none" w:sz="0" w:space="0" w:color="auto"/>
            <w:left w:val="none" w:sz="0" w:space="0" w:color="auto"/>
            <w:bottom w:val="none" w:sz="0" w:space="0" w:color="auto"/>
            <w:right w:val="none" w:sz="0" w:space="0" w:color="auto"/>
          </w:divBdr>
        </w:div>
      </w:divsChild>
    </w:div>
    <w:div w:id="1529486793">
      <w:bodyDiv w:val="1"/>
      <w:marLeft w:val="0"/>
      <w:marRight w:val="0"/>
      <w:marTop w:val="0"/>
      <w:marBottom w:val="0"/>
      <w:divBdr>
        <w:top w:val="none" w:sz="0" w:space="0" w:color="auto"/>
        <w:left w:val="none" w:sz="0" w:space="0" w:color="auto"/>
        <w:bottom w:val="none" w:sz="0" w:space="0" w:color="auto"/>
        <w:right w:val="none" w:sz="0" w:space="0" w:color="auto"/>
      </w:divBdr>
      <w:divsChild>
        <w:div w:id="59721031">
          <w:marLeft w:val="0"/>
          <w:marRight w:val="0"/>
          <w:marTop w:val="0"/>
          <w:marBottom w:val="0"/>
          <w:divBdr>
            <w:top w:val="none" w:sz="0" w:space="0" w:color="auto"/>
            <w:left w:val="none" w:sz="0" w:space="0" w:color="auto"/>
            <w:bottom w:val="none" w:sz="0" w:space="0" w:color="auto"/>
            <w:right w:val="none" w:sz="0" w:space="0" w:color="auto"/>
          </w:divBdr>
        </w:div>
      </w:divsChild>
    </w:div>
    <w:div w:id="1769498093">
      <w:bodyDiv w:val="1"/>
      <w:marLeft w:val="0"/>
      <w:marRight w:val="0"/>
      <w:marTop w:val="0"/>
      <w:marBottom w:val="0"/>
      <w:divBdr>
        <w:top w:val="none" w:sz="0" w:space="0" w:color="auto"/>
        <w:left w:val="none" w:sz="0" w:space="0" w:color="auto"/>
        <w:bottom w:val="none" w:sz="0" w:space="0" w:color="auto"/>
        <w:right w:val="none" w:sz="0" w:space="0" w:color="auto"/>
      </w:divBdr>
      <w:divsChild>
        <w:div w:id="605767741">
          <w:marLeft w:val="0"/>
          <w:marRight w:val="0"/>
          <w:marTop w:val="0"/>
          <w:marBottom w:val="0"/>
          <w:divBdr>
            <w:top w:val="none" w:sz="0" w:space="0" w:color="auto"/>
            <w:left w:val="none" w:sz="0" w:space="0" w:color="auto"/>
            <w:bottom w:val="none" w:sz="0" w:space="0" w:color="auto"/>
            <w:right w:val="none" w:sz="0" w:space="0" w:color="auto"/>
          </w:divBdr>
        </w:div>
      </w:divsChild>
    </w:div>
    <w:div w:id="1814055976">
      <w:bodyDiv w:val="1"/>
      <w:marLeft w:val="0"/>
      <w:marRight w:val="0"/>
      <w:marTop w:val="0"/>
      <w:marBottom w:val="0"/>
      <w:divBdr>
        <w:top w:val="none" w:sz="0" w:space="0" w:color="auto"/>
        <w:left w:val="none" w:sz="0" w:space="0" w:color="auto"/>
        <w:bottom w:val="none" w:sz="0" w:space="0" w:color="auto"/>
        <w:right w:val="none" w:sz="0" w:space="0" w:color="auto"/>
      </w:divBdr>
      <w:divsChild>
        <w:div w:id="1370640112">
          <w:marLeft w:val="0"/>
          <w:marRight w:val="0"/>
          <w:marTop w:val="0"/>
          <w:marBottom w:val="0"/>
          <w:divBdr>
            <w:top w:val="none" w:sz="0" w:space="0" w:color="auto"/>
            <w:left w:val="none" w:sz="0" w:space="0" w:color="auto"/>
            <w:bottom w:val="none" w:sz="0" w:space="0" w:color="auto"/>
            <w:right w:val="none" w:sz="0" w:space="0" w:color="auto"/>
          </w:divBdr>
        </w:div>
      </w:divsChild>
    </w:div>
    <w:div w:id="1886522247">
      <w:bodyDiv w:val="1"/>
      <w:marLeft w:val="0"/>
      <w:marRight w:val="0"/>
      <w:marTop w:val="0"/>
      <w:marBottom w:val="0"/>
      <w:divBdr>
        <w:top w:val="none" w:sz="0" w:space="0" w:color="auto"/>
        <w:left w:val="none" w:sz="0" w:space="0" w:color="auto"/>
        <w:bottom w:val="none" w:sz="0" w:space="0" w:color="auto"/>
        <w:right w:val="none" w:sz="0" w:space="0" w:color="auto"/>
      </w:divBdr>
      <w:divsChild>
        <w:div w:id="340545384">
          <w:marLeft w:val="0"/>
          <w:marRight w:val="0"/>
          <w:marTop w:val="0"/>
          <w:marBottom w:val="0"/>
          <w:divBdr>
            <w:top w:val="none" w:sz="0" w:space="0" w:color="auto"/>
            <w:left w:val="none" w:sz="0" w:space="0" w:color="auto"/>
            <w:bottom w:val="none" w:sz="0" w:space="0" w:color="auto"/>
            <w:right w:val="none" w:sz="0" w:space="0" w:color="auto"/>
          </w:divBdr>
        </w:div>
      </w:divsChild>
    </w:div>
    <w:div w:id="1894729993">
      <w:bodyDiv w:val="1"/>
      <w:marLeft w:val="0"/>
      <w:marRight w:val="0"/>
      <w:marTop w:val="0"/>
      <w:marBottom w:val="0"/>
      <w:divBdr>
        <w:top w:val="none" w:sz="0" w:space="0" w:color="auto"/>
        <w:left w:val="none" w:sz="0" w:space="0" w:color="auto"/>
        <w:bottom w:val="none" w:sz="0" w:space="0" w:color="auto"/>
        <w:right w:val="none" w:sz="0" w:space="0" w:color="auto"/>
      </w:divBdr>
      <w:divsChild>
        <w:div w:id="9314705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stor.org/stable/2400639"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1242</Words>
  <Characters>7084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12</cp:revision>
  <dcterms:created xsi:type="dcterms:W3CDTF">2016-05-01T16:47:00Z</dcterms:created>
  <dcterms:modified xsi:type="dcterms:W3CDTF">2016-05-05T14:58:00Z</dcterms:modified>
</cp:coreProperties>
</file>