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0</wp:posOffset>
            </wp:positionV>
            <wp:extent cx="1471613" cy="1832907"/>
            <wp:effectExtent b="0" l="0" r="0" t="0"/>
            <wp:wrapSquare wrapText="bothSides" distB="57150" distT="57150" distL="57150" distR="57150"/>
            <wp:docPr descr="ProjectArrowlogo.png" id="2" name="image03.png"/>
            <a:graphic>
              <a:graphicData uri="http://schemas.openxmlformats.org/drawingml/2006/picture">
                <pic:pic>
                  <pic:nvPicPr>
                    <pic:cNvPr descr="ProjectArrowlogo.png" id="0" name="image03.png"/>
                    <pic:cNvPicPr preferRelativeResize="0"/>
                  </pic:nvPicPr>
                  <pic:blipFill>
                    <a:blip r:embed="rId5"/>
                    <a:srcRect b="0" l="10194" r="10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83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rFonts w:ascii="Trebuchet MS" w:cs="Trebuchet MS" w:eastAsia="Trebuchet MS" w:hAnsi="Trebuchet MS"/>
          <w:color w:val="999999"/>
          <w:sz w:val="24"/>
          <w:szCs w:val="24"/>
        </w:rPr>
      </w:pPr>
      <w:bookmarkStart w:colFirst="0" w:colLast="0" w:name="_9yh6jp8iwqjy" w:id="0"/>
      <w:bookmarkEnd w:id="0"/>
      <w:r w:rsidDel="00000000" w:rsidR="00000000" w:rsidRPr="00000000">
        <w:rPr>
          <w:rFonts w:ascii="Trebuchet MS" w:cs="Trebuchet MS" w:eastAsia="Trebuchet MS" w:hAnsi="Trebuchet MS"/>
          <w:color w:val="999999"/>
          <w:sz w:val="24"/>
          <w:szCs w:val="24"/>
          <w:rtl w:val="0"/>
        </w:rPr>
        <w:t xml:space="preserve">ДИПЛОМНАЯ РАБОТА</w:t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color w:val="999999"/>
          <w:sz w:val="16"/>
          <w:szCs w:val="16"/>
        </w:rPr>
      </w:pPr>
      <w:bookmarkStart w:colFirst="0" w:colLast="0" w:name="_fascz6fbye4q" w:id="1"/>
      <w:bookmarkEnd w:id="1"/>
      <w:r w:rsidDel="00000000" w:rsidR="00000000" w:rsidRPr="00000000">
        <w:rPr>
          <w:sz w:val="60"/>
          <w:szCs w:val="60"/>
          <w:rtl w:val="0"/>
        </w:rPr>
        <w:t xml:space="preserve">PROJECT ARROW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color w:val="999999"/>
          <w:sz w:val="40"/>
          <w:szCs w:val="40"/>
          <w:rtl w:val="0"/>
        </w:rPr>
        <w:t xml:space="preserve">sandbox game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jc w:val="right"/>
        <w:rPr>
          <w:rFonts w:ascii="Verdana" w:cs="Verdana" w:eastAsia="Verdana" w:hAnsi="Verdana"/>
          <w:color w:val="666666"/>
          <w:sz w:val="20"/>
          <w:szCs w:val="20"/>
        </w:rPr>
      </w:pPr>
      <w:bookmarkStart w:colFirst="0" w:colLast="0" w:name="_lx904xek5op3" w:id="2"/>
      <w:bookmarkEnd w:id="2"/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“Однажды выпущенная стрела не может вернуться обратно.”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Trebuchet MS" w:cs="Trebuchet MS" w:eastAsia="Trebuchet MS" w:hAnsi="Trebuchet MS"/>
        </w:rPr>
      </w:pPr>
      <w:bookmarkStart w:colFirst="0" w:colLast="0" w:name="_1n7oyl66kzeh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br w:type="textWrapping"/>
        <w:t xml:space="preserve">ВВЕДЕНИЕ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  <w:rtl w:val="0"/>
        </w:rPr>
        <w:t xml:space="preserve">Порой великие дела начинаются с чего-то малого. Так, устремленный высоко в небо взор пробудил желание прикоснуться к ранее неизведанному. Тем самым, проложив долгий, казалось бы, вечный путь к далёким звёздам. Шаг за шагом, год за годом, человечество движется через тернистый путь к заветной мечте. И как знать, куда это слепая мечта нас приведёт? 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highlight w:val="white"/>
          <w:rtl w:val="0"/>
        </w:rPr>
        <w:t xml:space="preserve">Выдержка из текста голографического-гида 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highlight w:val="white"/>
          <w:rtl w:val="0"/>
        </w:rPr>
        <w:t xml:space="preserve">в музее астронавтики </w:t>
      </w:r>
    </w:p>
    <w:p w:rsidR="00000000" w:rsidDel="00000000" w:rsidP="00000000" w:rsidRDefault="00000000" w:rsidRPr="00000000">
      <w:pPr>
        <w:pBdr/>
        <w:spacing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Очередной съезд парламента Объединенной Земли был собран в связи с тяжелой угрозой, нависшей над многообещающим планом по колонизации космоса, который получил название “Новый Эдем”. Казалось бы, как простое отсутствие заранее составленного маршрута к жизнепригодным планетам, может стать “камнем преткновения”? Парламент, однако, считал это значительным упущением и требовал его скорейшего устранения. Поскольку в реализацию проекта были вложены огромные средства и человеческие ресурсы.</w:t>
      </w:r>
    </w:p>
    <w:p w:rsidR="00000000" w:rsidDel="00000000" w:rsidP="00000000" w:rsidRDefault="00000000" w:rsidRPr="00000000">
      <w:pPr>
        <w:pBdr/>
        <w:spacing w:before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  <w:rtl w:val="0"/>
        </w:rPr>
        <w:t xml:space="preserve">“Как освещало СМИ того времени,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highlight w:val="white"/>
          <w:rtl w:val="0"/>
        </w:rPr>
        <w:t xml:space="preserve"> Новый Эдем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highlight w:val="white"/>
          <w:rtl w:val="0"/>
        </w:rPr>
        <w:t xml:space="preserve">- это масштабный план по терраформированию жизнепригодных планет для их дальнейшей колонизации.”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Для решения этой дилеммы был разработан проект по исследованию космоса “Проект стрела”. Его суть заключалась в том, чтобы составить карту безопасного пути к пригодным для жизни планетам, или, иначе говоря, “дорожной карты”.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Гриф секретности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 не позволял сообщить экипажу об отсутствии возможности вернуться назад. Штаб исключал любую возможность вернуться, тем самым придерживаясь лишь одной позиции: “Отсутствие возможности вернуться, есть гарант безопасности правительства Земли и плана по колонизации космоса”. </w:t>
      </w:r>
    </w:p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8njqc6xbbq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ФРАКЦИЯ / ИМПЕРИЯ ГИДЕОН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723900</wp:posOffset>
            </wp:positionV>
            <wp:extent cx="2043113" cy="2109447"/>
            <wp:effectExtent b="0" l="0" r="0" t="0"/>
            <wp:wrapSquare wrapText="bothSides" distB="114300" distT="114300" distL="114300" distR="114300"/>
            <wp:docPr descr="Gideon.jpg" id="3" name="image05.jpg"/>
            <a:graphic>
              <a:graphicData uri="http://schemas.openxmlformats.org/drawingml/2006/picture">
                <pic:pic>
                  <pic:nvPicPr>
                    <pic:cNvPr descr="Gideon.jpg" id="0" name="image05.jpg"/>
                    <pic:cNvPicPr preferRelativeResize="0"/>
                  </pic:nvPicPr>
                  <pic:blipFill>
                    <a:blip r:embed="rId6"/>
                    <a:srcRect b="18056" l="30941" r="27720" t="18056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109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Гидеон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(гид. Гидео оне или “Вознесшиеся к небесам”),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Империя Гидеон или Вознесшиеся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раса гуманоидов, строение организма которых схоже с землянами, однако людьми их назвать довольно сложно. Среди физиологических отличий выделяется пищеварительная система. Благодаря её особенностям,  гидеонцы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питаются телесной жидкостью других млекопитающих, иначе говоря, кровососущие существа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Отсутствие альтернативного источника питания породило в их обществе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 в стабильном источнике питания вынуждает их создавать целые системы планет-загонов, которые они заселяют человекоподобной расой. Жизненный цикл таких планет заканчивается, когда достигается определенный уровень популяции. После “Жатвы” гидеонцы пополняют запасы жизненно-необходимого “продукта”, а сама планета подвергается полной очистке от следов предыдущих форм жизни. Специфика питания подразумевает использование трупоедов.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одной их особенностью является их язык: в нём полностью отсутствует понятие времени. Согласно собранным данным это связано с тем фактом, что над гидеонцами безвластно время или, проще говоря, они являются бессмертными существами. Казалось бы мечта человечества - вечная жизнь, связана с отсутствием возможности размножаться между сородичами. С этим изъяном связаны многолетние опыты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искусственному воссозданию своих сородичей и лишь нескольким мирам-инкубаторам это удалось.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Общество разделены на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принадлежащие различным сословиям гидеонцев.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сродни кланам и родовым общинам, представлены в виде сложной социальной иерархии, где на вершине её располагаются “Прародители”, а низшие звенья иерархии занимают полукровки. Такое разбиение вызвано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Культом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связано с кровным родством членов этих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и принадлежности к одной семье. Каждому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соответствует фамилия его правящего рода.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ФРАКЦИЯ / ПАДШИЕ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древняя цивилизация, стремящаяся постичь все знания о мироздании, в один миг грянула в небытие, тем самым покрыв пеленой неизвестности прошлое своего сектора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Иерихон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Точно неизвестно, что произошло с некогда могущественной цивилизацией, однако достигнув апогея своего развития, они просто бесследно исчезли. Лишь после многолетнего забвения они обрушились из глубин космоса, дабы нести разрушения в другие миры. За долгое время существования они обрели много имён, нам они известны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Падшие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Под этим именем которое стало нарицательным для многих, они вернулись словно эхо прошлого.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57150</wp:posOffset>
            </wp:positionV>
            <wp:extent cx="1943100" cy="2305050"/>
            <wp:effectExtent b="0" l="0" r="0" t="0"/>
            <wp:wrapSquare wrapText="bothSides" distB="114300" distT="114300" distL="114300" distR="114300"/>
            <wp:docPr descr="Morgals.jpg" id="1" name="image02.jpg"/>
            <a:graphic>
              <a:graphicData uri="http://schemas.openxmlformats.org/drawingml/2006/picture">
                <pic:pic>
                  <pic:nvPicPr>
                    <pic:cNvPr descr="Morgals.jpg" id="0" name="image02.jpg"/>
                    <pic:cNvPicPr preferRelativeResize="0"/>
                  </pic:nvPicPr>
                  <pic:blipFill>
                    <a:blip r:embed="rId7"/>
                    <a:srcRect b="27141" l="16738" r="14592" t="2193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представления о них в большей степени порождены слухами и небылицами, лишь немногие основаны на реальных фактах.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zkxbjvgmdby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ФРАКЦИЯ / КРИОЛЬСКИЙ КОНГЛОМЕРАТ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Криольский конгломерат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объединённая группа звёздных систем, стремящаяся к торговой монополии во всех известных ей уголках вселенной. Её членами являются гуманоидные существа использующие различного рода имплантанты.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“Сложно поверь, что во вселенной существуют ещё более жадные и подлые существа, подобные криольцам.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всём дурном характере, отличаются глубокой степенью понимания ценности своего время и напрочь 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Verdana"/>
  <w:font w:name="Times New Roman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keepNext w:val="1"/>
      <w:keepLines w:val="1"/>
      <w:pBdr/>
      <w:spacing w:after="200" w:lineRule="auto"/>
      <w:contextualSpacing w:val="0"/>
      <w:jc w:val="right"/>
      <w:rPr>
        <w:b w:val="0"/>
        <w:color w:val="666666"/>
      </w:rPr>
    </w:pPr>
    <w:bookmarkStart w:colFirst="0" w:colLast="0" w:name="_u4kqqdpxbp2k" w:id="6"/>
    <w:bookmarkEnd w:id="6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2"/>
      <w:keepNext w:val="1"/>
      <w:keepLines w:val="1"/>
      <w:pBdr/>
      <w:spacing w:after="200" w:lineRule="auto"/>
      <w:contextualSpacing w:val="0"/>
      <w:jc w:val="right"/>
      <w:rPr>
        <w:b w:val="0"/>
        <w:color w:val="666666"/>
      </w:rPr>
    </w:pPr>
    <w:bookmarkStart w:colFirst="0" w:colLast="0" w:name="_yebqtx7vekuv" w:id="7"/>
    <w:bookmarkEnd w:id="7"/>
    <w:fldSimple w:instr="PAGE" w:fldLock="0" w:dirty="0">
      <w:r w:rsidDel="00000000" w:rsidR="00000000" w:rsidRPr="00000000">
        <w:rPr>
          <w:b w:val="0"/>
          <w:color w:val="666666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Times New Roman" w:cs="Times New Roman" w:eastAsia="Times New Roman" w:hAnsi="Times New Roman"/>
        <w:sz w:val="18"/>
        <w:szCs w:val="18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pBdr/>
      <w:spacing w:before="320" w:line="240" w:lineRule="auto"/>
      <w:contextualSpacing w:val="1"/>
    </w:pPr>
    <w:rPr>
      <w:b w:val="1"/>
      <w:color w:val="e31c60"/>
      <w:sz w:val="22"/>
      <w:szCs w:val="22"/>
    </w:rPr>
  </w:style>
  <w:style w:type="paragraph" w:styleId="Heading3">
    <w:name w:val="heading 3"/>
    <w:basedOn w:val="Normal"/>
    <w:next w:val="Normal"/>
    <w:pPr>
      <w:pBdr/>
      <w:spacing w:before="32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0" w:line="240" w:lineRule="auto"/>
      <w:contextualSpacing w:val="1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120" w:line="276" w:lineRule="auto"/>
      <w:contextualSpacing w:val="1"/>
    </w:pPr>
    <w:rPr>
      <w:b w:val="1"/>
      <w:color w:val="e31c6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5.jpg"/><Relationship Id="rId7" Type="http://schemas.openxmlformats.org/officeDocument/2006/relationships/image" Target="media/image0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