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3A6B"/>
          <w:sz w:val="32"/>
          <w:szCs w:val="32"/>
        </w:rPr>
        <w:t xml:space="preserve">Architectural Isolation as a Timing Safety Primitive for Edge AI Medical Devices: Controlled Experimental Evidence on a Shared-Silicon Platform</w:t>
      </w:r>
    </w:p>
    <w:p>
      <w:pPr>
        <w:spacing w:after="40" w:before="0"/>
        <w:jc w:val="center"/>
      </w:pPr>
      <w:r>
        <w:rPr>
          <w:rFonts w:ascii="Arial" w:cs="Arial" w:eastAsia="Arial" w:hAnsi="Arial"/>
          <w:b/>
          <w:bCs/>
          <w:color w:val="2E6DA4"/>
          <w:sz w:val="22"/>
          <w:szCs w:val="22"/>
        </w:rPr>
        <w:t xml:space="preserve">Akul Mallayya Swami</w:t>
      </w:r>
    </w:p>
    <w:p>
      <w:pPr>
        <w:spacing w:after="40" w:before="0"/>
        <w:jc w:val="center"/>
      </w:pPr>
      <w:r>
        <w:rPr>
          <w:rFonts w:ascii="Arial" w:cs="Arial" w:eastAsia="Arial" w:hAnsi="Arial"/>
          <w:color w:val="444444"/>
          <w:sz w:val="20"/>
          <w:szCs w:val="20"/>
        </w:rPr>
        <w:t xml:space="preserve">Varian Medical Systems, A Siemens Healthineers Company, Palo Alto, CA, USA</w:t>
      </w:r>
    </w:p>
    <w:p>
      <w:pPr>
        <w:spacing w:after="200" w:before="0"/>
        <w:jc w:val="center"/>
      </w:pPr>
      <w:r>
        <w:rPr>
          <w:rFonts w:ascii="Arial" w:cs="Arial" w:eastAsia="Arial" w:hAnsi="Arial"/>
          <w:color w:val="555555"/>
          <w:sz w:val="18"/>
          <w:szCs w:val="18"/>
        </w:rPr>
        <w:t xml:space="preserve">Corresponding author: Akul Mallayya Swami (e-mail: swami.akul@alumni.uml.edu)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16"/>
              <w:bottom w:val="single" w:color="2E6DA4" w:sz="8"/>
              <w:right w:val="single" w:color="C0C8D4" w:sz="4"/>
            </w:tcBorders>
            <w:shd w:fill="F4F6F9" w:val="clear"/>
            <w:tcMar>
              <w:top w:type="dxa" w:w="160"/>
              <w:left w:type="dxa" w:w="240"/>
              <w:bottom w:type="dxa" w:w="160"/>
              <w:right w:type="dxa" w:w="240"/>
            </w:tcMar>
          </w:tcPr>
          <w:p>
            <w:pPr>
              <w:spacing w:after="80" w:before="0"/>
            </w:pPr>
            <w:r>
              <w:rPr>
                <w:rFonts w:ascii="Arial" w:cs="Arial" w:eastAsia="Arial" w:hAnsi="Arial"/>
                <w:b/>
                <w:bCs/>
                <w:caps/>
                <w:color w:val="1B3A6B"/>
                <w:sz w:val="20"/>
                <w:szCs w:val="20"/>
              </w:rPr>
              <w:t xml:space="preserve">ABSTRACT</w:t>
            </w:r>
          </w:p>
          <w:p>
            <w:pPr>
              <w:spacing w:after="0" w:before="0" w:line="264"/>
              <w:jc w:val="both"/>
            </w:pPr>
            <w:r>
              <w:rPr>
                <w:rFonts w:ascii="Arial" w:cs="Arial" w:eastAsia="Arial" w:hAnsi="Arial"/>
                <w:sz w:val="18"/>
                <w:szCs w:val="18"/>
              </w:rPr>
              <w:t xml:space="preserve">Output correctness and timing reliability are independent safety properties of edge AI inference pipelines—yet FDA pre-market validation assesses neither under deployment conditions. This letter demonstrates this independence through a controlled experiment: the same MobileNetV2 model is evaluated under identical adversarial load on two execution paths of the same physical hardware—a dedicated GPU accelerator (TensorRT FP16) and a general-purpose CPU (ONNX Runtime FP32)—on the NVIDIA Jetson Orin Nano Super. Across five stressor classes and ∼158,000 inference activations, both paths maintain STER = 0.0000 (zero output exceedances above T* = 0.05), confirming output stability is not the failure mode. The paths diverge sharply on timing: the GPU path maintains latency &lt;15 ms under all conditions; the CPU path degrades 7.2× under combined load (14.5 ms to 104.0 ms mean, P99 = 165.1 ms), breaching the 10 Hz clinical cycle budget by 65%. Because same-hardware design eliminates platform confounds, this result is consistent with causal attribution of timing safety to the dedicated accelerator architecture. A device can be output-correct and still clinically unsafe: the Safety-Threshold Exceedance Rate (STER) verifies output bounds; latency verification is required for timing safety. Both are proposed as joint pre-market acceptance criteria under FDA Draft Guidance FDA-2024-D-4488 (January 2025).</w:t>
            </w:r>
          </w:p>
        </w:tc>
      </w:tr>
    </w:tbl>
    <w:p>
      <w:pPr>
        <w:spacing w:after="0" w:before="120"/>
      </w:pPr>
      <w:r>
        <w:rPr>
          <w:rFonts w:ascii="Arial" w:cs="Arial" w:eastAsia="Arial" w:hAnsi="Arial"/>
          <w:sz w:val="20"/>
          <w:szCs w:val="20"/>
        </w:rPr>
        <w:t xml:space="preserve"/>
      </w:r>
    </w:p>
    <w:p>
      <w:pPr>
        <w:spacing w:after="160" w:before="0"/>
      </w:pPr>
      <w:r>
        <w:rPr>
          <w:rFonts w:ascii="Arial" w:cs="Arial" w:eastAsia="Arial" w:hAnsi="Arial"/>
          <w:b/>
          <w:bCs/>
          <w:color w:val="1B3A6B"/>
          <w:sz w:val="18"/>
          <w:szCs w:val="18"/>
        </w:rPr>
        <w:t xml:space="preserve">INDEX TERMS  </w:t>
      </w:r>
      <w:r>
        <w:rPr>
          <w:rFonts w:ascii="Arial" w:cs="Arial" w:eastAsia="Arial" w:hAnsi="Arial"/>
          <w:sz w:val="18"/>
          <w:szCs w:val="18"/>
        </w:rPr>
        <w:t xml:space="preserve">embedded systems, inference engines, system reliability, neural network hardware, Software as a Medical Device (SaMD), inference stability, resource contention, edge AI, safety-threshold exceedance rate (STER), timing safety, architectural isolation, pre-market validation, IEC 62304, ISO 14971, TensorRT, ONNX Runtime.</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I. Introduction</w:t>
      </w:r>
    </w:p>
    <w:p>
      <w:pPr>
        <w:spacing w:after="100" w:before="60" w:line="276"/>
        <w:jc w:val="both"/>
      </w:pPr>
      <w:r>
        <w:rPr>
          <w:rFonts w:ascii="Arial" w:cs="Arial" w:eastAsia="Arial" w:hAnsi="Arial"/>
          <w:sz w:val="20"/>
          <w:szCs w:val="20"/>
        </w:rPr>
        <w:t xml:space="preserve">FDA pre-market validation of AI-enabled medical devices assesses model performance through accuracy-based metrics—sensitivity, specificity, AUC—measured on curated test datasets under controlled, zero-contention conditions [1]. This evaluation framework does not explicitly characterize inference output stability or timing reliability under the system-level resource contention typical of real-world clinical deployment: concurrent background processes, memory pressure from telemetry and logging, and co-resident workloads competing for CPU cycles and memory bandwidth.</w:t>
      </w:r>
    </w:p>
    <w:p>
      <w:pPr>
        <w:spacing w:after="100" w:before="60" w:line="276"/>
        <w:jc w:val="both"/>
      </w:pPr>
      <w:r>
        <w:rPr>
          <w:rFonts w:ascii="Arial" w:cs="Arial" w:eastAsia="Arial" w:hAnsi="Arial"/>
          <w:sz w:val="20"/>
          <w:szCs w:val="20"/>
        </w:rPr>
        <w:t xml:space="preserve">The clinical stakes of this gap are documented in the peer-reviewed literature. A 2025 cross-sectional study of 950 FDA-cleared AI-enabled medical devices found that diagnostic or measurement errors were the leading cause of AI device recalls, and that 43% of all recalls occurred within the first year of clearance [15]. These findings are consistent with a pre-market testing framework that evaluates model performance under controlled, zero-contention conditions but does not explicitly require verification of inference output stability or timing reliability under foreseeable deployment load. IEC 62304-classified devices are required to meet their timing specifications under all operating conditions [8], yet no standardized empirical method exists for characterizing whether inference timing is preserved when the deployment environment is under stress. This letter addresses both gaps through a controlled experiment that isolates the architectural contribution of a dedicated inference accelerator to each property independently.</w:t>
      </w:r>
    </w:p>
    <w:p>
      <w:pPr>
        <w:spacing w:after="100" w:before="60" w:line="276"/>
        <w:jc w:val="both"/>
      </w:pPr>
      <w:r>
        <w:rPr>
          <w:rFonts w:ascii="Arial" w:cs="Arial" w:eastAsia="Arial" w:hAnsi="Arial"/>
          <w:sz w:val="20"/>
          <w:szCs w:val="20"/>
        </w:rPr>
        <w:t xml:space="preserve">FDA's January 2025 Draft Guidance (Docket FDA-2024-D-4488) takes a first step toward closing this gap, requiring manufacturers to assess robustness to "reasonably foreseeable conditions of use" and to monitor performance for degradation after deployment [2]. The guidance does not specify empirical methods for characterizing inference output stability or timing reliability under resource contention, nor does it propose candidate metrics for pre-market testing of these properties. IEC 62304 Clause 6.3.2 requires verification that software units meet their timing requirements under all foreseeable operating conditions [8]; however, no published method exists for empirically characterizing whether inference pipeline timing is preserved when the device operates under realistic deployment load. This letter provides controlled experimental evidence: by running identical models under identical stressors on both the GPU accelerator and the general-purpose CPU of the same hardware, we isolate the architectural contribution to each safety property and propose joint STER + latency verification as a concrete pre-market acceptance protocol.</w:t>
      </w:r>
    </w:p>
    <w:p>
      <w:pPr>
        <w:pStyle w:val="Heading2"/>
        <w:spacing w:after="80" w:before="200"/>
      </w:pPr>
      <w:r>
        <w:rPr>
          <w:rFonts w:ascii="Arial" w:cs="Arial" w:eastAsia="Arial" w:hAnsi="Arial"/>
          <w:b/>
          <w:bCs/>
          <w:color w:val="2E6DA4"/>
          <w:sz w:val="22"/>
          <w:szCs w:val="22"/>
        </w:rPr>
        <w:t xml:space="preserve">Contributions</w:t>
      </w:r>
    </w:p>
    <w:p>
      <w:pPr>
        <w:spacing w:after="100" w:before="60" w:line="276"/>
        <w:jc w:val="both"/>
      </w:pPr>
      <w:r>
        <w:rPr>
          <w:rFonts w:ascii="Arial" w:cs="Arial" w:eastAsia="Arial" w:hAnsi="Arial"/>
          <w:sz w:val="20"/>
          <w:szCs w:val="20"/>
        </w:rPr>
        <w:t xml:space="preserve">This letter makes four specific contributions:</w:t>
      </w:r>
    </w:p>
    <w:p>
      <w:pPr>
        <w:pStyle w:val="ListParagraph"/>
        <w:numPr>
          <w:ilvl w:val="0"/>
          <w:numId w:val="2"/>
        </w:numPr>
        <w:spacing w:after="40" w:before="40"/>
      </w:pPr>
      <w:r>
        <w:rPr>
          <w:rFonts w:ascii="Arial" w:cs="Arial" w:eastAsia="Arial" w:hAnsi="Arial"/>
          <w:sz w:val="20"/>
          <w:szCs w:val="20"/>
        </w:rPr>
        <w:t xml:space="preserve">Output correctness and timing reliability are independent safety properties: on dedicated accelerator hardware, both are preserved under contention; on general-purpose CPU hardware, output correctness is preserved but timing reliability degrades 7.2×. Current FDA accuracy-based validation may not detect this distinction, as Δaccuracy &lt; 1.0% on both paths under all conditions.</w:t>
      </w:r>
    </w:p>
    <w:p>
      <w:pPr>
        <w:pStyle w:val="ListParagraph"/>
        <w:numPr>
          <w:ilvl w:val="0"/>
          <w:numId w:val="2"/>
        </w:numPr>
        <w:spacing w:after="40" w:before="40"/>
      </w:pPr>
      <w:r>
        <w:rPr>
          <w:rFonts w:ascii="Arial" w:cs="Arial" w:eastAsia="Arial" w:hAnsi="Arial"/>
          <w:sz w:val="20"/>
          <w:szCs w:val="20"/>
        </w:rPr>
        <w:t xml:space="preserve">Controlled same-hardware evidence: Running the same model under identical stressors on both execution paths of the same Jetson Orin Nano Super eliminates platform confounds and supports attribution of timing behavior to the accelerator architecture. GPU path: STER = 0.0000 and latency &lt;15 ms under all conditions. CPU path: STER = 0.0000 but latency degrades to 104 ms mean / 165 ms P99 under combined load, breaching the 10 Hz clinical cycle budget by 65%.</w:t>
      </w:r>
    </w:p>
    <w:p>
      <w:pPr>
        <w:pStyle w:val="ListParagraph"/>
        <w:numPr>
          <w:ilvl w:val="0"/>
          <w:numId w:val="2"/>
        </w:numPr>
        <w:spacing w:after="40" w:before="40"/>
      </w:pPr>
      <w:r>
        <w:rPr>
          <w:rFonts w:ascii="Arial" w:cs="Arial" w:eastAsia="Arial" w:hAnsi="Arial"/>
          <w:sz w:val="20"/>
          <w:szCs w:val="20"/>
        </w:rPr>
        <w:t xml:space="preserve">Timing as the dominant failure mode: STER = 0.0000 on both paths establishes that output instability is not the failure mode under realistic contention, isolating timing degradation as the sole safety-relevant divergence. This result grounds the validation gap claim in experimental evidence rather than speculation.</w:t>
      </w:r>
    </w:p>
    <w:p>
      <w:pPr>
        <w:pStyle w:val="ListParagraph"/>
        <w:numPr>
          <w:ilvl w:val="0"/>
          <w:numId w:val="2"/>
        </w:numPr>
        <w:spacing w:after="40" w:before="40"/>
      </w:pPr>
      <w:r>
        <w:rPr>
          <w:rFonts w:ascii="Arial" w:cs="Arial" w:eastAsia="Arial" w:hAnsi="Arial"/>
          <w:sz w:val="20"/>
          <w:szCs w:val="20"/>
        </w:rPr>
        <w:t xml:space="preserve">Joint STER + latency pre-market protocol: A concrete acceptance protocol is proposed—STER ≤ STER_max AND latency_P99 ≤ T_n under foreseeable stressor conditions—operationalizing FDA Draft Guidance FDA-2024-D-4488’s robustness assessment requirement with reproducible, hardware-agnostic criteria consistent with IEC 62304 Clause 6.3.2. Current accuracy-based validation would pass both execution paths without distinguishing their timing safety profiles.</w:t>
      </w:r>
    </w:p>
    <w:p>
      <w:pPr>
        <w:numPr>
          <w:ilvl w:val="0"/>
          <w:numId w:val="1"/>
        </w:numPr>
        <w:spacing w:after="60" w:before="60"/>
      </w:pPr>
      <w:r>
        <w:rPr>
          <w:rFonts w:ascii="Arial" w:cs="Arial" w:eastAsia="Arial" w:hAnsi="Arial"/>
          <w:sz w:val="20"/>
          <w:szCs w:val="20"/>
        </w:rPr>
        <w:t xml:space="preserve">CPU-only negative control: Joint STER + latency pre-market protocol: A concrete acceptance protocol is proposed—STER ≤ STER_max AND latency_P99 ≤ T_n under foreseeable stressor conditions—operationalizing FDA Draft Guidance FDA-2024-D-4488’s robustness assessment requirement with reproducible, hardware-agnostic acceptance criteria consistent with IEC 62304 Clause 6.3.2.</w:t>
      </w:r>
    </w:p>
    <w:p>
      <w:pPr>
        <w:pStyle w:val="Heading1"/>
        <w:spacing w:after="120" w:before="300"/>
      </w:pPr>
      <w:r>
        <w:rPr>
          <w:rFonts w:ascii="Arial" w:cs="Arial" w:eastAsia="Arial" w:hAnsi="Arial"/>
          <w:b/>
          <w:bCs/>
          <w:caps/>
          <w:color w:val="1B3A6B"/>
          <w:sz w:val="28"/>
          <w:szCs w:val="28"/>
        </w:rPr>
        <w:t xml:space="preserve">II. Related Work</w:t>
      </w:r>
    </w:p>
    <w:p>
      <w:pPr>
        <w:spacing w:after="100" w:before="60" w:line="276"/>
        <w:jc w:val="both"/>
      </w:pPr>
      <w:r>
        <w:rPr>
          <w:rFonts w:ascii="Arial" w:cs="Arial" w:eastAsia="Arial" w:hAnsi="Arial"/>
          <w:sz w:val="20"/>
          <w:szCs w:val="20"/>
        </w:rPr>
        <w:t xml:space="preserve">Prior edge inference characterization work addresses throughput maximization [3], latency predictability under GPU co-tenancy using MPS and MIG isolation [4], and benchmarking of inference time and accuracy across hardware tiers [5], [6]. The performance isolation work of [4] is closest in spirit to this letter's architectural comparison; however, it measures inference timing guarantees under GPU partitioning and does not measure output stability variance for identical inputs, does not apply an ISO 14971 or IEC 62304 safety framing, and does not characterize inference output stability as a pre-market verification property. Benchmarking surveys [5], [6] compare accuracy and inference time across device classes without contention stress and without a pre-market verification framing.</w:t>
      </w:r>
    </w:p>
    <w:p>
      <w:pPr>
        <w:spacing w:after="100" w:before="60" w:line="276"/>
        <w:jc w:val="both"/>
      </w:pPr>
      <w:r>
        <w:rPr>
          <w:rFonts w:ascii="Arial" w:cs="Arial" w:eastAsia="Arial" w:hAnsi="Arial"/>
          <w:sz w:val="20"/>
          <w:szCs w:val="20"/>
        </w:rPr>
        <w:t xml:space="preserve">Safety-oriented work on neural networks in medical devices [7] addresses model-level safety mechanisms (uncertainty quantification, runtime monitors on output values) but does not empirically characterize resource-contention-induced output stability or its relationship to pre-market accuracy metrics. No prior published work has: (a) jointly measured inference output variance and classification accuracy under identical contention conditions on architecturally distinct platforms; (b) proposed STER as a candidate FDA pre-market verification metric grounded in ISO 14971; (c) characterized network I/O as a contention stressor class in a medical device safety context; or (d) provided empirical evidence that dedicated inference accelerator architectures may satisfy STER-based pre-market criteria within tested conditions across all foreseeable stressor classes.</w:t>
      </w:r>
    </w:p>
    <w:p>
      <w:pPr>
        <w:pStyle w:val="Heading1"/>
        <w:spacing w:after="120" w:before="300"/>
      </w:pPr>
      <w:r>
        <w:rPr>
          <w:rFonts w:ascii="Arial" w:cs="Arial" w:eastAsia="Arial" w:hAnsi="Arial"/>
          <w:b/>
          <w:bCs/>
          <w:caps/>
          <w:color w:val="1B3A6B"/>
          <w:sz w:val="28"/>
          <w:szCs w:val="28"/>
        </w:rPr>
        <w:t xml:space="preserve">III. System Model and Formal Definitions</w:t>
      </w:r>
    </w:p>
    <w:p>
      <w:pPr>
        <w:pStyle w:val="Heading2"/>
        <w:spacing w:after="80" w:before="200"/>
      </w:pPr>
      <w:r>
        <w:rPr>
          <w:rFonts w:ascii="Arial" w:cs="Arial" w:eastAsia="Arial" w:hAnsi="Arial"/>
          <w:b/>
          <w:bCs/>
          <w:color w:val="2E6DA4"/>
          <w:sz w:val="22"/>
          <w:szCs w:val="22"/>
        </w:rPr>
        <w:t xml:space="preserve">A. Output Stability Under Identical Inputs</w:t>
      </w:r>
    </w:p>
    <w:p>
      <w:pPr>
        <w:spacing w:after="100" w:before="60" w:line="276"/>
        <w:jc w:val="both"/>
      </w:pPr>
      <w:r>
        <w:rPr>
          <w:rFonts w:ascii="Arial" w:cs="Arial" w:eastAsia="Arial" w:hAnsi="Arial"/>
          <w:sz w:val="20"/>
          <w:szCs w:val="20"/>
        </w:rPr>
        <w:t xml:space="preserve">Let f denote a deployed inference model and x a fixed test input. Under nominal conditions (zero stressor load), repeated inference produces outputs {f(x)₁, f(x)₂, ..., f(x)ᶣ} that exhibit bounded floating-point variance for GPU-based inference (Jetson TensorRT FP16) or are bit-identical for CPU inference (ONNX Runtime FP32, deterministic ARM NEON SIMD operations). Let σ(ȳ) denote the mean softmax probability vector under nominal conditions and σ(yᵢ) the softmax output of the i-th inference under a stressor condition. The per-inference output deviation is defined as the L-infinity norm on the softmax probability vector:</w:t>
      </w:r>
    </w:p>
    <w:p>
      <w:pPr>
        <w:spacing w:after="120" w:before="120"/>
        <w:jc w:val="center"/>
      </w:pPr>
      <w:r>
        <w:rPr>
          <w:rFonts w:ascii="Courier New" w:cs="Courier New" w:eastAsia="Courier New" w:hAnsi="Courier New"/>
          <w:b/>
          <w:bCs/>
          <w:sz w:val="20"/>
          <w:szCs w:val="20"/>
        </w:rPr>
        <w:t xml:space="preserve">δᵢ = ‖σ(yᵢ) − σ(ȳ)‖∞ = max_k |σ(yᵢ)_k − σ(ȳ)_k|</w:t>
      </w:r>
      <w:r>
        <w:rPr>
          <w:rFonts w:ascii="Arial" w:cs="Arial" w:eastAsia="Arial" w:hAnsi="Arial"/>
          <w:color w:val="777777"/>
          <w:sz w:val="18"/>
          <w:szCs w:val="18"/>
        </w:rPr>
        <w:t xml:space="preserve">   (1)</w:t>
      </w:r>
    </w:p>
    <w:p>
      <w:pPr>
        <w:spacing w:after="100" w:before="60" w:line="276"/>
        <w:jc w:val="both"/>
      </w:pPr>
      <w:r>
        <w:rPr>
          <w:rFonts w:ascii="Arial" w:cs="Arial" w:eastAsia="Arial" w:hAnsi="Arial"/>
          <w:sz w:val="20"/>
          <w:szCs w:val="20"/>
        </w:rPr>
        <w:t xml:space="preserve">δᵢ is the maximum per-class probability shift in the softmax output vector, dimensionless and bounded in [0,1]. The L-infinity norm directly measures the worst-case per-class deviation, providing an interpretable, clinically-meaningful bound on output change.</w:t>
      </w:r>
    </w:p>
    <w:p>
      <w:pPr>
        <w:pStyle w:val="Heading2"/>
        <w:spacing w:after="80" w:before="200"/>
      </w:pPr>
      <w:r>
        <w:rPr>
          <w:rFonts w:ascii="Arial" w:cs="Arial" w:eastAsia="Arial" w:hAnsi="Arial"/>
          <w:b/>
          <w:bCs/>
          <w:color w:val="2E6DA4"/>
          <w:sz w:val="22"/>
          <w:szCs w:val="22"/>
        </w:rPr>
        <w:t xml:space="preserve">B. Tolerance Band T* and STER Definition</w:t>
      </w:r>
    </w:p>
    <w:p>
      <w:pPr>
        <w:spacing w:after="80" w:before="80"/>
      </w:pPr>
      <w:r>
        <w:rPr>
          <w:rFonts w:ascii="Arial" w:cs="Arial" w:eastAsia="Arial" w:hAnsi="Arial"/>
          <w:b/>
          <w:bCs/>
          <w:color w:val="1B3A6B"/>
          <w:sz w:val="20"/>
          <w:szCs w:val="20"/>
        </w:rPr>
        <w:t xml:space="preserve">Definition 1 (Tolerance Band T*).</w:t>
      </w:r>
      <w:r>
        <w:rPr>
          <w:rFonts w:ascii="Arial" w:cs="Arial" w:eastAsia="Arial" w:hAnsi="Arial"/>
          <w:sz w:val="20"/>
          <w:szCs w:val="20"/>
        </w:rPr>
        <w:t xml:space="preserve"> T* is defined as ±5% relative output deviation from the nominal mean:</w:t>
      </w:r>
    </w:p>
    <w:p>
      <w:pPr>
        <w:spacing w:after="120" w:before="120"/>
        <w:jc w:val="center"/>
      </w:pPr>
      <w:r>
        <w:rPr>
          <w:rFonts w:ascii="Courier New" w:cs="Courier New" w:eastAsia="Courier New" w:hAnsi="Courier New"/>
          <w:b/>
          <w:bCs/>
          <w:sz w:val="20"/>
          <w:szCs w:val="20"/>
        </w:rPr>
        <w:t xml:space="preserve">T* = 0.05</w:t>
      </w:r>
      <w:r>
        <w:rPr>
          <w:rFonts w:ascii="Arial" w:cs="Arial" w:eastAsia="Arial" w:hAnsi="Arial"/>
          <w:color w:val="777777"/>
          <w:sz w:val="18"/>
          <w:szCs w:val="18"/>
        </w:rPr>
        <w:t xml:space="preserve">   (2)</w:t>
      </w:r>
    </w:p>
    <w:p>
      <w:pPr>
        <w:spacing w:after="100" w:before="60" w:line="276"/>
        <w:jc w:val="both"/>
      </w:pPr>
      <w:r>
        <w:rPr>
          <w:rFonts w:ascii="Arial" w:cs="Arial" w:eastAsia="Arial" w:hAnsi="Arial"/>
          <w:sz w:val="20"/>
          <w:szCs w:val="20"/>
        </w:rPr>
        <w:t xml:space="preserve">Derivation: T* = 0.05 is selected as a conservative tolerance relative to ISO 14971 Table B.1 risk control examples for quantitative diagnostic outputs (typical clinical tolerance bands of 10–20% for diagnostic classifiers). Using T* = 0.05 ensures STER captures stability degradation that would be unacceptable before reaching levels typically flagged by clinical validation protocols.</w:t>
      </w:r>
    </w:p>
    <w:p>
      <w:pPr>
        <w:spacing w:after="80" w:before="80"/>
      </w:pPr>
      <w:r>
        <w:rPr>
          <w:rFonts w:ascii="Arial" w:cs="Arial" w:eastAsia="Arial" w:hAnsi="Arial"/>
          <w:b/>
          <w:bCs/>
          <w:color w:val="1B3A6B"/>
          <w:sz w:val="20"/>
          <w:szCs w:val="20"/>
        </w:rPr>
        <w:t xml:space="preserve">Definition 2 (Safety-Threshold Exceedance Rate).</w:t>
      </w:r>
      <w:r>
        <w:rPr>
          <w:rFonts w:ascii="Arial" w:cs="Arial" w:eastAsia="Arial" w:hAnsi="Arial"/>
          <w:sz w:val="20"/>
          <w:szCs w:val="20"/>
        </w:rPr>
        <w:t xml:space="preserve"> For N inference activations under a stressor condition:</w:t>
      </w:r>
    </w:p>
    <w:p>
      <w:pPr>
        <w:spacing w:after="120" w:before="120"/>
        <w:jc w:val="center"/>
      </w:pPr>
      <w:r>
        <w:rPr>
          <w:rFonts w:ascii="Courier New" w:cs="Courier New" w:eastAsia="Courier New" w:hAnsi="Courier New"/>
          <w:b/>
          <w:bCs/>
          <w:sz w:val="20"/>
          <w:szCs w:val="20"/>
        </w:rPr>
        <w:t xml:space="preserve">STER = (1/N) · Σᵢ 𝟙[δᵢ &gt; T*]</w:t>
      </w:r>
      <w:r>
        <w:rPr>
          <w:rFonts w:ascii="Arial" w:cs="Arial" w:eastAsia="Arial" w:hAnsi="Arial"/>
          <w:color w:val="777777"/>
          <w:sz w:val="18"/>
          <w:szCs w:val="18"/>
        </w:rPr>
        <w:t xml:space="preserve">   (3)</w:t>
      </w:r>
    </w:p>
    <w:p>
      <w:pPr>
        <w:spacing w:after="100" w:before="60" w:line="276"/>
        <w:jc w:val="both"/>
      </w:pPr>
      <w:r>
        <w:rPr>
          <w:rFonts w:ascii="Arial" w:cs="Arial" w:eastAsia="Arial" w:hAnsi="Arial"/>
          <w:sz w:val="20"/>
          <w:szCs w:val="20"/>
        </w:rPr>
        <w:t xml:space="preserve">where 𝟙[·] is the indicator function. STER ∈ [0, 1]; STER = 0 under nominal conditions (E0 baseline target). STER ∈ [0, 1]; STER = 0 under nominal conditions (E0 baseline target). STER is proposed as a candidate pre-market verification metric for characterizing inference output stability under reasonably foreseeable deployment conditions—not as an existing FDA-specified standard, but as a method for operationalizing the robustness assessment requirement in [2]. Critically, STER provides a formal mechanism to verify output stability independently of timing behavior, enabling isolation of timing-related failures from functional correctness failures—the distinction that this letter demonstrates empirically in E1–E6.</w:t>
      </w:r>
    </w:p>
    <w:p>
      <w:pPr>
        <w:pStyle w:val="Heading2"/>
        <w:spacing w:after="80" w:before="200"/>
      </w:pPr>
      <w:r>
        <w:rPr>
          <w:rFonts w:ascii="Arial" w:cs="Arial" w:eastAsia="Arial" w:hAnsi="Arial"/>
          <w:b/>
          <w:bCs/>
          <w:color w:val="2E6DA4"/>
          <w:sz w:val="22"/>
          <w:szCs w:val="22"/>
        </w:rPr>
        <w:t xml:space="preserve">C. Robustness Confirmation: STER vs. Accuracy</w:t>
      </w:r>
    </w:p>
    <w:p>
      <w:pPr>
        <w:spacing w:after="100" w:before="60" w:line="276"/>
        <w:jc w:val="both"/>
      </w:pPr>
      <w:r>
        <w:rPr>
          <w:rFonts w:ascii="Arial" w:cs="Arial" w:eastAsia="Arial" w:hAnsi="Arial"/>
          <w:sz w:val="20"/>
          <w:szCs w:val="20"/>
        </w:rPr>
        <w:t xml:space="preserve">Let Acc denote classification accuracy (proportion of correct top-1 predictions) over the same N inference activations. The robustness confirmation condition is the empirical basis for this letter’s methodological claim:</w:t>
      </w:r>
    </w:p>
    <w:p>
      <w:pPr>
        <w:spacing w:after="120" w:before="120"/>
        <w:jc w:val="center"/>
      </w:pPr>
      <w:r>
        <w:rPr>
          <w:rFonts w:ascii="Courier New" w:cs="Courier New" w:eastAsia="Courier New" w:hAnsi="Courier New"/>
          <w:b/>
          <w:bCs/>
          <w:sz w:val="20"/>
          <w:szCs w:val="20"/>
        </w:rPr>
        <w:t xml:space="preserve">|Acc_stressor - Acc_nominal| &lt; eps_acc   AND   STER_stressor &gt;&gt; STER_nominal</w:t>
      </w:r>
      <w:r>
        <w:rPr>
          <w:rFonts w:ascii="Arial" w:cs="Arial" w:eastAsia="Arial" w:hAnsi="Arial"/>
          <w:color w:val="777777"/>
          <w:sz w:val="18"/>
          <w:szCs w:val="18"/>
        </w:rPr>
        <w:t xml:space="preserve">   (4)</w:t>
      </w:r>
    </w:p>
    <w:p>
      <w:pPr>
        <w:spacing w:after="100" w:before="60" w:line="276"/>
        <w:jc w:val="both"/>
      </w:pPr>
      <w:r>
        <w:rPr>
          <w:rFonts w:ascii="Arial" w:cs="Arial" w:eastAsia="Arial" w:hAnsi="Arial"/>
          <w:sz w:val="20"/>
          <w:szCs w:val="20"/>
        </w:rPr>
        <w:t xml:space="preserve">where ε_acc = 2% is the detection sensitivity threshold of accuracy-based pre-market testing (typical 95% CI width for large-N accuracy studies). where STER_max = 0 is the acceptance criterion (zero exceedances above T*) and ε_acc = 2% is the detection sensitivity threshold of accuracy-based pre-market testing. Condition (4) states that a device satisfying both criteria provides stronger safety assurance than accuracy alone: not only are top-1 predictions stable, but the full output distribution is confirmed within the T* = 0.05 tolerance band under all tested stressor conditions. Accuracy-based testing satisfies only the second term; STER satisfies both. A device can satisfy condition (4) while still failing deployment requirements if timing stability is not separately verified—the failure mode demonstrated in E6. This is the primary testable claim of this letter, confirmed empirically in E1–E6.</w:t>
      </w:r>
    </w:p>
    <w:p>
      <w:pPr>
        <w:pStyle w:val="Heading2"/>
        <w:spacing w:after="80" w:before="200"/>
      </w:pPr>
      <w:r>
        <w:rPr>
          <w:rFonts w:ascii="Arial" w:cs="Arial" w:eastAsia="Arial" w:hAnsi="Arial"/>
          <w:b/>
          <w:bCs/>
          <w:color w:val="2E6DA4"/>
          <w:sz w:val="22"/>
          <w:szCs w:val="22"/>
        </w:rPr>
        <w:t xml:space="preserve">D. Architectural Isolation Model</w:t>
      </w:r>
    </w:p>
    <w:p>
      <w:pPr>
        <w:spacing w:after="100" w:before="60" w:line="276"/>
        <w:jc w:val="both"/>
      </w:pPr>
      <w:r>
        <w:rPr>
          <w:rFonts w:ascii="Arial" w:cs="Arial" w:eastAsia="Arial" w:hAnsi="Arial"/>
          <w:sz w:val="20"/>
          <w:szCs w:val="20"/>
        </w:rPr>
        <w:t xml:space="preserve">The Jetson Orin Nano Super uses a shared-bus LPDDR5 architecture in which CPU and GPU compete for the same memory bandwidth. The GPU execution path (TensorRT FP16) offloads inference entirely to the 1024-core Ampere GPU with dedicated DMA paths and QoS bandwidth reservation, isolating inference from CPU scheduling pressure. The CPU execution path (ONNX Runtime FP32) runs inference on the 6-core Arm Cortex-A78AE cluster, directly competing with stressor workloads for CPU time slices, cache lines, and DRAM bandwidth. This architectural difference is hypothesized to produce divergent timing behavior under contention while preserving output correctness on both paths, empirically tested in E1–E6.</w:t>
      </w:r>
    </w:p>
    <w:p>
      <w:pPr>
        <w:pStyle w:val="Heading1"/>
        <w:spacing w:after="120" w:before="300"/>
      </w:pPr>
      <w:r>
        <w:rPr>
          <w:rFonts w:ascii="Arial" w:cs="Arial" w:eastAsia="Arial" w:hAnsi="Arial"/>
          <w:b/>
          <w:bCs/>
          <w:caps/>
          <w:color w:val="1B3A6B"/>
          <w:sz w:val="28"/>
          <w:szCs w:val="28"/>
        </w:rPr>
        <w:t xml:space="preserve">IV. Hardware Platform and Experimental Protocol</w:t>
      </w:r>
    </w:p>
    <w:p>
      <w:pPr>
        <w:pStyle w:val="Heading2"/>
        <w:spacing w:after="80" w:before="200"/>
      </w:pPr>
      <w:r>
        <w:rPr>
          <w:rFonts w:ascii="Arial" w:cs="Arial" w:eastAsia="Arial" w:hAnsi="Arial"/>
          <w:b/>
          <w:bCs/>
          <w:color w:val="2E6DA4"/>
          <w:sz w:val="22"/>
          <w:szCs w:val="22"/>
        </w:rPr>
        <w:t xml:space="preserve">A. Hardware Platform</w:t>
      </w:r>
    </w:p>
    <w:p>
      <w:pPr>
        <w:spacing w:after="60" w:before="160"/>
        <w:jc w:val="center"/>
      </w:pPr>
      <w:r>
        <w:rPr>
          <w:rFonts w:ascii="Arial" w:cs="Arial" w:eastAsia="Arial" w:hAnsi="Arial"/>
          <w:b/>
          <w:bCs/>
          <w:color w:val="1B3A6B"/>
          <w:sz w:val="18"/>
          <w:szCs w:val="18"/>
        </w:rPr>
        <w:t xml:space="preserve">TABLE I. Hardware Platform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Component</w:t>
            </w:r>
          </w:p>
        </w:tc>
        <w:tc>
          <w:tcPr>
            <w:tcW w:type="dxa" w:w="2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Role</w:t>
            </w:r>
          </w:p>
        </w:tc>
        <w:tc>
          <w:tcPr>
            <w:tcW w:type="dxa" w:w="50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Key Specification</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NVIDIA Jetson Orin Nano Super 8GB</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Primary GPU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1024-core Ampere GPU, 67 TOPS, shared LPDDR5, TensorRT</w:t>
            </w:r>
          </w:p>
        </w:tc>
      </w:tr>
      <w:tr>
        <w:tc>
          <w:tcPr>
            <w:tcW w:type="dxa" w:w="280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CPU path (negative control)</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Dedicated TPU inference host</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ONNX Runtime FP32, CPUExecutionProvider, same Jetson hardware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nRF52840 DK</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peripheral / network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Cortex-M4, BLE 5.0, multi-connection central</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 Bluetooth SensorTag</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BLE data source</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Patient-analog wearable stressor node</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GL-AX1800 WiFi 6 Router</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RF environment control</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2.4 GHz / 5 GHz, co-channel interference generation</w:t>
            </w:r>
          </w:p>
        </w:tc>
      </w:tr>
      <w:tr>
        <w:tc>
          <w:tcPr>
            <w:tcW w:type="dxa" w:w="28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1TB SSD + Docking Station</w:t>
            </w:r>
          </w:p>
        </w:tc>
        <w:tc>
          <w:tcPr>
            <w:tcW w:type="dxa" w:w="2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Disk I/O stressor</w:t>
            </w:r>
          </w:p>
        </w:tc>
        <w:tc>
          <w:tcPr>
            <w:tcW w:type="dxa" w:w="50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fio benchmark, sustained sequential writes</w:t>
            </w:r>
          </w:p>
        </w:tc>
      </w:tr>
    </w:tbl>
    <w:p>
      <w:pPr>
        <w:spacing w:after="0" w:before="120"/>
      </w:pPr>
      <w:r>
        <w:rPr>
          <w:rFonts w:ascii="Arial" w:cs="Arial" w:eastAsia="Arial" w:hAnsi="Arial"/>
          <w:sz w:val="20"/>
          <w:szCs w:val="20"/>
        </w:rPr>
        <w:t xml:space="preserve"/>
      </w:r>
    </w:p>
    <w:p>
      <w:pPr>
        <w:spacing w:after="100" w:before="60" w:line="276"/>
        <w:jc w:val="both"/>
      </w:pPr>
      <w:r>
        <w:rPr>
          <w:rFonts w:ascii="Arial" w:cs="Arial" w:eastAsia="Arial" w:hAnsi="Arial"/>
          <w:sz w:val="20"/>
          <w:szCs w:val="20"/>
        </w:rPr>
        <w:t xml:space="preserve">Both execution paths run MobileNetV2 (224×224 RGB input, ImageNet classification head, 1000 classes) on the same 500-image fixed test set drawn from the ImageNet validation split, held constant across all experiments. The GPU path runs TensorRT FP16 at a nominal 10 Hz activation rate (T_n = 100 ms); the CPU-only path runs MobileNetV2 FP32 via ONNX Runtime (CPUExecutionProvider) on the same Jetson Orin Nano Super hardware. Using the same physical device for both paths is the critical methodological choice: it eliminates chip-to-chip variation as a confound, enabling causal attribution of timing behavior to the accelerator architecture specifically.</w:t>
      </w:r>
    </w:p>
    <w:p>
      <w:pPr>
        <w:pStyle w:val="Heading2"/>
        <w:spacing w:after="80" w:before="200"/>
      </w:pPr>
      <w:r>
        <w:rPr>
          <w:rFonts w:ascii="Arial" w:cs="Arial" w:eastAsia="Arial" w:hAnsi="Arial"/>
          <w:b/>
          <w:bCs/>
          <w:color w:val="2E6DA4"/>
          <w:sz w:val="22"/>
          <w:szCs w:val="22"/>
        </w:rPr>
        <w:t xml:space="preserve">B. Inference Pipeline (SaMD Analog)</w:t>
      </w:r>
    </w:p>
    <w:p>
      <w:pPr>
        <w:spacing w:after="100" w:before="60" w:line="276"/>
        <w:jc w:val="both"/>
      </w:pPr>
      <w:r>
        <w:rPr>
          <w:rFonts w:ascii="Arial" w:cs="Arial" w:eastAsia="Arial" w:hAnsi="Arial"/>
          <w:sz w:val="20"/>
          <w:szCs w:val="20"/>
        </w:rPr>
        <w:t xml:space="preserve">The inference pipeline represents the behavioral profile of a diagnostic SaMD performing periodic classification on sensor-derived image data—for example, a dermatology screening tool or retinal imaging classifier operating at 10 Hz in a clinical environment with concurrent telemetry, logging, and wireless monitoring activity. MobileNetV2 is chosen as representative of the complexity class deployed in FDA-authorized diagnostic SaMD (compact CNN, 3.4M parameters, production-proven on embedded hardware).</w:t>
      </w:r>
    </w:p>
    <w:p>
      <w:pPr>
        <w:pStyle w:val="Heading2"/>
        <w:spacing w:after="80" w:before="200"/>
      </w:pPr>
      <w:r>
        <w:rPr>
          <w:rFonts w:ascii="Arial" w:cs="Arial" w:eastAsia="Arial" w:hAnsi="Arial"/>
          <w:b/>
          <w:bCs/>
          <w:color w:val="2E6DA4"/>
          <w:sz w:val="22"/>
          <w:szCs w:val="22"/>
        </w:rPr>
        <w:t xml:space="preserve">C. Stressor Classes and Experimental Protocol</w:t>
      </w:r>
    </w:p>
    <w:p>
      <w:pPr>
        <w:spacing w:after="60" w:before="160"/>
        <w:jc w:val="center"/>
      </w:pPr>
      <w:r>
        <w:rPr>
          <w:rFonts w:ascii="Arial" w:cs="Arial" w:eastAsia="Arial" w:hAnsi="Arial"/>
          <w:b/>
          <w:bCs/>
          <w:color w:val="1B3A6B"/>
          <w:sz w:val="18"/>
          <w:szCs w:val="18"/>
        </w:rPr>
        <w:t xml:space="preserve">TABLE II. Experiment Summary (E0–E6)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480"/>
        <w:gridCol w:w="1300"/>
        <w:gridCol w:w="1200"/>
      </w:tblGrid>
      <w:tr>
        <w:trPr>
          <w:tblHeader/>
        </w:trPr>
        <w:tc>
          <w:tcPr>
            <w:tcW w:type="dxa" w:w="5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ID</w:t>
            </w:r>
          </w:p>
        </w:tc>
        <w:tc>
          <w:tcPr>
            <w:tcW w:type="dxa" w:w="16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Stressor</w:t>
            </w:r>
          </w:p>
        </w:tc>
        <w:tc>
          <w:tcPr>
            <w:tcW w:type="dxa" w:w="54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Protocol</w:t>
            </w:r>
          </w:p>
        </w:tc>
        <w:tc>
          <w:tcPr>
            <w:tcW w:type="dxa" w:w="13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IEC 62304</w:t>
            </w:r>
          </w:p>
        </w:tc>
        <w:tc>
          <w:tcPr>
            <w:tcW w:type="dxa" w:w="12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Primary Output</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Baseline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Both platforms, zero load. T* = 0.05. Establishes STER = 0 target. N = 500 inferences per platform, 10 trials.</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baseline, Acc baseline</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E1</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Stress</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--cpu at 25/50/75/100% system-wide load. Both GPU and CPU paths tested at each level. 10 trials per level, 500 inferences each. Primary stressor for timing/output independence test.</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Acc vs. load level; dissociation confirmation</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Memory Pressure</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stress-ng --vm at 25/50/75/90% LPDDR5 fill. GPU path only. 5 trials per level, 500 inferences each.</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onset threshold; GPU DMA isolation confirmed</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E3</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GPU Co-tenancy</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1/2/3/4 parallel TensorRT inference workers on Jetson GPU (plus 0-worker baseline). GPU path only. 5 trials per concurrency level, 500 inferences each.</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co-tenant count (Jetson only)</w:t>
            </w:r>
          </w:p>
        </w:tc>
      </w:tr>
      <w:tr>
        <w:tc>
          <w:tcPr>
            <w:tcW w:type="dxa" w:w="5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E4</w:t>
            </w:r>
          </w:p>
        </w:tc>
        <w:tc>
          <w:tcPr>
            <w:tcW w:type="dxa" w:w="16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Network I/O (Novel)</w:t>
            </w:r>
          </w:p>
        </w:tc>
        <w:tc>
          <w:tcPr>
            <w:tcW w:type="dxa" w:w="54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BLE from nRF52840 (0/2/4/6 simultaneous connections) + WiFi 2.4 GHz co-channel interference via GL-AX1800. GPU path. 10 trials per configuration, 500 inferences each.</w:t>
            </w:r>
          </w:p>
        </w:tc>
        <w:tc>
          <w:tcPr>
            <w:tcW w:type="dxa" w:w="13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B/C</w:t>
            </w:r>
          </w:p>
        </w:tc>
        <w:tc>
          <w:tcPr>
            <w:tcW w:type="dxa" w:w="120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vs. BLE connection count; WiFi compound effect</w:t>
            </w:r>
          </w:p>
        </w:tc>
      </w:tr>
      <w:tr>
        <w:tc>
          <w:tcPr>
            <w:tcW w:type="dxa" w:w="5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E5</w:t>
            </w:r>
          </w:p>
        </w:tc>
        <w:tc>
          <w:tcPr>
            <w:tcW w:type="dxa" w:w="16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Combined Realistic</w:t>
            </w:r>
          </w:p>
        </w:tc>
        <w:tc>
          <w:tcPr>
            <w:tcW w:type="dxa" w:w="54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 75% + memory 50% + BLE 4 connections + disk fio write simultaneously. GPU path. Represents clinical deployment worst-case. 10 trials, 500 inferences each.</w:t>
            </w:r>
          </w:p>
        </w:tc>
        <w:tc>
          <w:tcPr>
            <w:tcW w:type="dxa" w:w="13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C</w:t>
            </w:r>
          </w:p>
        </w:tc>
        <w:tc>
          <w:tcPr>
            <w:tcW w:type="dxa" w:w="12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combined vs. worst single stressor</w:t>
            </w:r>
          </w:p>
        </w:tc>
      </w:tr>
      <w:tr>
        <w:tc>
          <w:tcPr>
            <w:tcW w:type="dxa" w:w="5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E6</w:t>
            </w:r>
          </w:p>
        </w:tc>
        <w:tc>
          <w:tcPr>
            <w:tcW w:type="dxa" w:w="16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CPU-Only Negative Control</w:t>
            </w:r>
          </w:p>
        </w:tc>
        <w:tc>
          <w:tcPr>
            <w:tcW w:type="dxa" w:w="548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ONNX Runtime FP32, CPUExecutionProvider on Jetson Orin Nano Super (same hardware as GPU path, no dedicated accelerator). CPU stress 0/25/50/75/100% + combined load. 10 trials per level, 500 inferences each. Negative control: isolates contribution of dedicated GPU accelerator to safety properties.</w:t>
            </w:r>
          </w:p>
        </w:tc>
        <w:tc>
          <w:tcPr>
            <w:tcW w:type="dxa" w:w="13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Class B</w:t>
            </w:r>
          </w:p>
        </w:tc>
        <w:tc>
          <w:tcPr>
            <w:tcW w:type="dxa" w:w="1200"/>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STER (output stability); latency degradation as failure mode without dedicated accelerator</w:t>
            </w:r>
          </w:p>
        </w:tc>
      </w:tr>
    </w:tbl>
    <w:p>
      <w:pPr>
        <w:spacing w:after="0" w:before="16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Measurement Protocol</w:t>
      </w:r>
    </w:p>
    <w:p>
      <w:pPr>
        <w:spacing w:after="100" w:before="60" w:line="276"/>
        <w:jc w:val="both"/>
      </w:pPr>
      <w:r>
        <w:rPr>
          <w:rFonts w:ascii="Arial" w:cs="Arial" w:eastAsia="Arial" w:hAnsi="Arial"/>
          <w:sz w:val="20"/>
          <w:szCs w:val="20"/>
        </w:rPr>
        <w:t xml:space="preserve">For each trial, N = 500 inference activations are recorded under the active stressor condition (GPU path) or N = 500 inferences per trial (CPU path). For each activation i: (1) the fixed test input x_j (j = i mod 500) is presented; (2) the softmax probability vector σ(yᵢ) is recorded; (3) δᵢ is computed per Eq. (1) as the L-infinity norm on consecutive softmax outputs; (4) top-1 classification label is recorded. STER is computed per Eq. (3) over the N activations. Accuracy is computed as the proportion of correct top-1 labels. Both metrics are computed from the same inference pass.</w:t>
      </w:r>
    </w:p>
    <w:p>
      <w:pPr>
        <w:spacing w:after="80" w:before="80"/>
        <w:jc w:val="both"/>
      </w:pPr>
      <w:r>
        <w:rPr>
          <w:rFonts w:ascii="Arial" w:cs="Arial" w:eastAsia="Arial" w:hAnsi="Arial"/>
          <w:sz w:val="18"/>
          <w:szCs w:val="18"/>
        </w:rPr>
        <w:t xml:space="preserve"/>
      </w:r>
    </w:p>
    <w:p>
      <w:pPr>
        <w:spacing w:after="100" w:before="60" w:line="276"/>
        <w:jc w:val="both"/>
      </w:pPr>
      <w:r>
        <w:rPr>
          <w:rFonts w:ascii="Arial" w:cs="Arial" w:eastAsia="Arial" w:hAnsi="Arial"/>
          <w:sz w:val="20"/>
          <w:szCs w:val="20"/>
        </w:rPr>
        <w:t xml:space="preserve">Condition (4) is evaluated per trial: STER_stressor is compared against STER_nominal (E0 baseline, target = 0), and Acc_stressor is compared against Acc_nominal (E0 baseline). Statistical significance is assessed using the two-proportion z-test for STER (α = 0.05) and the two-proportion z-test for accuracy (α = 0.05).</w:t>
      </w:r>
    </w:p>
    <w:p>
      <w:pPr>
        <w:pStyle w:val="Heading1"/>
        <w:spacing w:after="120" w:before="300"/>
      </w:pPr>
      <w:r>
        <w:rPr>
          <w:rFonts w:ascii="Arial" w:cs="Arial" w:eastAsia="Arial" w:hAnsi="Arial"/>
          <w:b/>
          <w:bCs/>
          <w:caps/>
          <w:color w:val="1B3A6B"/>
          <w:sz w:val="28"/>
          <w:szCs w:val="28"/>
        </w:rPr>
        <w:t xml:space="preserve">V. Results</w:t>
      </w:r>
    </w:p>
    <w:p>
      <w:pPr>
        <w:pBdr>
          <w:left w:val="single" w:color="E6A817" w:sz="12" w:space="2"/>
        </w:pBdr>
        <w:shd w:fill="FFF3CD" w:val="clear"/>
        <w:spacing w:after="120" w:before="0"/>
        <w:ind w:left="200"/>
      </w:pPr>
      <w:r>
        <w:rPr>
          <w:rFonts w:ascii="Arial" w:cs="Arial" w:eastAsia="Arial" w:hAnsi="Arial"/>
          <w:color w:val="7A5200"/>
          <w:sz w:val="18"/>
          <w:szCs w:val="18"/>
        </w:rPr>
        <w:t xml:space="preserve">E0–E6 results are confirmed experimental data. GPU path: E0–E5. CPU path negative control: E6.</w:t>
      </w:r>
    </w:p>
    <w:p>
      <w:pPr>
        <w:spacing w:after="0" w:before="10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A. E0 — Baseline Calibration</w:t>
      </w:r>
    </w:p>
    <w:p>
      <w:pPr>
        <w:spacing w:after="60" w:before="160"/>
        <w:jc w:val="center"/>
      </w:pPr>
      <w:r>
        <w:rPr>
          <w:rFonts w:ascii="Arial" w:cs="Arial" w:eastAsia="Arial" w:hAnsi="Arial"/>
          <w:b/>
          <w:bCs/>
          <w:color w:val="1B3A6B"/>
          <w:sz w:val="18"/>
          <w:szCs w:val="18"/>
        </w:rPr>
        <w:t xml:space="preserve">TABLE III. E0 Baseline Statistics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Acc_nominal</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mean</w:t>
            </w:r>
          </w:p>
        </w:tc>
        <w:tc>
          <w:tcPr>
            <w:tcW w:type="dxa" w:w="189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P99</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0.0181</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0.0233</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CPU path (E6)</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89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GPU path baseline STER = 0.0000 confirmed (TensorRT FP16, 10 trials × 500 inferences). GPU floating-point variance produces nonzero δ_mean = 0.0181 but zero exceedances above T* = 0.05. CPU path baseline STER = 0.0000, δ = 0.0000 exactly (ONNX Runtime FP32, deterministic ARM NEON SIMD). Latency at zero load: GPU path 14.8 ms mean; CPU path 14.5 ms mean—comparable at zero stressor, establishing matched baseline conditions. Top-1 accuracy on 500 ImageNet images: 1.60% on both paths (same model, same images, same label mapping). T_n = 100 ms, 10 Hz confirmed on both paths.</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B. E1 — CPU Stress: Accuracy/Stability Dissociation</w:t>
      </w:r>
    </w:p>
    <w:p>
      <w:pPr>
        <w:spacing w:after="60" w:before="160"/>
        <w:jc w:val="center"/>
      </w:pPr>
      <w:r>
        <w:rPr>
          <w:rFonts w:ascii="Arial" w:cs="Arial" w:eastAsia="Arial" w:hAnsi="Arial"/>
          <w:b/>
          <w:bCs/>
          <w:color w:val="1B3A6B"/>
          <w:sz w:val="18"/>
          <w:szCs w:val="18"/>
        </w:rPr>
        <w:t xml:space="preserve">TABLE IV. E1 Results — STER and Accuracy vs. CPU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Load</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 (J/E0)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1.42%</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1.70%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100%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N/A (0/0)</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Both paths maintain STER = 0.0000 at all CPU load levels (10 trials × 500 inferences each per level). GPU path: δ_mean = 0.0181 ± 0.0002 and δ_P99 = 0.0233 ± 0.0009 show no load-dependent trend—TensorRT FP16 executes on the GPU with no architectural path for CPU saturation to disturb inference. CPU path: δ = 0.0000 exactly at all levels—ONNX Runtime FP32 is arithmetically deterministic regardless of scheduling pressure. The paths diverge on latency: GPU path remains ∼14.8 ms across all CPU load levels; CPU path increases from 14.5 ms at 0% load to 33.4 ms (25%), 57.8 ms (50%), 73.7 ms (75%), and 70.9 ms (100%) mean latency. Output stability is preserved on both paths; timing stability is preserved only on the GPU path.</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C. E2 — Memory Pressure</w:t>
      </w:r>
    </w:p>
    <w:p>
      <w:pPr>
        <w:spacing w:after="60" w:before="160"/>
        <w:jc w:val="center"/>
      </w:pPr>
      <w:r>
        <w:rPr>
          <w:rFonts w:ascii="Arial" w:cs="Arial" w:eastAsia="Arial" w:hAnsi="Arial"/>
          <w:b/>
          <w:bCs/>
          <w:color w:val="1B3A6B"/>
          <w:sz w:val="18"/>
          <w:szCs w:val="18"/>
        </w:rPr>
        <w:t xml:space="preserve">TABLE V. E2 Results — STER and Accuracy vs. RAM Fill (Abbreviated)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728"/>
        <w:gridCol w:w="1728"/>
        <w:gridCol w:w="1728"/>
        <w:gridCol w:w="1728"/>
        <w:gridCol w:w="1728"/>
      </w:tblGrid>
      <w:tr>
        <w:trPr>
          <w:tblHeader/>
        </w:trPr>
        <w:tc>
          <w:tcPr>
            <w:tcW w:type="dxa" w:w="144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RAM Fill</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STER</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Acc</w:t>
            </w:r>
          </w:p>
        </w:tc>
        <w:tc>
          <w:tcPr>
            <w:tcW w:type="dxa" w:w="1728"/>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 (p&lt;0.05)?</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25%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50%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75%</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1.54%</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44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90%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1.48%</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728"/>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E2 (GPU path only): STER = 0.0000 at all LPDDR5 fill levels (25–90%, 5 trials × 500 inferences). δ_mean = 0.0181 ± 0.0001 across all levels, indistinguishable from E0 baseline. TensorRT allocations via GPU DMA path with QoS reservation are isolated from host DDR vm-worker activity. No STER onset threshold observed up to 90% fill.</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D. E3 — GPU Co-tenancy (Jetson Only)</w:t>
      </w:r>
    </w:p>
    <w:p>
      <w:pPr>
        <w:spacing w:after="60" w:before="160"/>
        <w:jc w:val="center"/>
      </w:pPr>
      <w:r>
        <w:rPr>
          <w:rFonts w:ascii="Arial" w:cs="Arial" w:eastAsia="Arial" w:hAnsi="Arial"/>
          <w:b/>
          <w:bCs/>
          <w:color w:val="1B3A6B"/>
          <w:sz w:val="18"/>
          <w:szCs w:val="18"/>
        </w:rPr>
        <w:t xml:space="preserve">TABLE VI. E3 Results — Jetson STER and Accuracy vs. Co-tenant Count (0–4)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2100"/>
        <w:gridCol w:w="2100"/>
        <w:gridCol w:w="210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Co-tenants</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Ratio</w:t>
            </w:r>
          </w:p>
        </w:tc>
        <w:tc>
          <w:tcPr>
            <w:tcW w:type="dxa" w:w="210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1</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3</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w:t>
            </w:r>
          </w:p>
        </w:tc>
        <w:tc>
          <w:tcPr>
            <w:tcW w:type="dxa" w:w="210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bCs/>
                <w:color w:val="000000"/>
                <w:sz w:val="18"/>
                <w:szCs w:val="18"/>
              </w:rPr>
              <w:t xml:space="preserve">CPU path (E6)</w:t>
            </w:r>
          </w:p>
        </w:tc>
        <w:tc>
          <w:tcPr>
            <w:tcW w:type="dxa" w:w="8400"/>
            <w:gridSpan w:val="4"/>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center"/>
            </w:pPr>
            <w:r>
              <w:rPr>
                <w:rFonts w:ascii="Arial" w:cs="Arial" w:eastAsia="Arial" w:hAnsi="Arial"/>
                <w:sz w:val="18"/>
                <w:szCs w:val="18"/>
              </w:rPr>
              <w:t xml:space="preserve">N/A — GPU co-tenancy not applicable to CPU path</w:t>
            </w:r>
          </w:p>
        </w:tc>
      </w:tr>
    </w:tbl>
    <w:p>
      <w:pPr>
        <w:spacing w:after="0" w:before="120"/>
      </w:pPr>
      <w:r>
        <w:rPr>
          <w:rFonts w:ascii="Arial" w:cs="Arial" w:eastAsia="Arial" w:hAnsi="Arial"/>
          <w:sz w:val="20"/>
          <w:szCs w:val="20"/>
        </w:rPr>
        <w:t xml:space="preserve"/>
      </w:r>
    </w:p>
    <w:p>
      <w:pPr>
        <w:spacing w:after="80" w:before="80"/>
        <w:jc w:val="both"/>
      </w:pPr>
      <w:r>
        <w:rPr>
          <w:rFonts w:ascii="Arial" w:cs="Arial" w:eastAsia="Arial" w:hAnsi="Arial"/>
          <w:sz w:val="18"/>
          <w:szCs w:val="18"/>
        </w:rPr>
        <w:t xml:space="preserve">E3 (GPU path only): STER = 0.0000 at 0–4 concurrent co-tenant TensorRT workers (5 trials × 500 inferences each). δ_mean = 0.0181 ± 0.0002 across all levels. The Orin GPU scheduler time-slices TensorRT execution contexts without output perturbation; at ∼14.8 ms per inference vs. 100 ms cycle budget, sufficient slack absorbs co-tenant contention up to 4 workers. GPU path timing is unaffected.</w:t>
      </w:r>
    </w:p>
    <w:p>
      <w:pPr>
        <w:pStyle w:val="Heading2"/>
        <w:spacing w:after="80" w:before="200"/>
      </w:pPr>
      <w:r>
        <w:rPr>
          <w:rFonts w:ascii="Arial" w:cs="Arial" w:eastAsia="Arial" w:hAnsi="Arial"/>
          <w:b/>
          <w:bCs/>
          <w:color w:val="2E6DA4"/>
          <w:sz w:val="22"/>
          <w:szCs w:val="22"/>
        </w:rPr>
        <w:t xml:space="preserve">E. E4 — Network I/O (Novel Stressor Class)</w:t>
      </w:r>
    </w:p>
    <w:p>
      <w:pPr>
        <w:spacing w:after="60" w:before="160"/>
        <w:jc w:val="center"/>
      </w:pPr>
      <w:r>
        <w:rPr>
          <w:rFonts w:ascii="Arial" w:cs="Arial" w:eastAsia="Arial" w:hAnsi="Arial"/>
          <w:b/>
          <w:bCs/>
          <w:color w:val="1B3A6B"/>
          <w:sz w:val="18"/>
          <w:szCs w:val="18"/>
        </w:rPr>
        <w:t xml:space="preserve">TABLE VII. E4 Results — Both Platforms, BLE + WiFi Co-channel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BLE Connections</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Jetson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STER</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CPU Acc</w:t>
            </w:r>
          </w:p>
        </w:tc>
        <w:tc>
          <w:tcPr>
            <w:tcW w:type="dxa" w:w="168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WiFi Compound?</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2</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6</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1.64%</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168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E4 (GPU path): STER = 0.0000 at all BLE connection levels (0–6 connections, 10 trials × 500 inferences). δ_mean = 0.0156 ± 0.0002 across all levels. Host CPU interrupt rate increased from 389 IRQ/min at conns = 0 to 732 IRQ/min at conns = 4 (+88%), confirming the stressor was active. Despite confirmed interrupt load, TensorRT FP16 inference output and latency were invariant across all connection levels—the GPU pipeline is isolated from network interrupt pathways. No WiFi co-channel compounding effect observed.</w:t>
      </w:r>
    </w:p>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F. E5 — Combined Realistic Deployment Load</w:t>
      </w:r>
    </w:p>
    <w:p>
      <w:pPr>
        <w:spacing w:after="60" w:before="160"/>
        <w:jc w:val="center"/>
      </w:pPr>
      <w:r>
        <w:rPr>
          <w:rFonts w:ascii="Arial" w:cs="Arial" w:eastAsia="Arial" w:hAnsi="Arial"/>
          <w:b/>
          <w:bCs/>
          <w:color w:val="1B3A6B"/>
          <w:sz w:val="18"/>
          <w:szCs w:val="18"/>
        </w:rPr>
        <w:t xml:space="preserve">TABLE VIII. E5 Combined Results — Both Platforms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Platform</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Acc_combined</w:t>
            </w:r>
          </w:p>
        </w:tc>
        <w:tc>
          <w:tcPr>
            <w:tcW w:type="dxa" w:w="2520"/>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vs. worst single</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Orin Nano Super</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(E1–E4)</w:t>
            </w:r>
          </w:p>
        </w:tc>
      </w:tr>
      <w:tr>
        <w:tc>
          <w:tcPr>
            <w:tcW w:type="dxa" w:w="2520"/>
            <w:gridSpan w:val="1"/>
            <w:tcBorders>
              <w:top w:val="single" w:color="C0C8D4" w:sz="4"/>
              <w:left w:val="single" w:color="C0C8D4" w:sz="4"/>
              <w:bottom w:val="single" w:color="C0C8D4" w:sz="4"/>
              <w:right w:val="single" w:color="C0C8D4" w:sz="4"/>
            </w:tcBorders>
            <w:shd w:fill="D9E8F5"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Jetson CPU path (E6)</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100.00%</w:t>
            </w:r>
          </w:p>
        </w:tc>
        <w:tc>
          <w:tcPr>
            <w:tcW w:type="dxa" w:w="2520"/>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1.00× (E4)</w:t>
            </w:r>
          </w:p>
        </w:tc>
      </w:tr>
    </w:tbl>
    <w:p>
      <w:pPr>
        <w:spacing w:after="0" w:before="120"/>
      </w:pPr>
      <w:r>
        <w:rPr>
          <w:rFonts w:ascii="Arial" w:cs="Arial" w:eastAsia="Arial" w:hAnsi="Arial"/>
          <w:sz w:val="20"/>
          <w:szCs w:val="20"/>
        </w:rPr>
        <w:t xml:space="preserve"/>
      </w:r>
    </w:p>
    <w:p>
      <w:pPr>
        <w:pStyle w:val="Heading2"/>
        <w:spacing w:after="80" w:before="200"/>
      </w:pPr>
      <w:r>
        <w:rPr>
          <w:rFonts w:ascii="Arial" w:cs="Arial" w:eastAsia="Arial" w:hAnsi="Arial"/>
          <w:b/>
          <w:bCs/>
          <w:color w:val="2E6DA4"/>
          <w:sz w:val="22"/>
          <w:szCs w:val="22"/>
        </w:rPr>
        <w:t xml:space="preserve">E5 (GPU path): STER = 0.0000 across all 10 trials (500 inferences each) under simultaneous CPU 75% load, memory 50% fill, BLE 4 connections, and sustained disk I/O. δ_mean = 0.0156 ± 0.0001 and δ_P99 = 0.0214 ± 0.0006, indistinguishable from E0 and E4 baselines. Latency : 14.9 ms mean, &lt;15 ms across all trials. The GPU inference pipeline remains fully isolated from all four simultaneous stressor pathways: TensorRT FP16 executes on the GPU with no CPU dependency; GPU DMA allocations are isolated from host DDR pressure; the GPU pipeline is isolated from network interrupts (confirmed in E4); USB disk I/O operates through a separate controller. STER = 0.0000 and latency &lt;15 ms under the combined worst-case stressor profile confirm that the GPU path satisfies both output and timing safety criteria simultaneously.</w:t>
      </w:r>
    </w:p>
    <w:p>
      <w:pPr>
        <w:pStyle w:val="Heading2"/>
        <w:spacing w:after="80" w:before="200"/>
      </w:pPr>
      <w:r>
        <w:rPr>
          <w:rFonts w:ascii="Arial" w:cs="Arial" w:eastAsia="Arial" w:hAnsi="Arial"/>
          <w:b/>
          <w:bCs/>
          <w:color w:val="2E6DA4"/>
          <w:sz w:val="22"/>
          <w:szCs w:val="22"/>
        </w:rPr>
        <w:t xml:space="preserve">F. E6 — CPU-Only Negative Control</w:t>
      </w:r>
    </w:p>
    <w:p>
      <w:pPr>
        <w:spacing w:after="80" w:before="60"/>
        <w:jc w:val="center"/>
      </w:pPr>
      <w:r>
        <w:rPr>
          <w:rFonts w:ascii="Arial" w:cs="Arial" w:eastAsia="Arial" w:hAnsi="Arial"/>
          <w:b/>
          <w:bCs/>
          <w:sz w:val="18"/>
          <w:szCs w:val="18"/>
        </w:rPr>
        <w:t xml:space="preserve">TABLE VIII-B. E6 CPU-Only Results — Jetson Orin Nano Super, ONNX Runtime FP32</w:t>
      </w:r>
    </w:p>
    <w:tbl>
      <w:tblPr>
        <w:tblW w:type="dxa" w:w="9360"/>
        <w:tblBorders>
          <w:top w:val="single" w:color="C0C8D4" w:sz="4"/>
          <w:left w:val="single" w:color="C0C8D4" w:sz="4"/>
          <w:bottom w:val="single" w:color="C0C8D4" w:sz="4"/>
          <w:right w:val="single" w:color="C0C8D4" w:sz="4"/>
          <w:insideH w:val="single" w:color="C0C8D4" w:sz="4"/>
          <w:insideV w:val="single" w:color="C0C8D4" w:sz="4"/>
        </w:tblBorders>
      </w:tblPr>
      <w:tblGrid>
        <w:gridCol w:w="2000"/>
        <w:gridCol w:w="1500"/>
        <w:gridCol w:w="1500"/>
        <w:gridCol w:w="1500"/>
        <w:gridCol w:w="2860"/>
      </w:tblGrid>
      <w:tr>
        <w:trPr>
          <w:tblHeader/>
        </w:trPr>
        <w:tc>
          <w:tcPr>
            <w:tcW w:type="dxa" w:w="2000"/>
          </w:tcPr>
          <w:p>
            <w:pPr>
              <w:jc w:val="center"/>
            </w:pPr>
            <w:r>
              <w:rPr>
                <w:rFonts w:ascii="Arial" w:cs="Arial" w:eastAsia="Arial" w:hAnsi="Arial"/>
                <w:b/>
                <w:sz w:val="18"/>
                <w:szCs w:val="18"/>
              </w:rPr>
              <w:t>Condition</w:t>
            </w:r>
          </w:p>
        </w:tc>
        <w:tc>
          <w:tcPr>
            <w:tcW w:type="dxa" w:w="1500"/>
          </w:tcPr>
          <w:p>
            <w:pPr>
              <w:jc w:val="center"/>
            </w:pPr>
            <w:r>
              <w:rPr>
                <w:rFonts w:ascii="Arial" w:cs="Arial" w:eastAsia="Arial" w:hAnsi="Arial"/>
                <w:b/>
                <w:sz w:val="18"/>
                <w:szCs w:val="18"/>
              </w:rPr>
              <w:t>STER (T*=0.05)</w:t>
            </w:r>
          </w:p>
        </w:tc>
        <w:tc>
          <w:tcPr>
            <w:tcW w:type="dxa" w:w="1500"/>
          </w:tcPr>
          <w:p>
            <w:pPr>
              <w:jc w:val="center"/>
            </w:pPr>
            <w:r>
              <w:rPr>
                <w:rFonts w:ascii="Arial" w:cs="Arial" w:eastAsia="Arial" w:hAnsi="Arial"/>
                <w:b/>
                <w:sz w:val="18"/>
                <w:szCs w:val="18"/>
              </w:rPr>
              <w:t>δ_mean</w:t>
            </w:r>
          </w:p>
        </w:tc>
        <w:tc>
          <w:tcPr>
            <w:tcW w:type="dxa" w:w="1500"/>
          </w:tcPr>
          <w:p>
            <w:pPr>
              <w:jc w:val="center"/>
            </w:pPr>
            <w:r>
              <w:rPr>
                <w:rFonts w:ascii="Arial" w:cs="Arial" w:eastAsia="Arial" w:hAnsi="Arial"/>
                <w:b/>
                <w:sz w:val="18"/>
                <w:szCs w:val="18"/>
              </w:rPr>
              <w:t>Latency Mean</w:t>
            </w:r>
          </w:p>
        </w:tc>
        <w:tc>
          <w:tcPr>
            <w:tcW w:type="dxa" w:w="2860"/>
          </w:tcPr>
          <w:p>
            <w:pPr>
              <w:jc w:val="center"/>
            </w:pPr>
            <w:r>
              <w:rPr>
                <w:rFonts w:ascii="Arial" w:cs="Arial" w:eastAsia="Arial" w:hAnsi="Arial"/>
                <w:b/>
                <w:sz w:val="18"/>
                <w:szCs w:val="18"/>
              </w:rPr>
              <w:t>Latency P99</w:t>
            </w:r>
          </w:p>
        </w:tc>
      </w:tr>
      <w:tr>
        <w:tc>
          <w:tcPr>
            <w:tcW w:type="dxa" w:w="2000"/>
          </w:tcPr>
          <w:p>
            <w:pPr>
              <w:jc w:val="left"/>
            </w:pPr>
            <w:r>
              <w:rPr>
                <w:rFonts w:ascii="Arial" w:cs="Arial" w:eastAsia="Arial" w:hAnsi="Arial"/>
                <w:sz w:val="18"/>
                <w:szCs w:val="18"/>
              </w:rPr>
              <w:t>Zero load (E0)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14.5 ms</w:t>
            </w:r>
          </w:p>
        </w:tc>
        <w:tc>
          <w:tcPr>
            <w:tcW w:type="dxa" w:w="2860"/>
          </w:tcPr>
          <w:p>
            <w:pPr>
              <w:jc w:val="center"/>
            </w:pPr>
            <w:r>
              <w:rPr>
                <w:rFonts w:ascii="Arial" w:cs="Arial" w:eastAsia="Arial" w:hAnsi="Arial"/>
                <w:sz w:val="18"/>
                <w:szCs w:val="18"/>
              </w:rPr>
              <w:t>18.6 ms</w:t>
            </w:r>
          </w:p>
        </w:tc>
      </w:tr>
      <w:tr>
        <w:tc>
          <w:tcPr>
            <w:tcW w:type="dxa" w:w="2000"/>
          </w:tcPr>
          <w:p>
            <w:pPr>
              <w:jc w:val="left"/>
            </w:pPr>
            <w:r>
              <w:rPr>
                <w:rFonts w:ascii="Arial" w:cs="Arial" w:eastAsia="Arial" w:hAnsi="Arial"/>
                <w:sz w:val="18"/>
                <w:szCs w:val="18"/>
              </w:rPr>
              <w:t>CPU 25%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33.4 ms</w:t>
            </w:r>
          </w:p>
        </w:tc>
        <w:tc>
          <w:tcPr>
            <w:tcW w:type="dxa" w:w="2860"/>
          </w:tcPr>
          <w:p>
            <w:pPr>
              <w:jc w:val="center"/>
            </w:pPr>
            <w:r>
              <w:rPr>
                <w:rFonts w:ascii="Arial" w:cs="Arial" w:eastAsia="Arial" w:hAnsi="Arial"/>
                <w:sz w:val="18"/>
                <w:szCs w:val="18"/>
              </w:rPr>
              <w:t>111.4 ms</w:t>
            </w:r>
          </w:p>
        </w:tc>
      </w:tr>
      <w:tr>
        <w:tc>
          <w:tcPr>
            <w:tcW w:type="dxa" w:w="2000"/>
          </w:tcPr>
          <w:p>
            <w:pPr>
              <w:jc w:val="left"/>
            </w:pPr>
            <w:r>
              <w:rPr>
                <w:rFonts w:ascii="Arial" w:cs="Arial" w:eastAsia="Arial" w:hAnsi="Arial"/>
                <w:sz w:val="18"/>
                <w:szCs w:val="18"/>
              </w:rPr>
              <w:t>CPU 50%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57.8 ms</w:t>
            </w:r>
          </w:p>
        </w:tc>
        <w:tc>
          <w:tcPr>
            <w:tcW w:type="dxa" w:w="2860"/>
          </w:tcPr>
          <w:p>
            <w:pPr>
              <w:jc w:val="center"/>
            </w:pPr>
            <w:r>
              <w:rPr>
                <w:rFonts w:ascii="Arial" w:cs="Arial" w:eastAsia="Arial" w:hAnsi="Arial"/>
                <w:sz w:val="18"/>
                <w:szCs w:val="18"/>
              </w:rPr>
              <w:t>115.8 ms</w:t>
            </w:r>
          </w:p>
        </w:tc>
      </w:tr>
      <w:tr>
        <w:tc>
          <w:tcPr>
            <w:tcW w:type="dxa" w:w="2000"/>
          </w:tcPr>
          <w:p>
            <w:pPr>
              <w:jc w:val="left"/>
            </w:pPr>
            <w:r>
              <w:rPr>
                <w:rFonts w:ascii="Arial" w:cs="Arial" w:eastAsia="Arial" w:hAnsi="Arial"/>
                <w:sz w:val="18"/>
                <w:szCs w:val="18"/>
              </w:rPr>
              <w:t>CPU 75%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73.7 ms</w:t>
            </w:r>
          </w:p>
        </w:tc>
        <w:tc>
          <w:tcPr>
            <w:tcW w:type="dxa" w:w="2860"/>
          </w:tcPr>
          <w:p>
            <w:pPr>
              <w:jc w:val="center"/>
            </w:pPr>
            <w:r>
              <w:rPr>
                <w:rFonts w:ascii="Arial" w:cs="Arial" w:eastAsia="Arial" w:hAnsi="Arial"/>
                <w:sz w:val="18"/>
                <w:szCs w:val="18"/>
              </w:rPr>
              <w:t>122.1 ms</w:t>
            </w:r>
          </w:p>
        </w:tc>
      </w:tr>
      <w:tr>
        <w:tc>
          <w:tcPr>
            <w:tcW w:type="dxa" w:w="2000"/>
          </w:tcPr>
          <w:p>
            <w:pPr>
              <w:jc w:val="left"/>
            </w:pPr>
            <w:r>
              <w:rPr>
                <w:rFonts w:ascii="Arial" w:cs="Arial" w:eastAsia="Arial" w:hAnsi="Arial"/>
                <w:sz w:val="18"/>
                <w:szCs w:val="18"/>
              </w:rPr>
              <w:t>CPU 100% (E1)</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0.0000</w:t>
            </w:r>
          </w:p>
        </w:tc>
        <w:tc>
          <w:tcPr>
            <w:tcW w:type="dxa" w:w="1500"/>
          </w:tcPr>
          <w:p>
            <w:pPr>
              <w:jc w:val="center"/>
            </w:pPr>
            <w:r>
              <w:rPr>
                <w:rFonts w:ascii="Arial" w:cs="Arial" w:eastAsia="Arial" w:hAnsi="Arial"/>
                <w:sz w:val="18"/>
                <w:szCs w:val="18"/>
              </w:rPr>
              <w:t>70.9 ms</w:t>
            </w:r>
          </w:p>
        </w:tc>
        <w:tc>
          <w:tcPr>
            <w:tcW w:type="dxa" w:w="2860"/>
          </w:tcPr>
          <w:p>
            <w:pPr>
              <w:jc w:val="center"/>
            </w:pPr>
            <w:r>
              <w:rPr>
                <w:rFonts w:ascii="Arial" w:cs="Arial" w:eastAsia="Arial" w:hAnsi="Arial"/>
                <w:sz w:val="18"/>
                <w:szCs w:val="18"/>
              </w:rPr>
              <w:t>117.0 ms</w:t>
            </w:r>
          </w:p>
        </w:tc>
      </w:tr>
      <w:tr>
        <w:tc>
          <w:tcPr>
            <w:tcW w:type="dxa" w:w="2000"/>
          </w:tcPr>
          <w:p>
            <w:pPr>
              <w:jc w:val="left"/>
            </w:pPr>
            <w:r>
              <w:rPr>
                <w:rFonts w:ascii="Arial" w:cs="Arial" w:eastAsia="Arial" w:hAnsi="Arial"/>
                <w:b/>
                <w:bCs/>
                <w:sz w:val="18"/>
                <w:szCs w:val="18"/>
              </w:rPr>
              <w:t>Combined (E5)</w:t>
            </w:r>
          </w:p>
        </w:tc>
        <w:tc>
          <w:tcPr>
            <w:tcW w:type="dxa" w:w="1500"/>
          </w:tcPr>
          <w:p>
            <w:pPr>
              <w:jc w:val="center"/>
            </w:pPr>
            <w:r>
              <w:rPr>
                <w:rFonts w:ascii="Arial" w:cs="Arial" w:eastAsia="Arial" w:hAnsi="Arial"/>
                <w:b/>
                <w:bCs/>
                <w:sz w:val="18"/>
                <w:szCs w:val="18"/>
              </w:rPr>
              <w:t>0.0000</w:t>
            </w:r>
          </w:p>
        </w:tc>
        <w:tc>
          <w:tcPr>
            <w:tcW w:type="dxa" w:w="1500"/>
          </w:tcPr>
          <w:p>
            <w:pPr>
              <w:jc w:val="center"/>
            </w:pPr>
            <w:r>
              <w:rPr>
                <w:rFonts w:ascii="Arial" w:cs="Arial" w:eastAsia="Arial" w:hAnsi="Arial"/>
                <w:b/>
                <w:bCs/>
                <w:sz w:val="18"/>
                <w:szCs w:val="18"/>
              </w:rPr>
              <w:t>0.0000</w:t>
            </w:r>
          </w:p>
        </w:tc>
        <w:tc>
          <w:tcPr>
            <w:tcW w:type="dxa" w:w="1500"/>
          </w:tcPr>
          <w:p>
            <w:pPr>
              <w:jc w:val="center"/>
            </w:pPr>
            <w:r>
              <w:rPr>
                <w:rFonts w:ascii="Arial" w:cs="Arial" w:eastAsia="Arial" w:hAnsi="Arial"/>
                <w:b/>
                <w:bCs/>
                <w:sz w:val="18"/>
                <w:szCs w:val="18"/>
              </w:rPr>
              <w:t>104.0 ms</w:t>
            </w:r>
          </w:p>
        </w:tc>
        <w:tc>
          <w:tcPr>
            <w:tcW w:type="dxa" w:w="2860"/>
          </w:tcPr>
          <w:p>
            <w:pPr>
              <w:jc w:val="center"/>
            </w:pPr>
            <w:r>
              <w:rPr>
                <w:rFonts w:ascii="Arial" w:cs="Arial" w:eastAsia="Arial" w:hAnsi="Arial"/>
                <w:b/>
                <w:bCs/>
                <w:sz w:val="18"/>
                <w:szCs w:val="18"/>
              </w:rPr>
              <w:t>165.1 ms</w:t>
            </w:r>
          </w:p>
        </w:tc>
      </w:tr>
    </w:tbl>
    <w:p>
      <w:pPr>
        <w:spacing w:after="100" w:before="60" w:line="276"/>
        <w:jc w:val="both"/>
      </w:pPr>
      <w:r>
        <w:rPr>
          <w:rFonts w:ascii="Arial" w:cs="Arial" w:eastAsia="Arial" w:hAnsi="Arial"/>
          <w:sz w:val="18"/>
          <w:szCs w:val="18"/>
        </w:rPr>
        <w:t xml:space="preserve">E6 confirmed: STER = 0.0000 at all CPU load levels and under combined load (10 trials × 500 inferences each, 50,000 total activations). δ_mean = 0.0000 and δ_max = 0.0000 exactly across all conditions—ONNX Runtime’s CPUExecutionProvider produces bit-identical FP32 outputs regardless of CPU scheduling pressure. The stressor increases latency monotonically: 14.5 ms at zero load to 70.9 ms at 100% CPU load and 104.0 ms under combined stressor (7.2× degradation). Latency P99 reaches 165.1 ms under combined load, exceeding the 10 Hz cycle budget (T_n = 100 ms) by 65%. This establishes the critical distinction: output stability (STER = 0.0000) is preserved even without a dedicated accelerator, but timing stability fails under contention. The Jetson GPU path, by contrast, maintains latency &lt;15 ms under all tested conditions. E6 therefore confirms that the GPU’s contribution to the safety profile is timing isolation, not numerical stability—and that STER alone is insufficient to characterize the full safety envelope of a CPU-only deployment. For SaMD operating at fixed activation rates, the CPU-only path fails the deployment requirement at ≥50% sustained CPU load even while passing STER at T* = 0.05.</w:t>
      </w:r>
    </w:p>
    <w:p>
      <w:pPr>
        <w:pStyle w:val="Heading2"/>
        <w:spacing w:after="80" w:before="200"/>
      </w:pPr>
      <w:r>
        <w:rPr>
          <w:rFonts w:ascii="Arial" w:cs="Arial" w:eastAsia="Arial" w:hAnsi="Arial"/>
          <w:b/>
          <w:bCs/>
          <w:color w:val="2E6DA4"/>
          <w:sz w:val="22"/>
          <w:szCs w:val="22"/>
        </w:rPr>
        <w:t xml:space="preserve">G. Summary — Inference Stability Confirmed Across All Stressor Classes</w:t>
      </w:r>
    </w:p>
    <w:p>
      <w:pPr>
        <w:spacing w:after="60" w:before="160"/>
        <w:jc w:val="center"/>
      </w:pPr>
      <w:r>
        <w:rPr>
          <w:rFonts w:ascii="Arial" w:cs="Arial" w:eastAsia="Arial" w:hAnsi="Arial"/>
          <w:b/>
          <w:bCs/>
          <w:color w:val="1B3A6B"/>
          <w:sz w:val="18"/>
          <w:szCs w:val="18"/>
        </w:rPr>
        <w:t xml:space="preserve">TABLE IX. Summary — STER and Accuracy Across All Experiments (Jetson Orin Nano Super GPU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1512"/>
        <w:gridCol w:w="1512"/>
        <w:gridCol w:w="2016"/>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Experiment</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Acc</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Δ Acc vs. E0</w:t>
            </w:r>
          </w:p>
        </w:tc>
        <w:tc>
          <w:tcPr>
            <w:tcW w:type="dxa" w:w="1512"/>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STER sig.?</w:t>
            </w:r>
          </w:p>
        </w:tc>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Dissociation?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E0 (baseline)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1.60%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E1 (CPU 100%)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1.40%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-0.20%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E2 (RAM 90%)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E3 (3 co-tenants)</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E4 (BLE 4 + WiFi)</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+0.04%</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1512"/>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E5 (combined)</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0.0000</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1.52%</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-0.08%</w:t>
            </w:r>
          </w:p>
        </w:tc>
        <w:tc>
          <w:tcPr>
            <w:tcW w:type="dxa" w:w="1512"/>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No</w:t>
            </w:r>
          </w:p>
        </w:tc>
      </w:tr>
    </w:tbl>
    <w:p>
      <w:pPr>
        <w:spacing w:after="0" w:before="80"/>
      </w:pPr>
      <w:r>
        <w:rPr>
          <w:rFonts w:ascii="Arial" w:cs="Arial" w:eastAsia="Arial" w:hAnsi="Arial"/>
          <w:sz w:val="20"/>
          <w:szCs w:val="20"/>
        </w:rPr>
        <w:t xml:space="preserve"/>
      </w:r>
    </w:p>
    <w:p>
      <w:pPr>
        <w:spacing w:after="100" w:before="60"/>
        <w:ind w:left="480"/>
      </w:pPr>
      <w:r>
        <w:rPr>
          <w:rFonts w:ascii="Arial" w:cs="Arial" w:eastAsia="Arial" w:hAnsi="Arial"/>
          <w:color w:val="555555"/>
          <w:sz w:val="18"/>
          <w:szCs w:val="18"/>
        </w:rPr>
        <w:t xml:space="preserve">All E1–E5 rows show STER = 0.0000 (not significant vs. E0 baseline) while ΔAcc &lt; 1.0% across all conditions. Accuracy-based metrics are insensitive to stressor conditions; STER provides a distinct, reproducible characterization confirming that output deviation remains within T* = ±5% bounds under all tested deployment conditions.</w:t>
      </w:r>
    </w:p>
    <w:p>
      <w:pPr>
        <w:pStyle w:val="Heading1"/>
        <w:spacing w:after="120" w:before="300"/>
      </w:pPr>
      <w:r>
        <w:rPr>
          <w:rFonts w:ascii="Arial" w:cs="Arial" w:eastAsia="Arial" w:hAnsi="Arial"/>
          <w:b/>
          <w:bCs/>
          <w:caps/>
          <w:color w:val="1B3A6B"/>
          <w:sz w:val="28"/>
          <w:szCs w:val="28"/>
        </w:rPr>
        <w:t xml:space="preserve">VI. Discussion</w:t>
      </w:r>
    </w:p>
    <w:p>
      <w:pPr>
        <w:pStyle w:val="Heading2"/>
        <w:spacing w:after="80" w:before="200"/>
      </w:pPr>
      <w:r>
        <w:rPr>
          <w:rFonts w:ascii="Arial" w:cs="Arial" w:eastAsia="Arial" w:hAnsi="Arial"/>
          <w:b/>
          <w:bCs/>
          <w:color w:val="2E6DA4"/>
          <w:sz w:val="22"/>
          <w:szCs w:val="22"/>
        </w:rPr>
        <w:t xml:space="preserve">A. STER as Robustness Confirmation: What Accuracy Cannot Certify</w:t>
      </w:r>
    </w:p>
    <w:p>
      <w:pPr>
        <w:spacing w:after="100" w:before="60" w:line="276"/>
        <w:jc w:val="both"/>
      </w:pPr>
      <w:r>
        <w:rPr>
          <w:rFonts w:ascii="Arial" w:cs="Arial" w:eastAsia="Arial" w:hAnsi="Arial"/>
          <w:sz w:val="20"/>
          <w:szCs w:val="20"/>
        </w:rPr>
        <w:t xml:space="preserve">The controlled same-hardware experiment design is the methodological core of this letter. By running identical models under identical stressors on the GPU and CPU execution paths of the same Jetson Orin Nano Super, all between-platform confounds—thermal differences, memory topology differences, driver stack differences—are eliminated. The timing divergence observed (GPU: &lt;15 ms always; CPU: 7.2× degradation to 104 ms mean / 165 ms P99 under combined load) is consistent with causal attribution to the dedicated accelerator architecture, as same-hardware design controls for chip-to-chip and thermal variation. Standard accuracy-based FDA pre-market testing would pass both execution paths without distinguishing their timing safety profiles: Δaccuracy &lt; 1.0% under all conditions on both paths. A manufacturer using accuracy-only testing would clear both a GPU-accelerated and a CPU-only deployment as equivalent—but the CPU-only deployment breaches the 10 Hz clinical cycle budget by 65% under combined load. STER confirms output distribution bounds on both paths; latency measurement under contention is the additional verification required to distinguish them. This is the pre-market testing gap that joint STER + latency verification closes.</w:t>
      </w:r>
    </w:p>
    <w:p>
      <w:pPr>
        <w:spacing w:after="100" w:before="60" w:line="276"/>
        <w:jc w:val="both"/>
      </w:pPr>
      <w:r>
        <w:rPr>
          <w:rFonts w:ascii="Arial" w:cs="Arial" w:eastAsia="Arial" w:hAnsi="Arial"/>
          <w:sz w:val="20"/>
          <w:szCs w:val="20"/>
        </w:rPr>
      </w:r>
    </w:p>
    <w:p>
      <w:pPr>
        <w:pStyle w:val="Heading2"/>
        <w:spacing w:after="80" w:before="200"/>
      </w:pPr>
      <w:r>
        <w:rPr>
          <w:rFonts w:ascii="Arial" w:cs="Arial" w:eastAsia="Arial" w:hAnsi="Arial"/>
          <w:b/>
          <w:bCs/>
          <w:color w:val="2E6DA4"/>
          <w:sz w:val="22"/>
          <w:szCs w:val="22"/>
        </w:rPr>
        <w:t xml:space="preserve">B. Architectural Safety Implication: Dedicated TPU vs. Shared GPU</w:t>
      </w:r>
    </w:p>
    <w:p>
      <w:pPr>
        <w:spacing w:after="100" w:before="60" w:line="276"/>
        <w:jc w:val="both"/>
      </w:pPr>
      <w:r>
        <w:rPr>
          <w:rFonts w:ascii="Arial" w:cs="Arial" w:eastAsia="Arial" w:hAnsi="Arial"/>
          <w:sz w:val="20"/>
          <w:szCs w:val="20"/>
        </w:rPr>
        <w:t xml:space="preserve">E1–E5 (GPU path) establish the positive safety baseline: across CPU contention (0–100%), memory pressure (25–90%), GPU co-tenancy (0–4 workers), network I/O (0–6 BLE connections), and combined realistic deployment load, STER = 0.0000 and latency remains &lt;15 ms. The GPU pipeline’s DMA isolation, QoS bandwidth reservation, and dedicated execution context prevent all tested stressor classes from affecting either output distribution or inference timing. Platform datasheets document these architectural properties in principle; this work provides empirical quantification across simultaneous multi-class stressor combinations at clinical deployment intensities—the verification that datasheets do not supply. E6 (CPU path) provides the contrastive evidence: identical stressors on the CPU execution path preserve output correctness (STER = 0.0000, δ = 0.0000) but cause progressive timing degradation that reaches 7.2× baseline under combined load. The architectural contribution of the dedicated GPU accelerator is therefore specifically timing isolation—not a general hardening of inference behavior.</w:t>
      </w:r>
    </w:p>
    <w:p>
      <w:pPr>
        <w:pStyle w:val="Heading2"/>
        <w:spacing w:after="80" w:before="200"/>
      </w:pPr>
      <w:r>
        <w:rPr>
          <w:rFonts w:ascii="Arial" w:cs="Arial" w:eastAsia="Arial" w:hAnsi="Arial"/>
          <w:b/>
          <w:bCs/>
          <w:color w:val="2E6DA4"/>
          <w:sz w:val="22"/>
          <w:szCs w:val="22"/>
        </w:rPr>
        <w:t xml:space="preserve">C. CPU-Only Negative Control: Output Stability Is Necessary But Not Sufficient</w:t>
      </w:r>
    </w:p>
    <w:p>
      <w:pPr>
        <w:spacing w:after="100" w:before="60" w:line="276"/>
        <w:jc w:val="both"/>
      </w:pPr>
      <w:r>
        <w:rPr>
          <w:rFonts w:ascii="Arial" w:cs="Arial" w:eastAsia="Arial" w:hAnsi="Arial"/>
          <w:sz w:val="20"/>
          <w:szCs w:val="20"/>
        </w:rPr>
        <w:t xml:space="preserve">E6 provides the causal evidence that distinguishes the GPU path’s safety properties from incidental hardware characteristics. Running MobileNetV2 FP32 via ONNX Runtime on the same Jetson Orin Nano Super—identical silicon, identical stressors, identical model, different execution path—produces STER = 0.0000 and δ = 0.0000 exactly across 50,000 inferences. ONNX Runtime’s CPUExecutionProvider uses deterministic ARM NEON SIMD operations; CPU scheduling pressure delays computation but does not perturb its arithmetic. This confirms that output numerical stability is a property of deterministic floating-point execution independent of the accelerator. The accelerator’s contribution is therefore exclusively timing isolation: the GPU path maintains latency &lt;15 ms under all conditions; the CPU path degrades to 104.0 ms mean and 165.1 ms P99 under combined load, breaching the 10 Hz cycle budget by 65%. For SaMD operating at a fixed activation rate, this timing failure is a deployment safety violation that is invisible to STER, invisible to accuracy, and invisible to any output-only evaluation method. E6 provides evidence that architectural choice—not model correctness, not software configuration—is the dominant determinant of timing safety in the evaluated edge AI SaMD deployment configuration.</w:t>
      </w:r>
    </w:p>
    <w:p>
      <w:pPr>
        <w:pStyle w:val="Heading2"/>
        <w:spacing w:after="80" w:before="200"/>
      </w:pPr>
      <w:r>
        <w:rPr>
          <w:rFonts w:ascii="Arial" w:cs="Arial" w:eastAsia="Arial" w:hAnsi="Arial"/>
          <w:b/>
          <w:bCs/>
          <w:color w:val="2E6DA4"/>
          <w:sz w:val="22"/>
          <w:szCs w:val="22"/>
        </w:rPr>
        <w:t xml:space="preserve">D. STER as a Candidate Pre-Market Verification Metric</w:t>
      </w:r>
    </w:p>
    <w:p>
      <w:pPr>
        <w:spacing w:after="100" w:before="60" w:line="276"/>
        <w:jc w:val="both"/>
      </w:pPr>
      <w:r>
        <w:rPr>
          <w:rFonts w:ascii="Arial" w:cs="Arial" w:eastAsia="Arial" w:hAnsi="Arial"/>
          <w:sz w:val="20"/>
          <w:szCs w:val="20"/>
        </w:rPr>
        <w:t xml:space="preserve">This work motivates a joint pre-market verification protocol for edge-deployed SaMD: (1) establish T* from ISO 14971 risk analysis; (2) measure STER = 0 under zero-contention conditions; (3) measure STER under each foreseeable stressor class at clinical deployment intensities; (4) measure worst-case latency under the same conditions; (5) apply acceptance criteria STER ≤ STER_max AND latency_P99 ≤ T_n (manufacturer-specified, risk-justified). STER and latency are orthogonal safety dimensions: a device can pass STER while failing the latency criterion (as demonstrated in E6), or could in principle fail STER while meeting latency requirements. Both must be verified to characterize the full deployment safety envelope. This protocol operationalizes FDA Draft Guidance FDA-2024-D-4488’s robustness assessment requirement with concrete, reproducible, hardware-agnostic acceptance criteria.</w:t>
      </w:r>
    </w:p>
    <w:p>
      <w:pPr>
        <w:pStyle w:val="Heading2"/>
        <w:spacing w:after="80" w:before="200"/>
      </w:pPr>
      <w:r>
        <w:rPr>
          <w:rFonts w:ascii="Arial" w:cs="Arial" w:eastAsia="Arial" w:hAnsi="Arial"/>
          <w:b/>
          <w:bCs/>
          <w:color w:val="2E6DA4"/>
          <w:sz w:val="22"/>
          <w:szCs w:val="22"/>
        </w:rPr>
        <w:t xml:space="preserve">F. Limitations</w:t>
      </w:r>
    </w:p>
    <w:p>
      <w:pPr>
        <w:spacing w:after="100" w:before="60" w:line="276"/>
        <w:jc w:val="both"/>
      </w:pPr>
      <w:r>
        <w:rPr>
          <w:rFonts w:ascii="Arial" w:cs="Arial" w:eastAsia="Arial" w:hAnsi="Arial"/>
          <w:sz w:val="20"/>
          <w:szCs w:val="20"/>
        </w:rPr>
        <w:t xml:space="preserve">The MobileNetV2 model and 10 Hz activation rate are representative of a class of diagnostic SaMD but are not universal. Devices with different model architectures, quantization strategies, or activation rates may exhibit different STER baseline distributions and dissociation magnitudes. T* = 0.05 is conservative relative to ISO 14971 Table B.1 examples but is not clinically validated for any specific device class; the appropriate T* value for a specific SaMD is a manufacturer and clinical risk management decision. The stressor intensities used (e.g., CPU 75–100%) represent upper-bound foreseeable conditions; real deployment conditions may differ.</w:t>
      </w:r>
    </w:p>
    <w:p>
      <w:pPr>
        <w:pStyle w:val="Heading1"/>
        <w:spacing w:after="120" w:before="300"/>
      </w:pPr>
      <w:r>
        <w:rPr>
          <w:rFonts w:ascii="Arial" w:cs="Arial" w:eastAsia="Arial" w:hAnsi="Arial"/>
          <w:b/>
          <w:bCs/>
          <w:caps/>
          <w:color w:val="1B3A6B"/>
          <w:sz w:val="28"/>
          <w:szCs w:val="28"/>
        </w:rPr>
        <w:t xml:space="preserve">VII. Conclusion</w:t>
      </w:r>
    </w:p>
    <w:p>
      <w:pPr>
        <w:spacing w:after="100" w:before="60" w:line="276"/>
        <w:jc w:val="both"/>
      </w:pPr>
      <w:r>
        <w:rPr>
          <w:rFonts w:ascii="Arial" w:cs="Arial" w:eastAsia="Arial" w:hAnsi="Arial"/>
          <w:sz w:val="20"/>
          <w:szCs w:val="20"/>
        </w:rPr>
        <w:t xml:space="preserve">This letter has demonstrated, through a controlled same-hardware experiment, that output correctness and timing reliability are independent safety properties of edge AI inference pipelines—and that dedicated inference accelerators provide timing isolation as a distinct architectural safety primitive. Running MobileNetV2 under identical adversarial stressors on the GPU and CPU execution paths of the same Jetson Orin Nano Super, both paths maintain STER = 0.0000 (zero output exceedances above T* = 0.05) across ∼158,000 inference activations. The paths diverge sharply on timing: the GPU path maintains latency &lt;15 ms under all conditions; the CPU path degrades 7.2× to 104.0 ms mean / 165.1 ms P99 under combined load, breaching the 10 Hz clinical cycle budget by 65%. Because the same-hardware design eliminates platform confounds, this timing divergence is consistent with causal attribution to the dedicated accelerator architecture. Standard accuracy-based FDA pre-market testing would pass both execution paths without distinguishing their timing safety profiles. STER verifies output distribution bounds—something accuracy structurally cannot—but cannot detect timing failure. Joint STER + latency verification under foreseeable stressor conditions is proposed as a concrete pre-market acceptance protocol for edge-deployed SaMD, operationalizing the robustness assessment requirement of FDA Draft Guidance FDA-2024-D-4488 and consistent with IEC 62304 and ISO 14971. These results indicate that ensuring output correctness alone may be insufficient for reliable clinical deployment; temporal behavior under realistic system contention must be explicitly validated.</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Acknowledgements</w:t>
      </w:r>
    </w:p>
    <w:p>
      <w:pPr>
        <w:spacing w:after="80" w:before="80"/>
        <w:jc w:val="both"/>
      </w:pPr>
      <w:r>
        <w:rPr>
          <w:rFonts w:ascii="Arial" w:cs="Arial" w:eastAsia="Arial" w:hAnsi="Arial"/>
          <w:sz w:val="18"/>
          <w:szCs w:val="18"/>
        </w:rPr>
        <w:t xml:space="preserve">Portions of this manuscript were drafted with the assistance of Claude (Anthropic, model claude-sonnet-4-6). The author reviewed, verified, and takes full responsibility for all content, experimental data, and claims. The author’s ORCID is 0009-0003-9549-5543.</w:t>
      </w:r>
    </w:p>
    <w:p>
      <w:pPr>
        <w:pStyle w:val="Heading1"/>
        <w:spacing w:after="120" w:before="300"/>
      </w:pPr>
      <w:r>
        <w:rPr>
          <w:rFonts w:ascii="Arial" w:cs="Arial" w:eastAsia="Arial" w:hAnsi="Arial"/>
          <w:b/>
          <w:bCs/>
          <w:caps/>
          <w:color w:val="1B3A6B"/>
          <w:sz w:val="28"/>
          <w:szCs w:val="28"/>
        </w:rPr>
        <w:t xml:space="preserve">References</w:t>
      </w:r>
    </w:p>
    <w:p>
      <w:pPr>
        <w:spacing w:after="40" w:before="40"/>
        <w:ind w:left="480" w:hanging="480"/>
      </w:pPr>
      <w:r>
        <w:rPr>
          <w:rFonts w:ascii="Arial" w:cs="Arial" w:eastAsia="Arial" w:hAnsi="Arial"/>
          <w:color w:val="000000"/>
          <w:sz w:val="18"/>
          <w:szCs w:val="18"/>
        </w:rPr>
        <w:t xml:space="preserve">[1] FDA, "Artificial Intelligence-Enabled Device Software Functions: Lifecycle Management and Marketing Submission Recommendations," Draft Guidance, Docket FDA-2024-D-4488, January 2025.</w:t>
      </w:r>
    </w:p>
    <w:p>
      <w:pPr>
        <w:spacing w:after="40" w:before="40"/>
        <w:ind w:left="480" w:hanging="480"/>
      </w:pPr>
      <w:r>
        <w:rPr>
          <w:rFonts w:ascii="Arial" w:cs="Arial" w:eastAsia="Arial" w:hAnsi="Arial"/>
          <w:color w:val="000000"/>
          <w:sz w:val="18"/>
          <w:szCs w:val="18"/>
        </w:rPr>
        <w:t xml:space="preserve">[2] FDA, "Good Machine Learning Practice for Medical Device Development: Guiding Principles," October 2021.</w:t>
      </w:r>
    </w:p>
    <w:p>
      <w:pPr>
        <w:spacing w:after="40" w:before="40"/>
        <w:ind w:left="480" w:hanging="480"/>
      </w:pPr>
      <w:r>
        <w:rPr>
          <w:rFonts w:ascii="Arial" w:cs="Arial" w:eastAsia="Arial" w:hAnsi="Arial"/>
          <w:color w:val="AA3300"/>
          <w:sz w:val="18"/>
          <w:szCs w:val="18"/>
        </w:rPr>
        <w:t xml:space="preserve">[3] J. Hao, P. Subedi, L. Ramaswamy, and I. K. Kim, “Reaching for the Sky: Maximizing Deep Learning Inference Throughput on Edge Devices with AI Multi-Tenancy,” ACM Trans. Internet Technol., vol.†23, no.†01, pp.†1–33, Feb. 2023. doi: 10.1145/3546192.</w:t>
      </w:r>
    </w:p>
    <w:p>
      <w:pPr>
        <w:spacing w:after="40" w:before="40"/>
        <w:ind w:left="480" w:hanging="480"/>
      </w:pPr>
      <w:r>
        <w:rPr>
          <w:rFonts w:ascii="Arial" w:cs="Arial" w:eastAsia="Arial" w:hAnsi="Arial"/>
          <w:color w:val="AA3300"/>
          <w:sz w:val="18"/>
          <w:szCs w:val="18"/>
        </w:rPr>
        <w:t xml:space="preserve">[4] J. J. Martín, A. Castillo, J. García, and F. J. Cazorla, “Performance Isolation for Inference Processes in Edge GPU Systems,” arXiv preprint arXiv:2601.07600, Jan. 2026.</w:t>
      </w:r>
    </w:p>
    <w:p>
      <w:pPr>
        <w:spacing w:after="40" w:before="40"/>
        <w:ind w:left="480" w:hanging="480"/>
      </w:pPr>
      <w:r>
        <w:rPr>
          <w:rFonts w:ascii="Arial" w:cs="Arial" w:eastAsia="Arial" w:hAnsi="Arial"/>
          <w:color w:val="AA3300"/>
          <w:sz w:val="18"/>
          <w:szCs w:val="18"/>
        </w:rPr>
        <w:t xml:space="preserve">[5] S. P. Baller, A. Jindal, M. Chadha, and M. Gerndt, “DeepEdgeBench: Benchmarking Deep Neural Networks on Edge Devices,” in Proc. IEEE Int. Conf. Cloud Eng. (IC2E), 2021, pp. 20–30.</w:t>
      </w:r>
    </w:p>
    <w:p>
      <w:pPr>
        <w:spacing w:after="40" w:before="40"/>
        <w:ind w:left="480" w:hanging="480"/>
      </w:pPr>
      <w:r>
        <w:rPr>
          <w:rFonts w:ascii="Arial" w:cs="Arial" w:eastAsia="Arial" w:hAnsi="Arial"/>
          <w:color w:val="AA3300"/>
          <w:sz w:val="18"/>
          <w:szCs w:val="18"/>
        </w:rPr>
        <w:t xml:space="preserve">[6] R. Tobiasz, G. Wilczyński, P. Graszka, N. Czechowski, and S. Łuczak, “Edge Devices Inference Performance Comparison,” arXiv preprint arXiv:2306.12093, Jun. 2023.</w:t>
      </w:r>
    </w:p>
    <w:p>
      <w:pPr>
        <w:spacing w:after="40" w:before="40"/>
        <w:ind w:left="480" w:hanging="480"/>
      </w:pPr>
      <w:r>
        <w:rPr>
          <w:rFonts w:ascii="Arial" w:cs="Arial" w:eastAsia="Arial" w:hAnsi="Arial"/>
          <w:color w:val="AA3300"/>
          <w:sz w:val="18"/>
          <w:szCs w:val="18"/>
        </w:rPr>
        <w:t xml:space="preserve">[7] U. Becker, “Increasing Safety of Neural Networks in Medical Devices,” in Proc. SAFECOMP 2019 Workshops (ASSURE, DECSoS, SASSUR, STRIVE, WAISE), Lecture Notes in Computer Science, vol. 11699. Springer, Cham, 2019, pp. 91–101. doi: 10.1007/978-3-030-26250-1_10.</w:t>
      </w:r>
    </w:p>
    <w:p>
      <w:pPr>
        <w:spacing w:after="40" w:before="40"/>
        <w:ind w:left="480" w:hanging="480"/>
      </w:pPr>
      <w:r>
        <w:rPr>
          <w:rFonts w:ascii="Arial" w:cs="Arial" w:eastAsia="Arial" w:hAnsi="Arial"/>
          <w:color w:val="000000"/>
          <w:sz w:val="18"/>
          <w:szCs w:val="18"/>
        </w:rPr>
        <w:t xml:space="preserve">[8] IEC 62304:2006+AMD1:2015, "Medical device software — Software life cycle processes," IEC, Geneva, 2015.</w:t>
      </w:r>
    </w:p>
    <w:p>
      <w:pPr>
        <w:spacing w:after="40" w:before="40"/>
        <w:ind w:left="480" w:hanging="480"/>
      </w:pPr>
      <w:r>
        <w:rPr>
          <w:rFonts w:ascii="Arial" w:cs="Arial" w:eastAsia="Arial" w:hAnsi="Arial"/>
          <w:color w:val="000000"/>
          <w:sz w:val="18"/>
          <w:szCs w:val="18"/>
        </w:rPr>
        <w:t xml:space="preserve">[9] ISO 14971:2019, "Medical devices — Application of risk management to medical devices," ISO, Geneva, 2019.</w:t>
      </w:r>
    </w:p>
    <w:p>
      <w:pPr>
        <w:spacing w:after="40" w:before="40"/>
        <w:ind w:left="480" w:hanging="480"/>
      </w:pPr>
      <w:r>
        <w:rPr>
          <w:rFonts w:ascii="Arial" w:cs="Arial" w:eastAsia="Arial" w:hAnsi="Arial"/>
          <w:color w:val="AA3300"/>
          <w:sz w:val="18"/>
          <w:szCs w:val="18"/>
        </w:rPr>
        <w:t xml:space="preserve">[10] C. I. King, “stress-ng: A Tool to Load and Stress a Computer System,” GitHub repository, 2023. [Online]. Available: https://github.com/ColinIanKing/stress-ng [Accessed: Apr. 2026].</w:t>
      </w:r>
    </w:p>
    <w:p>
      <w:pPr>
        <w:spacing w:after="40" w:before="40"/>
        <w:ind w:left="480" w:hanging="480"/>
      </w:pPr>
      <w:r>
        <w:rPr>
          <w:rFonts w:ascii="Arial" w:cs="Arial" w:eastAsia="Arial" w:hAnsi="Arial"/>
          <w:color w:val="AA3300"/>
          <w:sz w:val="18"/>
          <w:szCs w:val="18"/>
        </w:rPr>
        <w:t xml:space="preserve">[11] NVIDIA Corporation, “Holoscan SDK: A Platform for Medical Device Developers,” NVIDIA Developer Documentation, 2024. [Online]. Available: https://developer.nvidia.com/holoscan-sdk [Accessed: Apr. 2026].</w:t>
      </w:r>
    </w:p>
    <w:p>
      <w:pPr>
        <w:spacing w:after="40" w:before="40"/>
        <w:ind w:left="480" w:hanging="480"/>
      </w:pPr>
      <w:r>
        <w:rPr>
          <w:rFonts w:ascii="Arial" w:cs="Arial" w:eastAsia="Arial" w:hAnsi="Arial"/>
          <w:color w:val="AA3300"/>
          <w:sz w:val="18"/>
          <w:szCs w:val="18"/>
        </w:rPr>
        <w:t xml:space="preserve">[12] M. Sandler, A. Howard, M. Zhu, A. Zhmoginov, and L.-C. Chen, “MobileNetV2: Inverted Residuals and Linear Bottlenecks,” in Proc. IEEE/CVF Conf. Comput. Vis. Pattern Recognit. (CVPR), 2018, pp. 4510–4520.</w:t>
      </w:r>
    </w:p>
    <w:p>
      <w:pPr>
        <w:spacing w:after="40" w:before="40"/>
        <w:ind w:left="480" w:hanging="480"/>
      </w:pPr>
      <w:r>
        <w:rPr>
          <w:rFonts w:ascii="Arial" w:cs="Arial" w:eastAsia="Arial" w:hAnsi="Arial"/>
          <w:color w:val="AA3300"/>
          <w:sz w:val="18"/>
          <w:szCs w:val="18"/>
        </w:rPr>
        <w:t xml:space="preserve">[13] NVIDIA Corporation, “TensorRT Developer Guide,” NVIDIA Developer Documentation, 2024. [Online]. Available: https://docs.nvidia.com/deeplearning/tensorrt/developer-guide/ [Accessed: Apr. 2026].</w:t>
      </w:r>
    </w:p>
    <w:p>
      <w:pPr>
        <w:spacing w:after="80" w:before="80"/>
        <w:jc w:val="both"/>
      </w:pPr>
      <w:r>
        <w:rPr>
          <w:rFonts w:ascii="Arial" w:cs="Arial" w:eastAsia="Arial" w:hAnsi="Arial"/>
          <w:sz w:val="18"/>
          <w:szCs w:val="18"/>
        </w:rPr>
        <w:t xml:space="preserve">[15] B. Lee, P. Kramer, S. Sandri, R. Chanda, C. Favorito, O. Nasef, J. S. Ross, J. Sharfstein, and T. Dai, “Early Recalls and Clinical Validation Gaps in Artificial Intelligence–Enabled Medical Devices,” JAMA Health Forum, vol. 6, no. 8, p. e253172, Aug. 2025. doi: 10.1001/jamahealthforum.2025.3172.</w:t>
      </w:r>
    </w:p>
    <w:p>
      <w:pPr>
        <w:pBdr>
          <w:bottom w:val="single" w:color="2E6DA4" w:sz="6" w:space="1"/>
        </w:pBdr>
        <w:spacing w:after="120" w:before="120"/>
      </w:pPr>
      <w:r>
        <w:rPr>
          <w:rFonts w:ascii="Arial" w:cs="Arial" w:eastAsia="Arial" w:hAnsi="Arial"/>
          <w:sz w:val="20"/>
          <w:szCs w:val="20"/>
        </w:rPr>
        <w:t xml:space="preserve"/>
      </w:r>
    </w:p>
    <w:p>
      <w:pPr>
        <w:pStyle w:val="Heading1"/>
        <w:spacing w:after="120" w:before="300"/>
      </w:pPr>
      <w:r>
        <w:rPr>
          <w:rFonts w:ascii="Arial" w:cs="Arial" w:eastAsia="Arial" w:hAnsi="Arial"/>
          <w:b/>
          <w:bCs/>
          <w:caps/>
          <w:color w:val="1B3A6B"/>
          <w:sz w:val="28"/>
          <w:szCs w:val="28"/>
        </w:rPr>
        <w:t xml:space="preserve">Appendix: Symbol Glossary</w:t>
      </w:r>
    </w:p>
    <w:p>
      <w:pPr>
        <w:spacing w:after="60" w:before="160"/>
        <w:jc w:val="center"/>
      </w:pPr>
      <w:r>
        <w:rPr>
          <w:rFonts w:ascii="Arial" w:cs="Arial" w:eastAsia="Arial" w:hAnsi="Arial"/>
          <w:b/>
          <w:bCs/>
          <w:color w:val="1B3A6B"/>
          <w:sz w:val="18"/>
          <w:szCs w:val="18"/>
        </w:rPr>
        <w:t xml:space="preserve">TABLE X. Symbol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Symbol</w:t>
            </w:r>
          </w:p>
        </w:tc>
        <w:tc>
          <w:tcPr>
            <w:tcW w:type="dxa" w:w="8064"/>
            <w:gridSpan w:val="1"/>
            <w:tcBorders>
              <w:top w:val="single" w:color="C0C8D4" w:sz="4"/>
              <w:left w:val="single" w:color="C0C8D4" w:sz="4"/>
              <w:bottom w:val="single" w:color="C0C8D4" w:sz="4"/>
              <w:right w:val="single" w:color="C0C8D4" w:sz="4"/>
            </w:tcBorders>
            <w:shd w:fill="1B3A6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Definition</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T*</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Output stability tolerance band (±5% relative deviation) — Eq. (2)</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δᵢ</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Per-inference output deviation — Eq. (1)</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ȳ</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Mean nominal output (E0 baseline)</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STER</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Safety-Threshold Exceedance Rate — Eq. (3)</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Acc</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Classification accuracy (top-1, N = 500 activations)</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ε_acc</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Accuracy detection sensitivity threshold (2%)</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N</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Number of inference activations per trial (500)</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T_n</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Nominal inference activation period (100 ms, 10 Hz)</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f</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Deployed inference model function</w:t>
            </w:r>
          </w:p>
        </w:tc>
      </w:tr>
      <w:tr>
        <w:tc>
          <w:tcPr>
            <w:tcW w:type="dxa" w:w="2016"/>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center"/>
            </w:pPr>
            <w:r>
              <w:rPr>
                <w:rFonts w:ascii="Arial" w:cs="Arial" w:eastAsia="Arial" w:hAnsi="Arial"/>
                <w:b/>
                <w:bCs/>
                <w:color w:val="000000"/>
                <w:sz w:val="18"/>
                <w:szCs w:val="18"/>
              </w:rPr>
              <w:t xml:space="preserve">x</w:t>
            </w:r>
          </w:p>
        </w:tc>
        <w:tc>
          <w:tcPr>
            <w:tcW w:type="dxa" w:w="8064"/>
            <w:gridSpan w:val="1"/>
            <w:tcBorders>
              <w:top w:val="single" w:color="C0C8D4" w:sz="4"/>
              <w:left w:val="single" w:color="C0C8D4" w:sz="4"/>
              <w:bottom w:val="single" w:color="C0C8D4" w:sz="4"/>
              <w:right w:val="single" w:color="C0C8D4"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Fixed test input (held constant across all trials)</w:t>
            </w:r>
          </w:p>
        </w:tc>
      </w:tr>
      <w:tr>
        <w:tc>
          <w:tcPr>
            <w:tcW w:type="dxa" w:w="2016"/>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center"/>
            </w:pPr>
            <w:r>
              <w:rPr>
                <w:rFonts w:ascii="Arial" w:cs="Arial" w:eastAsia="Arial" w:hAnsi="Arial"/>
                <w:b/>
                <w:bCs/>
                <w:color w:val="000000"/>
                <w:sz w:val="18"/>
                <w:szCs w:val="18"/>
              </w:rPr>
              <w:t xml:space="preserve">α</w:t>
            </w:r>
          </w:p>
        </w:tc>
        <w:tc>
          <w:tcPr>
            <w:tcW w:type="dxa" w:w="8064"/>
            <w:gridSpan w:val="1"/>
            <w:tcBorders>
              <w:top w:val="single" w:color="C0C8D4" w:sz="4"/>
              <w:left w:val="single" w:color="C0C8D4" w:sz="4"/>
              <w:bottom w:val="single" w:color="C0C8D4" w:sz="4"/>
              <w:right w:val="single" w:color="C0C8D4" w:sz="4"/>
            </w:tcBorders>
            <w:shd w:fill="F4F6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Statistical significance level (0.05) for z-test comparisons</w:t>
            </w:r>
          </w:p>
        </w:tc>
      </w:tr>
    </w:tbl>
    <w:p>
      <w:pPr>
        <w:spacing w:after="0" w:before="200"/>
      </w:pPr>
      <w:r>
        <w:rPr>
          <w:rFonts w:ascii="Arial" w:cs="Arial" w:eastAsia="Arial" w:hAnsi="Arial"/>
          <w:sz w:val="20"/>
          <w:szCs w:val="20"/>
        </w:rPr>
        <w:t xml:space="preserve"/>
      </w:r>
    </w:p>
    <w:p>
      <w:pPr>
        <w:spacing w:after="40" w:before="120"/>
        <w:jc w:val="center"/>
      </w:pPr>
      <w:r>
        <w:rPr>
          <w:rFonts w:ascii="Arial" w:cs="Arial" w:eastAsia="Arial" w:hAnsi="Arial"/>
          <w:color w:val="777777"/>
          <w:sz w:val="18"/>
          <w:szCs w:val="18"/>
        </w:rPr>
        <w:t xml:space="preserve">E0–E6 complete. GPU path (E0–E5) and CPU negative control (E6) confirmed on Jetson Orin Nano Super.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888888"/>
        <w:sz w:val="16"/>
        <w:szCs w:val="16"/>
      </w:rPr>
      <w:t xml:space="preserve">arXiv preprint — Not for distribution until May 20,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80" w:before="0"/>
      <w:jc w:val="right"/>
    </w:pPr>
    <w:r>
      <w:rPr>
        <w:rFonts w:ascii="Arial" w:cs="Arial" w:eastAsia="Arial" w:hAnsi="Arial"/>
        <w:color w:val="888888"/>
        <w:sz w:val="16"/>
        <w:szCs w:val="16"/>
      </w:rPr>
      <w:t xml:space="preserve">IEEE EMBEDDED SYSTEMS LETTERS — P2 DRAFT</w:t>
    </w:r>
    <w:r>
      <w:rPr>
        <w:rFonts w:ascii="Arial" w:cs="Arial" w:eastAsia="Arial" w:hAnsi="Arial"/>
        <w:color w:val="BBBBBB"/>
        <w:sz w:val="16"/>
        <w:szCs w:val="16"/>
      </w:rPr>
      <w:t xml:space="preserve">   |   </w:t>
    </w:r>
    <w:r>
      <w:rPr>
        <w:rFonts w:ascii="Arial" w:cs="Arial" w:eastAsia="Arial" w:hAnsi="Arial"/>
        <w:color w:val="888888"/>
        <w:sz w:val="16"/>
        <w:szCs w:val="16"/>
      </w:rPr>
      <w:t xml:space="preserve">Swami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1B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2026-04-12T02:47:20.239Z</dcterms:created>
  <dcterms:modified xsi:type="dcterms:W3CDTF">2026-04-12T02:47:20.240Z</dcterms:modified>
</cp:coreProperties>
</file>

<file path=docProps/custom.xml><?xml version="1.0" encoding="utf-8"?>
<Properties xmlns="http://schemas.openxmlformats.org/officeDocument/2006/custom-properties" xmlns:vt="http://schemas.openxmlformats.org/officeDocument/2006/docPropsVTypes"/>
</file>