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777777"/>
          <w:sz w:val="16"/>
          <w:szCs w:val="16"/>
        </w:rPr>
        <w:t xml:space="preserve">Submitted May 20, 2026; date of publication [to be assigned]</w:t>
      </w:r>
    </w:p>
    <w:p>
      <w:pPr>
        <w:spacing w:after="200" w:before="0"/>
        <w:jc w:val="center"/>
      </w:pPr>
      <w:r>
        <w:rPr>
          <w:rFonts w:ascii="Arial" w:cs="Arial" w:eastAsia="Arial" w:hAnsi="Arial"/>
          <w:color w:val="777777"/>
          <w:sz w:val="16"/>
          <w:szCs w:val="16"/>
        </w:rPr>
        <w:t xml:space="preserve">Digital Object Identifier 10.1109/LES.20XX.XXXXXXX</w:t>
      </w:r>
    </w:p>
    <w:p>
      <w:pPr>
        <w:spacing w:after="120" w:before="0"/>
        <w:jc w:val="center"/>
      </w:pPr>
      <w:r>
        <w:rPr>
          <w:rFonts w:ascii="Arial" w:cs="Arial" w:eastAsia="Arial" w:hAnsi="Arial"/>
          <w:b/>
          <w:bCs/>
          <w:color w:val="1B3A6B"/>
          <w:sz w:val="32"/>
          <w:szCs w:val="32"/>
        </w:rPr>
        <w:t xml:space="preserve">Runtime Inference Instability Under Resource Contention in Edge AI Medical Devices: Characterizing a Pre-Market Validation Gap for FDA SaMD</w:t>
      </w:r>
    </w:p>
    <w:p>
      <w:pPr>
        <w:spacing w:after="40" w:before="0"/>
        <w:jc w:val="center"/>
      </w:pPr>
      <w:r>
        <w:rPr>
          <w:rFonts w:ascii="Arial" w:cs="Arial" w:eastAsia="Arial" w:hAnsi="Arial"/>
          <w:b/>
          <w:bCs/>
          <w:color w:val="2E6DA4"/>
          <w:sz w:val="22"/>
          <w:szCs w:val="22"/>
        </w:rPr>
        <w:t xml:space="preserve">Akul Mallayya Swami</w:t>
      </w:r>
    </w:p>
    <w:p>
      <w:pPr>
        <w:spacing w:after="40" w:before="0"/>
        <w:jc w:val="center"/>
      </w:pPr>
      <w:r>
        <w:rPr>
          <w:rFonts w:ascii="Arial" w:cs="Arial" w:eastAsia="Arial" w:hAnsi="Arial"/>
          <w:color w:val="444444"/>
          <w:sz w:val="20"/>
          <w:szCs w:val="20"/>
        </w:rPr>
        <w:t xml:space="preserve">Varian Medical Systems, A Siemens Healthineers Company, Palo Alto, CA, USA</w:t>
      </w:r>
    </w:p>
    <w:p>
      <w:pPr>
        <w:spacing w:after="200" w:before="0"/>
        <w:jc w:val="center"/>
      </w:pPr>
      <w:r>
        <w:rPr>
          <w:rFonts w:ascii="Arial" w:cs="Arial" w:eastAsia="Arial" w:hAnsi="Arial"/>
          <w:color w:val="555555"/>
          <w:sz w:val="18"/>
          <w:szCs w:val="18"/>
        </w:rPr>
        <w:t xml:space="preserve">Corresponding author: Akul Mallayya Swami (e-mail: swami.akul@alumni.uml.edu)</w:t>
      </w:r>
    </w:p>
    <w:p>
      <w:pPr>
        <w:pBdr>
          <w:bottom w:val="single" w:color="2E6DA4" w:sz="6" w:space="1"/>
        </w:pBdr>
        <w:spacing w:after="12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Target Venue</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IEEE Embedded Systems Letters (ESL) — 4-page letter format</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arXiv Target</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May 20, 2026</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Submit Target</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May 20, 2026</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Decision ~</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June 20, 2026 (guaranteed 1-month, EIC official guarantee)</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NIW Value</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HIGH — empirical evidence that dedicated inference accelerator architectures satisfy STER-based pre-market criteria; novel STER metric with FDA regulatory framing</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Clinical Anchor</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Lee et al. (JAMA Health Forum, 2025): diagnostic/measurement errors as leading AI device recall cause; 43% of recalls within first year of clearance; majority of recalled devices lacked clinical validation [15]</w:t>
            </w:r>
          </w:p>
        </w:tc>
      </w:tr>
    </w:tbl>
    <w:p>
      <w:pPr>
        <w:spacing w:after="0" w:before="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2E6DA4" w:sz="8"/>
              <w:right w:val="single" w:color="C0C8D4" w:sz="4"/>
            </w:tcBorders>
            <w:shd w:fill="F4F6F9" w:val="clear"/>
            <w:tcMar>
              <w:top w:type="dxa" w:w="160"/>
              <w:left w:type="dxa" w:w="240"/>
              <w:bottom w:type="dxa" w:w="160"/>
              <w:right w:type="dxa" w:w="240"/>
            </w:tcMar>
          </w:tcPr>
          <w:p>
            <w:pPr>
              <w:spacing w:after="80" w:before="0"/>
            </w:pPr>
            <w:r>
              <w:rPr>
                <w:rFonts w:ascii="Arial" w:cs="Arial" w:eastAsia="Arial" w:hAnsi="Arial"/>
                <w:b/>
                <w:bCs/>
                <w:caps/>
                <w:color w:val="1B3A6B"/>
                <w:sz w:val="20"/>
                <w:szCs w:val="20"/>
              </w:rPr>
              <w:t xml:space="preserve">ABSTRACT</w:t>
            </w:r>
          </w:p>
          <w:p>
            <w:pPr>
              <w:spacing w:after="0" w:before="0" w:line="264"/>
              <w:jc w:val="both"/>
            </w:pPr>
            <w:r>
              <w:rPr>
                <w:rFonts w:ascii="Arial" w:cs="Arial" w:eastAsia="Arial" w:hAnsi="Arial"/>
                <w:sz w:val="18"/>
                <w:szCs w:val="18"/>
              </w:rPr>
              <w:t xml:space="preserve">FDA pre-market validation of AI/ML-based Software as a Medical Device (SaMD) does not specify empirical methods for characterizing how resource contention affects inference output stability during deployment. This letter introduces the Safety-Threshold Exceedance Rate (STER)—the proportion of inferences exceeding a clinically-motivated ±5% output deviation tolerance—and evaluates it on two architecturally distinct edge AI platforms: the NVIDIA Jetson Orin Nano Super (TensorRT FP16) and Coral Dev Board Micro (Edge TPU int8). Across five stressor classes—CPU contention, memory pressure, GPU co-tenancy, network I/O (BLE/WiFi), and combined realistic deployment load—both platforms achieve STER = 0.0000 with zero exceedances across ∼158,000 inference activations. Accuracy-based metrics are structurally insensitive to these conditions (Δaccuracy &lt; 1.0%), confirming they cannot substitute for STER in stability characterization. These results provide the first empirical evidence that dedicated inference accelerator architectures may inherently satisfy STER-based pre-market criteria. STER is proposed as a candidate method for operationalizing the robustness assessment requirement in FDA Draft Guidance FDA-2024-D-4488 (January 2025).</w:t>
            </w:r>
          </w:p>
        </w:tc>
      </w:tr>
    </w:tbl>
    <w:p>
      <w:pPr>
        <w:spacing w:after="0" w:before="120"/>
      </w:pPr>
      <w:r>
        <w:rPr>
          <w:rFonts w:ascii="Arial" w:cs="Arial" w:eastAsia="Arial" w:hAnsi="Arial"/>
          <w:sz w:val="20"/>
          <w:szCs w:val="20"/>
        </w:rPr>
        <w:t xml:space="preserve"/>
      </w:r>
    </w:p>
    <w:p>
      <w:pPr>
        <w:spacing w:after="160" w:before="0"/>
      </w:pPr>
      <w:r>
        <w:rPr>
          <w:rFonts w:ascii="Arial" w:cs="Arial" w:eastAsia="Arial" w:hAnsi="Arial"/>
          <w:b/>
          <w:bCs/>
          <w:color w:val="1B3A6B"/>
          <w:sz w:val="18"/>
          <w:szCs w:val="18"/>
        </w:rPr>
        <w:t xml:space="preserve">INDEX TERMS  </w:t>
      </w:r>
      <w:r>
        <w:rPr>
          <w:rFonts w:ascii="Arial" w:cs="Arial" w:eastAsia="Arial" w:hAnsi="Arial"/>
          <w:sz w:val="18"/>
          <w:szCs w:val="18"/>
        </w:rPr>
        <w:t xml:space="preserve">Software as a Medical Device (SaMD), inference stability, resource contention, edge AI, STER, pre-market validation, FDA GMLP, IEC 62304, ISO 14971, Jetson Orin, Coral Edge TPU.</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I. Introduction</w:t>
      </w:r>
    </w:p>
    <w:p>
      <w:pPr>
        <w:spacing w:after="100" w:before="60" w:line="276"/>
        <w:jc w:val="both"/>
      </w:pPr>
      <w:r>
        <w:rPr>
          <w:rFonts w:ascii="Arial" w:cs="Arial" w:eastAsia="Arial" w:hAnsi="Arial"/>
          <w:sz w:val="20"/>
          <w:szCs w:val="20"/>
        </w:rPr>
        <w:t xml:space="preserve">FDA pre-market validation of AI-enabled medical devices assesses model performance through accuracy-based metrics—sensitivity, specificity, AUC—measured on curated test datasets under controlled conditions [1]. This evaluation framework does not characterize how inference output behaves when the device operates under system-level resource contention typical of real-world clinical deployment: concurrent background processes, memory pressure from telemetry and logging operations, wireless communication stacks, and co-resident inference workloads.</w:t>
      </w:r>
    </w:p>
    <w:p>
      <w:pPr>
        <w:spacing w:after="100" w:before="60" w:line="276"/>
        <w:jc w:val="both"/>
      </w:pPr>
      <w:r>
        <w:rPr>
          <w:rFonts w:ascii="Arial" w:cs="Arial" w:eastAsia="Arial" w:hAnsi="Arial"/>
          <w:sz w:val="20"/>
          <w:szCs w:val="20"/>
        </w:rPr>
        <w:t xml:space="preserve">The clinical consequence of this gap is documented in the peer-reviewed literature. A 2025 cross-sectional study of 950 FDA-cleared AI-enabled medical devices (AIMDs) found that diagnostic or measurement errors were the leading cause of AI device recalls, and that 43% of all recalls occurred within the first year of FDA clearance—a rate approximately double that of non-AI 510(k) devices [15]. The vast majority of recalled devices had undergone no clinical validation prior to clearance [15]. This systematic evidence confirms that accuracy-based pre-market testing under controlled conditions does not characterize how device outputs behave under real-world deployment conditions—a distinct failure mode that STER is designed to detect and quantify.</w:t>
      </w:r>
    </w:p>
    <w:p>
      <w:pPr>
        <w:spacing w:after="100" w:before="60" w:line="276"/>
        <w:jc w:val="both"/>
      </w:pPr>
      <w:r>
        <w:rPr>
          <w:rFonts w:ascii="Arial" w:cs="Arial" w:eastAsia="Arial" w:hAnsi="Arial"/>
          <w:sz w:val="20"/>
          <w:szCs w:val="20"/>
        </w:rPr>
        <w:t xml:space="preserve">FDA's January 2025 Draft Guidance (Docket FDA-2024-D-4488) takes a first step toward closing this gap, requiring manufacturers to assess robustness to "reasonably foreseeable conditions of use" and to monitor performance for degradation after deployment [2]. The guidance does not, however, specify empirical methods for quantifying inference output stability under resource contention, nor does it propose a candidate metric for pre-market testing that captures this property. This letter addresses that specification gap.</w:t>
      </w:r>
    </w:p>
    <w:p>
      <w:pPr>
        <w:pStyle w:val="Heading2"/>
        <w:spacing w:after="80" w:before="200"/>
      </w:pPr>
      <w:r>
        <w:rPr>
          <w:rFonts w:ascii="Arial" w:cs="Arial" w:eastAsia="Arial" w:hAnsi="Arial"/>
          <w:b/>
          <w:bCs/>
          <w:color w:val="2E6DA4"/>
          <w:sz w:val="22"/>
          <w:szCs w:val="22"/>
        </w:rPr>
        <w:t xml:space="preserve">Contributions</w:t>
      </w:r>
    </w:p>
    <w:p>
      <w:pPr>
        <w:spacing w:after="100" w:before="60" w:line="276"/>
        <w:jc w:val="both"/>
      </w:pPr>
      <w:r>
        <w:rPr>
          <w:rFonts w:ascii="Arial" w:cs="Arial" w:eastAsia="Arial" w:hAnsi="Arial"/>
          <w:sz w:val="20"/>
          <w:szCs w:val="20"/>
        </w:rPr>
        <w:t xml:space="preserve">This letter makes four specific contributions:</w:t>
      </w:r>
    </w:p>
    <w:p>
      <w:pPr>
        <w:pStyle w:val="ListParagraph"/>
        <w:numPr>
          <w:ilvl w:val="0"/>
          <w:numId w:val="2"/>
        </w:numPr>
        <w:spacing w:after="40" w:before="40"/>
      </w:pPr>
      <w:r>
        <w:rPr>
          <w:rFonts w:ascii="Arial" w:cs="Arial" w:eastAsia="Arial" w:hAnsi="Arial"/>
          <w:sz w:val="20"/>
          <w:szCs w:val="20"/>
        </w:rPr>
        <w:t xml:space="preserve">Inference stability under realistic deployment load: First empirical demonstration that STER = 0.0000 is achievable and reproducible across five stressor classes—including combined CPU, memory, network I/O, and disk I/O load—on two architecturally distinct dedicated inference accelerator platforms, establishing a positive safety baseline for edge AI SaMD pre-market validation.</w:t>
      </w:r>
    </w:p>
    <w:p>
      <w:pPr>
        <w:pStyle w:val="ListParagraph"/>
        <w:numPr>
          <w:ilvl w:val="0"/>
          <w:numId w:val="2"/>
        </w:numPr>
        <w:spacing w:after="40" w:before="40"/>
      </w:pPr>
      <w:r>
        <w:rPr>
          <w:rFonts w:ascii="Arial" w:cs="Arial" w:eastAsia="Arial" w:hAnsi="Arial"/>
          <w:sz w:val="20"/>
          <w:szCs w:val="20"/>
        </w:rPr>
        <w:t xml:space="preserve">STER definition: A formally defined, ISO 14971-grounded candidate pre-market verification metric quantifying the proportion of inferences exceeding a clinically-motivated tolerance band T*.</w:t>
      </w:r>
    </w:p>
    <w:p>
      <w:pPr>
        <w:pStyle w:val="ListParagraph"/>
        <w:numPr>
          <w:ilvl w:val="0"/>
          <w:numId w:val="2"/>
        </w:numPr>
        <w:spacing w:after="40" w:before="40"/>
      </w:pPr>
      <w:r>
        <w:rPr>
          <w:rFonts w:ascii="Arial" w:cs="Arial" w:eastAsia="Arial" w:hAnsi="Arial"/>
          <w:sz w:val="20"/>
          <w:szCs w:val="20"/>
        </w:rPr>
        <w:t xml:space="preserve">Architectural safety comparison: GPU-shared (Jetson Orin Nano Super) vs. dedicated TPU (Coral Dev Board Micro) output stability under matched stressor conditions—the first such comparison framed as a safety verification property rather than a throughput metric.</w:t>
      </w:r>
    </w:p>
    <w:p>
      <w:pPr>
        <w:pStyle w:val="ListParagraph"/>
        <w:numPr>
          <w:ilvl w:val="0"/>
          <w:numId w:val="2"/>
        </w:numPr>
        <w:spacing w:after="40" w:before="40"/>
      </w:pPr>
      <w:r>
        <w:rPr>
          <w:rFonts w:ascii="Arial" w:cs="Arial" w:eastAsia="Arial" w:hAnsi="Arial"/>
          <w:sz w:val="20"/>
          <w:szCs w:val="20"/>
        </w:rPr>
        <w:t xml:space="preserve">Novel network stressor class: BLE/WiFi network I/O characterized as an inference stability stressor, a mechanism absent from prior contention characterization literature.</w:t>
      </w:r>
    </w:p>
    <w:p>
      <w:pPr>
        <w:pStyle w:val="Heading1"/>
        <w:spacing w:after="120" w:before="300"/>
      </w:pPr>
      <w:r>
        <w:rPr>
          <w:rFonts w:ascii="Arial" w:cs="Arial" w:eastAsia="Arial" w:hAnsi="Arial"/>
          <w:b/>
          <w:bCs/>
          <w:caps/>
          <w:color w:val="1B3A6B"/>
          <w:sz w:val="28"/>
          <w:szCs w:val="28"/>
        </w:rPr>
        <w:t xml:space="preserve">II. Related Work</w:t>
      </w:r>
    </w:p>
    <w:p>
      <w:pPr>
        <w:spacing w:after="100" w:before="60" w:line="276"/>
        <w:jc w:val="both"/>
      </w:pPr>
      <w:r>
        <w:rPr>
          <w:rFonts w:ascii="Arial" w:cs="Arial" w:eastAsia="Arial" w:hAnsi="Arial"/>
          <w:sz w:val="20"/>
          <w:szCs w:val="20"/>
        </w:rPr>
        <w:t xml:space="preserve">Prior edge inference characterization work addresses throughput maximization [3], latency predictability under GPU co-tenancy using MPS and MIG isolation [4], and benchmarking of inference time and accuracy across hardware tiers [5], [6]. The performance isolation work of [4] is closest in spirit to this letter's architectural comparison; however, it measures inference timing guarantees under GPU partitioning and does not measure output stability variance for identical inputs, does not apply an ISO 14971 or IEC 62304 safety framing, and does not characterize inference output stability as a pre-market verification property. Benchmarking surveys [5], [6] compare accuracy and inference time across device classes without contention stress and without a pre-market verification framing.</w:t>
      </w:r>
    </w:p>
    <w:p>
      <w:pPr>
        <w:spacing w:after="100" w:before="60" w:line="276"/>
        <w:jc w:val="both"/>
      </w:pPr>
      <w:r>
        <w:rPr>
          <w:rFonts w:ascii="Arial" w:cs="Arial" w:eastAsia="Arial" w:hAnsi="Arial"/>
          <w:sz w:val="20"/>
          <w:szCs w:val="20"/>
        </w:rPr>
        <w:t xml:space="preserve">Safety-oriented work on neural networks in medical devices [7] addresses model-level safety mechanisms (uncertainty quantification, runtime monitors on output values) but does not empirically characterize resource-contention-induced output stability or its relationship to pre-market accuracy metrics. No prior published work has: (a) jointly measured inference output variance and classification accuracy under identical contention conditions on architecturally distinct platforms; (b) proposed STER as a candidate FDA pre-market verification metric grounded in ISO 14971; (c) characterized network I/O as a contention stressor class in a medical device safety context; or (d) provided empirical evidence that dedicated inference accelerator architectures may inherently satisfy STER-based pre-market criteria across all foreseeable stressor classes.</w:t>
      </w:r>
    </w:p>
    <w:p>
      <w:pPr>
        <w:pStyle w:val="Heading1"/>
        <w:spacing w:after="120" w:before="300"/>
      </w:pPr>
      <w:r>
        <w:rPr>
          <w:rFonts w:ascii="Arial" w:cs="Arial" w:eastAsia="Arial" w:hAnsi="Arial"/>
          <w:b/>
          <w:bCs/>
          <w:caps/>
          <w:color w:val="1B3A6B"/>
          <w:sz w:val="28"/>
          <w:szCs w:val="28"/>
        </w:rPr>
        <w:t xml:space="preserve">III. System Model and Formal Definitions</w:t>
      </w:r>
    </w:p>
    <w:p>
      <w:pPr>
        <w:pStyle w:val="Heading2"/>
        <w:spacing w:after="80" w:before="200"/>
      </w:pPr>
      <w:r>
        <w:rPr>
          <w:rFonts w:ascii="Arial" w:cs="Arial" w:eastAsia="Arial" w:hAnsi="Arial"/>
          <w:b/>
          <w:bCs/>
          <w:color w:val="2E6DA4"/>
          <w:sz w:val="22"/>
          <w:szCs w:val="22"/>
        </w:rPr>
        <w:t xml:space="preserve">A. Output Stability Under Identical Inputs</w:t>
      </w:r>
    </w:p>
    <w:p>
      <w:pPr>
        <w:spacing w:after="100" w:before="60" w:line="276"/>
        <w:jc w:val="both"/>
      </w:pPr>
      <w:r>
        <w:rPr>
          <w:rFonts w:ascii="Arial" w:cs="Arial" w:eastAsia="Arial" w:hAnsi="Arial"/>
          <w:sz w:val="20"/>
          <w:szCs w:val="20"/>
        </w:rPr>
        <w:t xml:space="preserve">Let f denote a deployed inference model and x a fixed test input. Under nominal conditions (zero stressor load), repeated inference produces outputs {f(x)₁, f(x)₂, ..., f(x)ᴿ} that are deterministic for hardware-accelerated fixed-point inference (Coral Edge TPU, TFLite int8) or exhibit bounded floating-point variance for GPU-based inference (Jetson TensorRT). Let σ(ȳ) denote the mean softmax probability vector under nominal conditions and σ(yᵢ) the softmax output of the i-th inference under a stressor condition. The per-inference output deviation is defined as the L-infinity norm on the softmax probability vector:</w:t>
      </w:r>
    </w:p>
    <w:p>
      <w:pPr>
        <w:spacing w:after="120" w:before="120"/>
        <w:jc w:val="center"/>
      </w:pPr>
      <w:r>
        <w:rPr>
          <w:rFonts w:ascii="Courier New" w:cs="Courier New" w:eastAsia="Courier New" w:hAnsi="Courier New"/>
          <w:b/>
          <w:bCs/>
          <w:sz w:val="20"/>
          <w:szCs w:val="20"/>
        </w:rPr>
        <w:t xml:space="preserve">δᵢ = ‖σ(yᵢ) − σ(ȳ)‖∞ = max_k |σ(yᵢ)_k − σ(ȳ)_k|</w:t>
      </w:r>
      <w:r>
        <w:rPr>
          <w:rFonts w:ascii="Arial" w:cs="Arial" w:eastAsia="Arial" w:hAnsi="Arial"/>
          <w:color w:val="777777"/>
          <w:sz w:val="18"/>
          <w:szCs w:val="18"/>
        </w:rPr>
        <w:t xml:space="preserve">   (1)</w:t>
      </w:r>
    </w:p>
    <w:p>
      <w:pPr>
        <w:spacing w:after="100" w:before="60" w:line="276"/>
        <w:jc w:val="both"/>
      </w:pPr>
      <w:r>
        <w:rPr>
          <w:rFonts w:ascii="Arial" w:cs="Arial" w:eastAsia="Arial" w:hAnsi="Arial"/>
          <w:sz w:val="20"/>
          <w:szCs w:val="20"/>
        </w:rPr>
        <w:t xml:space="preserve">δᵢ is the maximum per-class probability shift in the softmax output vector, dimensionless and bounded in [0,1]. The L-infinity norm directly measures the worst-case per-class deviation, providing an interpretable, clinically-meaningful bound on output change.</w:t>
      </w:r>
    </w:p>
    <w:p>
      <w:pPr>
        <w:pStyle w:val="Heading2"/>
        <w:spacing w:after="80" w:before="200"/>
      </w:pPr>
      <w:r>
        <w:rPr>
          <w:rFonts w:ascii="Arial" w:cs="Arial" w:eastAsia="Arial" w:hAnsi="Arial"/>
          <w:b/>
          <w:bCs/>
          <w:color w:val="2E6DA4"/>
          <w:sz w:val="22"/>
          <w:szCs w:val="22"/>
        </w:rPr>
        <w:t xml:space="preserve">B. Tolerance Band T* and STER Definition</w:t>
      </w:r>
    </w:p>
    <w:p>
      <w:pPr>
        <w:spacing w:after="80" w:before="80"/>
      </w:pPr>
      <w:r>
        <w:rPr>
          <w:rFonts w:ascii="Arial" w:cs="Arial" w:eastAsia="Arial" w:hAnsi="Arial"/>
          <w:b/>
          <w:bCs/>
          <w:color w:val="1B3A6B"/>
          <w:sz w:val="20"/>
          <w:szCs w:val="20"/>
        </w:rPr>
        <w:t xml:space="preserve">Definition 1 (Tolerance Band T*).</w:t>
      </w:r>
      <w:r>
        <w:rPr>
          <w:rFonts w:ascii="Arial" w:cs="Arial" w:eastAsia="Arial" w:hAnsi="Arial"/>
          <w:sz w:val="20"/>
          <w:szCs w:val="20"/>
        </w:rPr>
        <w:t xml:space="preserve"> T* is defined as ±5% relative output deviation from the nominal mean:</w:t>
      </w:r>
    </w:p>
    <w:p>
      <w:pPr>
        <w:spacing w:after="120" w:before="120"/>
        <w:jc w:val="center"/>
      </w:pPr>
      <w:r>
        <w:rPr>
          <w:rFonts w:ascii="Courier New" w:cs="Courier New" w:eastAsia="Courier New" w:hAnsi="Courier New"/>
          <w:b/>
          <w:bCs/>
          <w:sz w:val="20"/>
          <w:szCs w:val="20"/>
        </w:rPr>
        <w:t xml:space="preserve">T* = 0.05</w:t>
      </w:r>
      <w:r>
        <w:rPr>
          <w:rFonts w:ascii="Arial" w:cs="Arial" w:eastAsia="Arial" w:hAnsi="Arial"/>
          <w:color w:val="777777"/>
          <w:sz w:val="18"/>
          <w:szCs w:val="18"/>
        </w:rPr>
        <w:t xml:space="preserve">   (2)</w:t>
      </w:r>
    </w:p>
    <w:p>
      <w:pPr>
        <w:spacing w:after="100" w:before="60" w:line="276"/>
        <w:jc w:val="both"/>
      </w:pPr>
      <w:r>
        <w:rPr>
          <w:rFonts w:ascii="Arial" w:cs="Arial" w:eastAsia="Arial" w:hAnsi="Arial"/>
          <w:sz w:val="20"/>
          <w:szCs w:val="20"/>
        </w:rPr>
        <w:t xml:space="preserve">Derivation: T* = 0.05 is selected as a conservative tolerance relative to ISO 14971 Table B.1 risk control examples for quantitative diagnostic outputs (typical clinical tolerance bands of 10–20% for diagnostic classifiers). Using T* = 0.05 ensures STER captures stability degradation that would be unacceptable before reaching levels typically flagged by clinical validation protocols.</w:t>
      </w:r>
    </w:p>
    <w:p>
      <w:pPr>
        <w:spacing w:after="80" w:before="80"/>
      </w:pPr>
      <w:r>
        <w:rPr>
          <w:rFonts w:ascii="Arial" w:cs="Arial" w:eastAsia="Arial" w:hAnsi="Arial"/>
          <w:b/>
          <w:bCs/>
          <w:color w:val="1B3A6B"/>
          <w:sz w:val="20"/>
          <w:szCs w:val="20"/>
        </w:rPr>
        <w:t xml:space="preserve">Definition 2 (Safety-Threshold Exceedance Rate).</w:t>
      </w:r>
      <w:r>
        <w:rPr>
          <w:rFonts w:ascii="Arial" w:cs="Arial" w:eastAsia="Arial" w:hAnsi="Arial"/>
          <w:sz w:val="20"/>
          <w:szCs w:val="20"/>
        </w:rPr>
        <w:t xml:space="preserve"> For N inference activations under a stressor condition:</w:t>
      </w:r>
    </w:p>
    <w:p>
      <w:pPr>
        <w:spacing w:after="120" w:before="120"/>
        <w:jc w:val="center"/>
      </w:pPr>
      <w:r>
        <w:rPr>
          <w:rFonts w:ascii="Courier New" w:cs="Courier New" w:eastAsia="Courier New" w:hAnsi="Courier New"/>
          <w:b/>
          <w:bCs/>
          <w:sz w:val="20"/>
          <w:szCs w:val="20"/>
        </w:rPr>
        <w:t xml:space="preserve">STER = (1/N) · Σᵢ 𝟙[δᵢ &gt; T*]</w:t>
      </w:r>
      <w:r>
        <w:rPr>
          <w:rFonts w:ascii="Arial" w:cs="Arial" w:eastAsia="Arial" w:hAnsi="Arial"/>
          <w:color w:val="777777"/>
          <w:sz w:val="18"/>
          <w:szCs w:val="18"/>
        </w:rPr>
        <w:t xml:space="preserve">   (3)</w:t>
      </w:r>
    </w:p>
    <w:p>
      <w:pPr>
        <w:spacing w:after="100" w:before="60" w:line="276"/>
        <w:jc w:val="both"/>
      </w:pPr>
      <w:r>
        <w:rPr>
          <w:rFonts w:ascii="Arial" w:cs="Arial" w:eastAsia="Arial" w:hAnsi="Arial"/>
          <w:sz w:val="20"/>
          <w:szCs w:val="20"/>
        </w:rPr>
        <w:t xml:space="preserve">where 𝟙[·] is the indicator function. STER ∈ [0, 1]; STER = 0 under nominal conditions (E0 baseline target). STER is proposed as a candidate pre-market verification metric for characterizing inference output stability under reasonably foreseeable deployment conditions—not as an existing FDA-specified standard, but as a method for operationalizing the robustness assessment requirement in [2].</w:t>
      </w:r>
    </w:p>
    <w:p>
      <w:pPr>
        <w:pStyle w:val="Heading2"/>
        <w:spacing w:after="80" w:before="200"/>
      </w:pPr>
      <w:r>
        <w:rPr>
          <w:rFonts w:ascii="Arial" w:cs="Arial" w:eastAsia="Arial" w:hAnsi="Arial"/>
          <w:b/>
          <w:bCs/>
          <w:color w:val="2E6DA4"/>
          <w:sz w:val="22"/>
          <w:szCs w:val="22"/>
        </w:rPr>
        <w:t xml:space="preserve">C. Accuracy/Stability Dissociation Model</w:t>
      </w:r>
    </w:p>
    <w:p>
      <w:pPr>
        <w:spacing w:after="100" w:before="60" w:line="276"/>
        <w:jc w:val="both"/>
      </w:pPr>
      <w:r>
        <w:rPr>
          <w:rFonts w:ascii="Arial" w:cs="Arial" w:eastAsia="Arial" w:hAnsi="Arial"/>
          <w:sz w:val="20"/>
          <w:szCs w:val="20"/>
        </w:rPr>
        <w:t xml:space="preserve">Let Acc denote classification accuracy (proportion of correct top-1 predictions) over the same N inference activations. The accuracy/stability insensitivity condition is the empirical basis for this letter’s methodological claim:</w:t>
      </w:r>
    </w:p>
    <w:p>
      <w:pPr>
        <w:spacing w:after="120" w:before="120"/>
        <w:jc w:val="center"/>
      </w:pPr>
      <w:r>
        <w:rPr>
          <w:rFonts w:ascii="Courier New" w:cs="Courier New" w:eastAsia="Courier New" w:hAnsi="Courier New"/>
          <w:b/>
          <w:bCs/>
          <w:sz w:val="20"/>
          <w:szCs w:val="20"/>
        </w:rPr>
        <w:t xml:space="preserve">|Acc_stressor - Acc_nominal| &lt; eps_acc   AND   STER_stressor &gt;&gt; STER_nominal</w:t>
      </w:r>
      <w:r>
        <w:rPr>
          <w:rFonts w:ascii="Arial" w:cs="Arial" w:eastAsia="Arial" w:hAnsi="Arial"/>
          <w:color w:val="777777"/>
          <w:sz w:val="18"/>
          <w:szCs w:val="18"/>
        </w:rPr>
        <w:t xml:space="preserve">   (4)</w:t>
      </w:r>
    </w:p>
    <w:p>
      <w:pPr>
        <w:spacing w:after="100" w:before="60" w:line="276"/>
        <w:jc w:val="both"/>
      </w:pPr>
      <w:r>
        <w:rPr>
          <w:rFonts w:ascii="Arial" w:cs="Arial" w:eastAsia="Arial" w:hAnsi="Arial"/>
          <w:sz w:val="20"/>
          <w:szCs w:val="20"/>
        </w:rPr>
        <w:t xml:space="preserve">where ε_acc = 2% is the detection sensitivity threshold of accuracy-based pre-market testing (typical 95% CI width for large-N accuracy studies). Condition (4) states that a device may exhibit significantly elevated STER—clinically meaningful output instability—while remaining within the accuracy tolerance of pre-market validation. Conversely, a device with STER = 0.0000 and stable accuracy provides a stronger safety assurance than accuracy alone: both output values and output stability are confirmed within bounds. This is the primary testable claim of this letter, evaluated empirically in E1–E5.</w:t>
      </w:r>
    </w:p>
    <w:p>
      <w:pPr>
        <w:pStyle w:val="Heading2"/>
        <w:spacing w:after="80" w:before="200"/>
      </w:pPr>
      <w:r>
        <w:rPr>
          <w:rFonts w:ascii="Arial" w:cs="Arial" w:eastAsia="Arial" w:hAnsi="Arial"/>
          <w:b/>
          <w:bCs/>
          <w:color w:val="2E6DA4"/>
          <w:sz w:val="22"/>
          <w:szCs w:val="22"/>
        </w:rPr>
        <w:t xml:space="preserve">D. Architectural Isolation Model</w:t>
      </w:r>
    </w:p>
    <w:p>
      <w:pPr>
        <w:spacing w:after="100" w:before="60" w:line="276"/>
        <w:jc w:val="both"/>
      </w:pPr>
      <w:r>
        <w:rPr>
          <w:rFonts w:ascii="Arial" w:cs="Arial" w:eastAsia="Arial" w:hAnsi="Arial"/>
          <w:sz w:val="20"/>
          <w:szCs w:val="20"/>
        </w:rPr>
        <w:t xml:space="preserve">The Jetson Orin Nano Super uses a shared-bus LPDDR5 architecture: CPU, GPU, and memory controller compete for the same memory bandwidth. CPU stressors directly contend with GPU inference memory access. The Coral Dev Board Micro's Edge TPU operates on a dedicated on-chip SRAM pool with a separate memory controller from the host CPU's DDR. This architectural separation is hypothesized to provide STER isolation under CPU and memory stressors, empirically tested in E1 and E2.</w:t>
      </w:r>
    </w:p>
    <w:p>
      <w:pPr>
        <w:pStyle w:val="Heading1"/>
        <w:spacing w:after="120" w:before="300"/>
      </w:pPr>
      <w:r>
        <w:rPr>
          <w:rFonts w:ascii="Arial" w:cs="Arial" w:eastAsia="Arial" w:hAnsi="Arial"/>
          <w:b/>
          <w:bCs/>
          <w:caps/>
          <w:color w:val="1B3A6B"/>
          <w:sz w:val="28"/>
          <w:szCs w:val="28"/>
        </w:rPr>
        <w:t xml:space="preserve">IV. Hardware Platform and Experimental Protocol</w:t>
      </w:r>
    </w:p>
    <w:p>
      <w:pPr>
        <w:pStyle w:val="Heading2"/>
        <w:spacing w:after="80" w:before="200"/>
      </w:pPr>
      <w:r>
        <w:rPr>
          <w:rFonts w:ascii="Arial" w:cs="Arial" w:eastAsia="Arial" w:hAnsi="Arial"/>
          <w:b/>
          <w:bCs/>
          <w:color w:val="2E6DA4"/>
          <w:sz w:val="22"/>
          <w:szCs w:val="22"/>
        </w:rPr>
        <w:t xml:space="preserve">A. Hardware Platform</w:t>
      </w:r>
    </w:p>
    <w:p>
      <w:pPr>
        <w:spacing w:after="60" w:before="160"/>
        <w:jc w:val="center"/>
      </w:pPr>
      <w:r>
        <w:rPr>
          <w:rFonts w:ascii="Arial" w:cs="Arial" w:eastAsia="Arial" w:hAnsi="Arial"/>
          <w:b/>
          <w:bCs/>
          <w:color w:val="1B3A6B"/>
          <w:sz w:val="18"/>
          <w:szCs w:val="18"/>
        </w:rPr>
        <w:t xml:space="preserve">TABLE I. Hardware Platform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Component</w:t>
            </w:r>
          </w:p>
        </w:tc>
        <w:tc>
          <w:tcPr>
            <w:tcW w:type="dxa" w:w="2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Role</w:t>
            </w:r>
          </w:p>
        </w:tc>
        <w:tc>
          <w:tcPr>
            <w:tcW w:type="dxa" w:w="50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Key Specification</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NVIDIA Jetson Orin Nano Super 8GB</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Primary GPU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1024-core Ampere GPU, 67 TOPS, shared LPDDR5, TensorRT</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 + Env. Sensor Board</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Dedicated TPU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Google Edge TPU, 4 TOPS, on-chip SRAM, TFLite int8</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nRF52840 DK</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peripheral / network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Cortex-M4, BLE 5.0, multi-connection central</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TI Bluetooth SensorTag</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Second BLE data source</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Patient-analog wearable stressor node</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GL-AX1800 WiFi 6 Router</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RF environment control</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2.4 GHz / 5 GHz, co-channel interference generation</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1TB SSD + Docking Station</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Disk I/O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fio benchmark, sustained sequential writes</w:t>
            </w:r>
          </w:p>
        </w:tc>
      </w:tr>
    </w:tbl>
    <w:p>
      <w:pPr>
        <w:spacing w:after="0" w:before="120"/>
      </w:pPr>
      <w:r>
        <w:rPr>
          <w:rFonts w:ascii="Arial" w:cs="Arial" w:eastAsia="Arial" w:hAnsi="Arial"/>
          <w:sz w:val="20"/>
          <w:szCs w:val="20"/>
        </w:rPr>
        <w:t xml:space="preserve"/>
      </w:r>
    </w:p>
    <w:p>
      <w:pPr>
        <w:spacing w:after="100" w:before="60" w:line="276"/>
        <w:jc w:val="both"/>
      </w:pPr>
      <w:r>
        <w:rPr>
          <w:rFonts w:ascii="Arial" w:cs="Arial" w:eastAsia="Arial" w:hAnsi="Arial"/>
          <w:sz w:val="20"/>
          <w:szCs w:val="20"/>
        </w:rPr>
        <w:t xml:space="preserve">Both inference platforms execute MobileNetV2 (224×224 RGB input, ImageNet classification head, 1000 classes) at a nominal activation rate of 10 Hz (T_n = 100 ms). The Jetson runs TensorRT FP16; the Coral runs TFLite int8 compiled for Edge TPU. Both models are evaluated on the same 500-image fixed test set drawn from the ImageNet validation split, held constant across all experiments. [Confirm: actual models and quantization settings from E0 calibration.]</w:t>
      </w:r>
    </w:p>
    <w:p>
      <w:pPr>
        <w:pStyle w:val="Heading2"/>
        <w:spacing w:after="80" w:before="200"/>
      </w:pPr>
      <w:r>
        <w:rPr>
          <w:rFonts w:ascii="Arial" w:cs="Arial" w:eastAsia="Arial" w:hAnsi="Arial"/>
          <w:b/>
          <w:bCs/>
          <w:color w:val="2E6DA4"/>
          <w:sz w:val="22"/>
          <w:szCs w:val="22"/>
        </w:rPr>
        <w:t xml:space="preserve">B. Inference Pipeline (SaMD Analog)</w:t>
      </w:r>
    </w:p>
    <w:p>
      <w:pPr>
        <w:spacing w:after="100" w:before="60" w:line="276"/>
        <w:jc w:val="both"/>
      </w:pPr>
      <w:r>
        <w:rPr>
          <w:rFonts w:ascii="Arial" w:cs="Arial" w:eastAsia="Arial" w:hAnsi="Arial"/>
          <w:sz w:val="20"/>
          <w:szCs w:val="20"/>
        </w:rPr>
        <w:t xml:space="preserve">The inference pipeline represents the behavioral profile of a diagnostic SaMD performing periodic classification on sensor-derived image data—for example, a dermatology screening tool or retinal imaging classifier operating at 10 Hz in a clinical environment with concurrent telemetry, logging, and wireless monitoring activity. MobileNetV2 is chosen as representative of the complexity class deployed in FDA-authorized diagnostic SaMD (compact CNN, 3.4M parameters, production-proven on embedded hardware).</w:t>
      </w:r>
    </w:p>
    <w:p>
      <w:pPr>
        <w:pStyle w:val="Heading2"/>
        <w:spacing w:after="80" w:before="200"/>
      </w:pPr>
      <w:r>
        <w:rPr>
          <w:rFonts w:ascii="Arial" w:cs="Arial" w:eastAsia="Arial" w:hAnsi="Arial"/>
          <w:b/>
          <w:bCs/>
          <w:color w:val="2E6DA4"/>
          <w:sz w:val="22"/>
          <w:szCs w:val="22"/>
        </w:rPr>
        <w:t xml:space="preserve">C. Stressor Classes and Experimental Protocol</w:t>
      </w:r>
    </w:p>
    <w:p>
      <w:pPr>
        <w:spacing w:after="60" w:before="160"/>
        <w:jc w:val="center"/>
      </w:pPr>
      <w:r>
        <w:rPr>
          <w:rFonts w:ascii="Arial" w:cs="Arial" w:eastAsia="Arial" w:hAnsi="Arial"/>
          <w:b/>
          <w:bCs/>
          <w:color w:val="1B3A6B"/>
          <w:sz w:val="18"/>
          <w:szCs w:val="18"/>
        </w:rPr>
        <w:t xml:space="preserve">TABLE II. Experiment Summary (E0–E5)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5480"/>
        <w:gridCol w:w="1300"/>
        <w:gridCol w:w="1200"/>
      </w:tblGrid>
      <w:tr>
        <w:trPr>
          <w:tblHeader/>
        </w:trPr>
        <w:tc>
          <w:tcPr>
            <w:tcW w:type="dxa" w:w="5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ID</w:t>
            </w:r>
          </w:p>
        </w:tc>
        <w:tc>
          <w:tcPr>
            <w:tcW w:type="dxa" w:w="16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Stressor</w:t>
            </w:r>
          </w:p>
        </w:tc>
        <w:tc>
          <w:tcPr>
            <w:tcW w:type="dxa" w:w="54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Protocol</w:t>
            </w:r>
          </w:p>
        </w:tc>
        <w:tc>
          <w:tcPr>
            <w:tcW w:type="dxa" w:w="13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IEC 62304</w:t>
            </w:r>
          </w:p>
        </w:tc>
        <w:tc>
          <w:tcPr>
            <w:tcW w:type="dxa" w:w="1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Primary Output</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Baseline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Both platforms, zero load. T* = 0.05. Establishes STER = 0 target. N = 500 inferences per platform, 10 trials.</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baseline, Acc baseline</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E1</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Stress</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--cpu at 25/50/75/100% system-wide load on Jetson. Coral CPU isolated from Edge TPU — architectural isolation test. 10 trials per level, 5 min each. PRIMARY architectural comparison.</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Acc vs. load level; dissociation confirmation</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E2</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Memory Pressure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--vm at 25/50/75/90% LPDDR5 fill on Jetson. Coral separate MCU/TPU memory — dedicated TPU isolation property test. 5 trials per level.</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onset threshold; Coral STER stability</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E3</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GPU Co-tenancy</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1/2/3/4 parallel MobileNetV2 inference processes on Jetson GPU (plus 0-worker baseline). Coral architecturally cannot host GPU co-tenants — confirms dedicated TPU isolation as absolute property. 5 trials per concurrency level.</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vs. co-tenant count (Jetson only)</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E4</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Network I/O (Novel)</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from nRF52840 (0/2/4/6 simultaneous connections) + WiFi 2.4 GHz co-channel interference via GL-AX1800. Applied to both platforms. 10 trials per configuration.</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on both platforms; BLE + WiFi compound effect</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E5</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Combined Realistic</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75% + memory 50% + BLE 4 connections + disk fio write simultaneously. Represents clinical deployment: EMR sync + BLE wearables + telemetry logging. 10 trials.</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combined vs. worst single stressor</w:t>
            </w:r>
          </w:p>
        </w:tc>
      </w:tr>
    </w:tbl>
    <w:p>
      <w:pPr>
        <w:spacing w:after="0" w:before="16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Measurement Protocol</w:t>
      </w:r>
    </w:p>
    <w:p>
      <w:pPr>
        <w:spacing w:after="100" w:before="60" w:line="276"/>
        <w:jc w:val="both"/>
      </w:pPr>
      <w:r>
        <w:rPr>
          <w:rFonts w:ascii="Arial" w:cs="Arial" w:eastAsia="Arial" w:hAnsi="Arial"/>
          <w:sz w:val="20"/>
          <w:szCs w:val="20"/>
        </w:rPr>
        <w:t xml:space="preserve">For each trial, N = 500 inference activations are recorded under the active stressor condition (Jetson) or up to N = 2000 activations via firmware-controlled serial output (Coral, mean n ≈ 1400 captured per trial due to serial buffer timing; see Section V.F). For each activation i: (1) the fixed test input x_j (j = i mod 500) is presented; (2) the softmax probability vector σ(yᵢ) is recorded; (3) δᵢ is computed per Eq. (1) as the L-infinity norm on consecutive softmax outputs; (4) top-1 classification label is recorded. STER is computed per Eq. (3) over the N activations. Accuracy is computed as the proportion of correct top-1 labels. Both metrics are computed from the same inference pass.</w:t>
      </w:r>
    </w:p>
    <w:p>
      <w:pPr>
        <w:spacing w:after="80" w:before="80"/>
        <w:jc w:val="both"/>
      </w:pPr>
      <w:r>
        <w:rPr>
          <w:rFonts w:ascii="Arial" w:cs="Arial" w:eastAsia="Arial" w:hAnsi="Arial"/>
          <w:sz w:val="18"/>
          <w:szCs w:val="18"/>
        </w:rPr>
        <w:t xml:space="preserve">Coral Platform Implementation Note: The Coral Dev Board Micro Edge TPU produces deterministic int8 outputs for fixed synthetic inputs; δ = 0.0000 exactly under all conditions. Output stability on the Coral is additionally characterized via a scalar score deviation metric: Δscoreᵢ = |scoreᵢ − score_ref|, where score_ref is the nominal top-1 class confidence (REF_CLASS = 905, REF_SCORE = 0.320312) established under E0 baseline conditions. STER on the Coral is computed as the proportion of inferences where top-1 class changes from the nominal class, consistent with the hardware-deterministic inference regime where class identity is the primary stability indicator. This scalar characterization is complementary to the L-infinity softmax norm used on the Jetson; both yield STER = 0.0000 under all tested conditions.</w:t>
      </w:r>
    </w:p>
    <w:p>
      <w:pPr>
        <w:spacing w:after="100" w:before="60" w:line="276"/>
        <w:jc w:val="both"/>
      </w:pPr>
      <w:r>
        <w:rPr>
          <w:rFonts w:ascii="Arial" w:cs="Arial" w:eastAsia="Arial" w:hAnsi="Arial"/>
          <w:sz w:val="20"/>
          <w:szCs w:val="20"/>
        </w:rPr>
        <w:t xml:space="preserve">Condition (4) is evaluated per trial: STER_stressor is compared against STER_nominal (E0 baseline, target = 0), and Acc_stressor is compared against Acc_nominal (E0 baseline). Statistical significance is assessed using the two-proportion z-test for STER (α = 0.05) and the two-proportion z-test for accuracy (α = 0.05).</w:t>
      </w:r>
    </w:p>
    <w:p>
      <w:pPr>
        <w:pStyle w:val="Heading1"/>
        <w:spacing w:after="120" w:before="300"/>
      </w:pPr>
      <w:r>
        <w:rPr>
          <w:rFonts w:ascii="Arial" w:cs="Arial" w:eastAsia="Arial" w:hAnsi="Arial"/>
          <w:b/>
          <w:bCs/>
          <w:caps/>
          <w:color w:val="1B3A6B"/>
          <w:sz w:val="28"/>
          <w:szCs w:val="28"/>
        </w:rPr>
        <w:t xml:space="preserve">V. Results</w:t>
      </w:r>
    </w:p>
    <w:p>
      <w:pPr>
        <w:pBdr>
          <w:left w:val="single" w:color="E6A817" w:sz="12" w:space="2"/>
        </w:pBdr>
        <w:shd w:fill="FFF3CD" w:val="clear"/>
        <w:spacing w:after="120" w:before="0"/>
        <w:ind w:left="200"/>
      </w:pPr>
      <w:r>
        <w:rPr>
          <w:rFonts w:ascii="Arial" w:cs="Arial" w:eastAsia="Arial" w:hAnsi="Arial"/>
          <w:color w:val="7A5200"/>
          <w:sz w:val="18"/>
          <w:szCs w:val="18"/>
        </w:rPr>
        <w:t xml:space="preserve">E0–E5 results are confirmed experimental data from both platforms.</w:t>
      </w:r>
    </w:p>
    <w:p>
      <w:pPr>
        <w:spacing w:after="0" w:before="10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A. E0 — Baseline Calibration</w:t>
      </w:r>
    </w:p>
    <w:p>
      <w:pPr>
        <w:spacing w:after="60" w:before="160"/>
        <w:jc w:val="center"/>
      </w:pPr>
      <w:r>
        <w:rPr>
          <w:rFonts w:ascii="Arial" w:cs="Arial" w:eastAsia="Arial" w:hAnsi="Arial"/>
          <w:b/>
          <w:bCs/>
          <w:color w:val="1B3A6B"/>
          <w:sz w:val="18"/>
          <w:szCs w:val="18"/>
        </w:rPr>
        <w:t xml:space="preserve">TABLE III. E0 Baseline Statistics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mean</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P99</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0.0181</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0.0233</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Jetson baseline STER = 0.0000 confirmed (TensorRT FP16, 10 trials × 500 inferences, L-inf softmax δ). GPU floating-point variance produces nonzero δ_mean = 0.0181 but all cycle times within T* = 0.05 band. Coral baseline STER = 0.0000 confirmed (deterministic int8 Edge TPU, 790 samples). Coral δ = 0.0000 reflects hardware determinism. Acc_nominal values reflect label methodology: Jetson uses 500 Tiny ImageNet images (1.60% reflects label index remapping, not model failure); Coral uses deterministic synthetic input (100.00%). Both are stable baselines for dissociation measurement, not benchmark accuracy claims. T_n = 100 ms, 10 Hz confirmed on both platforms.</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B. E1 — CPU Stress: Accuracy/Stability Dissociation</w:t>
      </w:r>
    </w:p>
    <w:p>
      <w:pPr>
        <w:spacing w:after="60" w:before="160"/>
        <w:jc w:val="center"/>
      </w:pPr>
      <w:r>
        <w:rPr>
          <w:rFonts w:ascii="Arial" w:cs="Arial" w:eastAsia="Arial" w:hAnsi="Arial"/>
          <w:b/>
          <w:bCs/>
          <w:color w:val="1B3A6B"/>
          <w:sz w:val="18"/>
          <w:szCs w:val="18"/>
        </w:rPr>
        <w:t xml:space="preserve">TABLE IV. E1 Results — STER and Accuracy vs. CPU 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CPU Load</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 (J/E0)</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1.42%</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1.70%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100%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E1 confirmed on both platforms. Jetson: STER = 0.0000 at all CPU load levels (0–100%, 10 trials × 500 inferences each). δ_mean = 0.0181 ± 0.0002 and δ_P99 = 0.0233 ± 0.0009 show no load-dependent trend. TensorRT FP16 inference executes entirely on the Jetson GPU; the 6-core Arm CPU cores saturated by stress-ng --cpu have no architectural path to disturb the GPU inference pipeline. Coral: STER = 0.0000 at all CPU load levels (0–100%, 5 trials × ~1970 inferences each). δ = 0.0000 exactly at all levels — deterministic int8 Edge TPU output is invariant to host CPU load. The Edge TPU operates on dedicated on-chip SRAM with a separate memory controller from the host CPU, providing complete architectural isolation by a different mechanism than the Jetson GPU. STER ratio N/A on both platforms: STER_stressor = STER_nominal = 0.0000; dissociation test is structurally inapplicable. See Section VI.B for architectural safety interpretation.</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C. E2 — Memory Pressure</w:t>
      </w:r>
    </w:p>
    <w:p>
      <w:pPr>
        <w:spacing w:after="60" w:before="160"/>
        <w:jc w:val="center"/>
      </w:pPr>
      <w:r>
        <w:rPr>
          <w:rFonts w:ascii="Arial" w:cs="Arial" w:eastAsia="Arial" w:hAnsi="Arial"/>
          <w:b/>
          <w:bCs/>
          <w:color w:val="1B3A6B"/>
          <w:sz w:val="18"/>
          <w:szCs w:val="18"/>
        </w:rPr>
        <w:t xml:space="preserve">TABLE V. E2 Results — STER and Accuracy vs. RAM Fill (Abbreviated)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RAM Fill</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 (p&lt;0.05)?</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1.56%</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90%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E2 confirmed on both platforms. Jetson: STER = 0.0000 at all LPDDR5 fill levels (25–90%, 5 trials × 500 inferences each). delta_mean = 0.0181 ± 0.0001 across all levels, indistinguishable from the E0 baseline. TensorRT allocations via pycuda (cuda.mem_alloc) are serviced through the GPU DMA path with dedicated QoS bandwidth reservation, isolated from CPU page fault and vm-worker activity. No STER onset threshold observed up to 90% fill. Coral: STER = 0.0000 at all VM fill levels (25–90%, 5 trials × 2000 inferences each). δ = 0.0000 exactly at all levels — the Edge TPU’s dedicated on-chip SRAM is architecturally separate from the host DDR memory filled by stress-ng --vm. Host memory pressure has no path to the TPU inference pipeline. STER sig.: No at all levels on both platforms (STER_stressor = STER_nominal = 0.0000; z-test inapplicable). See Section VI.B for architectural interpretation.</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E3 — GPU Co-tenancy (Jetson Only)</w:t>
      </w:r>
    </w:p>
    <w:p>
      <w:pPr>
        <w:spacing w:after="60" w:before="160"/>
        <w:jc w:val="center"/>
      </w:pPr>
      <w:r>
        <w:rPr>
          <w:rFonts w:ascii="Arial" w:cs="Arial" w:eastAsia="Arial" w:hAnsi="Arial"/>
          <w:b/>
          <w:bCs/>
          <w:color w:val="1B3A6B"/>
          <w:sz w:val="18"/>
          <w:szCs w:val="18"/>
        </w:rPr>
        <w:t xml:space="preserve">TABLE VI. E3 Results — Jetson STER and Accuracy vs. Co-tenant Count (0–4)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100"/>
        <w:gridCol w:w="2100"/>
        <w:gridCol w:w="2100"/>
        <w:gridCol w:w="210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Co-tenants</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1</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3</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Coral</w:t>
            </w:r>
          </w:p>
        </w:tc>
        <w:tc>
          <w:tcPr>
            <w:tcW w:type="dxa" w:w="8400"/>
            <w:gridSpan w:val="4"/>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center"/>
            </w:pPr>
            <w:r>
              <w:rPr>
                <w:rFonts w:ascii="Arial" w:cs="Arial" w:eastAsia="Arial" w:hAnsi="Arial"/>
                <w:sz w:val="18"/>
                <w:szCs w:val="18"/>
              </w:rPr>
              <w:t xml:space="preserve">N/A — GPU co-tenancy architecturally impossible on Coral Edge TPU (safety property confirmed)</w:t>
            </w:r>
          </w:p>
        </w:tc>
      </w:tr>
    </w:tbl>
    <w:p>
      <w:pPr>
        <w:spacing w:after="0" w:before="120"/>
      </w:pPr>
      <w:r>
        <w:rPr>
          <w:rFonts w:ascii="Arial" w:cs="Arial" w:eastAsia="Arial" w:hAnsi="Arial"/>
          <w:sz w:val="20"/>
          <w:szCs w:val="20"/>
        </w:rPr>
        <w:t xml:space="preserve"/>
      </w:r>
    </w:p>
    <w:p>
      <w:pPr>
        <w:spacing w:after="80" w:before="80"/>
        <w:jc w:val="both"/>
      </w:pPr>
      <w:r>
        <w:rPr>
          <w:rFonts w:ascii="Arial" w:cs="Arial" w:eastAsia="Arial" w:hAnsi="Arial"/>
          <w:sz w:val="18"/>
          <w:szCs w:val="18"/>
        </w:rPr>
        <w:t xml:space="preserve">E3 Jetson confirmed: STER = 0.0000 at all co-tenancy levels (0–4 concurrent workers, 5 trials × 500 inferences each). delta_mean = 0.0181 ± 0.0002 across all levels, indistinguishable from the E0 baseline. Result: the Orin GPU scheduler time-slices all TensorRT execution contexts without violating the T_n = 100 ms cycle deadline; each worker holds an independent pycuda context with isolated device memory, preventing cross-process output corruption. At T_n = 100 ms and ~10–15 ms per inference, the cycle budget contains sufficient slack to absorb GPU scheduler contention even at 4 simultaneous co-tenants. Coral: GPU co-tenancy is architecturally impossible on the Edge TPU (confirmed, absolute safety property). STER sig.: No at all levels. Combined with E1 and E2, E3 establishes that the Jetson Orin Nano Super provides strong inference determinism across CPU, memory, and GPU co-tenancy stressors under JetPack 6. The primary disturbance pathway candidates are therefore network interrupt load (E4) and combined realistic load (E5).</w:t>
      </w:r>
    </w:p>
    <w:p>
      <w:pPr>
        <w:pStyle w:val="Heading2"/>
        <w:spacing w:after="80" w:before="200"/>
      </w:pPr>
      <w:r>
        <w:rPr>
          <w:rFonts w:ascii="Arial" w:cs="Arial" w:eastAsia="Arial" w:hAnsi="Arial"/>
          <w:b/>
          <w:bCs/>
          <w:color w:val="2E6DA4"/>
          <w:sz w:val="22"/>
          <w:szCs w:val="22"/>
        </w:rPr>
        <w:t xml:space="preserve">E. E4 — Network I/O (Novel Stressor Class)</w:t>
      </w:r>
    </w:p>
    <w:p>
      <w:pPr>
        <w:spacing w:after="60" w:before="160"/>
        <w:jc w:val="center"/>
      </w:pPr>
      <w:r>
        <w:rPr>
          <w:rFonts w:ascii="Arial" w:cs="Arial" w:eastAsia="Arial" w:hAnsi="Arial"/>
          <w:b/>
          <w:bCs/>
          <w:color w:val="1B3A6B"/>
          <w:sz w:val="18"/>
          <w:szCs w:val="18"/>
        </w:rPr>
        <w:t xml:space="preserve">TABLE VII. E4 Results — Both Platforms, BLE + WiFi Co-channel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BLE Connections</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WiFi Compound?</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6</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E4 confirmed on both platforms. Jetson: STER = 0.0000 at all BLE connection levels (0–6 connections, 10 trials × 500 inferences each). δ_mean = 0.0156 ± 0.0002 across all levels. Host CPU interrupt rate (rtl88x2ce IRQ, /proc/interrupts) increased from 389 IRQ/min at conns=0 to 732 IRQ/min at conns=4 (+88%), confirming the stressor was active. Despite confirmed interrupt load, TensorRT FP16 inference output was invariant across all connection levels — the GPU pipeline is isolated from network interrupt pathways. Coral: STER = 0.0000 at all BLE connection levels (0–6 connections, 10 trials × ~1400 inferences each). δ = 0.0000 exactly at all levels — Edge TPU int8 inference is unconditionally deterministic and isolated from host interrupt activity. WiFi compound effect: No additive effect observed. BLE connection count is the dominant variable; co-channel WiFi interference from GL-AX1800 did not elevate STER above the BLE-only baseline on either platform. Network I/O isolation confirmed on both platforms.</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F. E5 — Combined Realistic Deployment Load</w:t>
      </w:r>
    </w:p>
    <w:p>
      <w:pPr>
        <w:spacing w:after="60" w:before="160"/>
        <w:jc w:val="center"/>
      </w:pPr>
      <w:r>
        <w:rPr>
          <w:rFonts w:ascii="Arial" w:cs="Arial" w:eastAsia="Arial" w:hAnsi="Arial"/>
          <w:b/>
          <w:bCs/>
          <w:color w:val="1B3A6B"/>
          <w:sz w:val="18"/>
          <w:szCs w:val="18"/>
        </w:rPr>
        <w:t xml:space="preserve">TABLE VIII. E5 Combined Results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vs. worst single</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1.52%</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 (E1–E4)</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 (E4)</w:t>
            </w:r>
          </w:p>
        </w:tc>
      </w:tr>
    </w:tbl>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E5 confirmed on both platforms. Jetson: STER = 0.0000 across all 10 trials (500 inferences each) under simultaneous CPU 75% load (stress-ng), memory 50% fill (stress-ng --vm), BLE 4 connections (nRF52840 DK, e4_conns4 firmware), and sustained disk I/O (fio sequential write to USB-attached HDD). δ_mean = 0.0156 ± 0.0001 and δ_P99 = 0.0214 ± 0.0006 across all trials, statistically indistinguishable from the E0 and E4 baselines. The Jetson GPU inference pipeline remains fully isolated from all four simultaneous stressor pathways: TensorRT FP16 execution proceeds on the GPU with no dependency on the CPU cores (saturated by stress-ng), GPU DMA allocations are isolated from host DDR pressure (stress-ng --vm), the GPU pipeline is isolated from network interrupt load (confirmed in E4), and USB disk I/O operates through a separate controller with no memory bandwidth contention path to the GPU. Coral: STER = 0.0000 across all 10 trials (~1400 inferences captured per trial via serial, mean n = 1452) under the same combined stressor profile applied to the Ubuntu host. δ = 0.0000 exactly at all trials—the Edge TPU’s dedicated on-chip SRAM provides unconditional isolation from all host-side stressors regardless of their combination. STER ratio: 1.00× vs. all prior single-stressor experiments on both platforms. STER sig.: No on both platforms (STER_stressor = STER_nominal = 0.0000; z-test structurally inapplicable). E5 establishes that the combined worst-case deployment stressor profile does not degrade inference output stability beyond what is observed under any individual stressor—confirming additive stressor independence as a property of both tested architectures.</w:t>
      </w:r>
    </w:p>
    <w:p>
      <w:pPr>
        <w:pStyle w:val="Heading2"/>
        <w:spacing w:after="80" w:before="200"/>
      </w:pPr>
      <w:r>
        <w:rPr>
          <w:rFonts w:ascii="Arial" w:cs="Arial" w:eastAsia="Arial" w:hAnsi="Arial"/>
          <w:b/>
          <w:bCs/>
          <w:color w:val="2E6DA4"/>
          <w:sz w:val="22"/>
          <w:szCs w:val="22"/>
        </w:rPr>
        <w:t xml:space="preserve">G. Summary — Inference Stability Confirmed Across All Stressor Classes</w:t>
      </w:r>
    </w:p>
    <w:p>
      <w:pPr>
        <w:spacing w:after="60" w:before="160"/>
        <w:jc w:val="center"/>
      </w:pPr>
      <w:r>
        <w:rPr>
          <w:rFonts w:ascii="Arial" w:cs="Arial" w:eastAsia="Arial" w:hAnsi="Arial"/>
          <w:b/>
          <w:bCs/>
          <w:color w:val="1B3A6B"/>
          <w:sz w:val="18"/>
          <w:szCs w:val="18"/>
        </w:rPr>
        <w:t xml:space="preserve">TABLE IX. Summary — STER and Accuracy Across All Experiments (Jetson Orin Nano Super)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512"/>
        <w:gridCol w:w="1512"/>
        <w:gridCol w:w="1512"/>
        <w:gridCol w:w="1512"/>
        <w:gridCol w:w="2016"/>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Experiment</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Acc vs. E0</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Dissociation?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 (baseline)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E1 (CPU 100%)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-0.20%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E2 (RAM 90%)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-0.08%</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E3 (3 co-tenants)</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E4 (BLE 4 + WiFi)</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E5 (combined)</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1.52%</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-0.08%</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All E1–E5 rows show STER = 0.0000 (not significant vs. E0 baseline) while ΔAcc &lt; 1.0% across all conditions. Accuracy-based metrics are insensitive to stressor conditions; STER provides a distinct, reproducible characterization confirming that output deviation remains within T* = ±5% bounds under all tested deployment conditions.</w:t>
      </w:r>
    </w:p>
    <w:p>
      <w:pPr>
        <w:pStyle w:val="Heading1"/>
        <w:spacing w:after="120" w:before="300"/>
      </w:pPr>
      <w:r>
        <w:rPr>
          <w:rFonts w:ascii="Arial" w:cs="Arial" w:eastAsia="Arial" w:hAnsi="Arial"/>
          <w:b/>
          <w:bCs/>
          <w:caps/>
          <w:color w:val="1B3A6B"/>
          <w:sz w:val="28"/>
          <w:szCs w:val="28"/>
        </w:rPr>
        <w:t xml:space="preserve">VI. Discussion</w:t>
      </w:r>
    </w:p>
    <w:p>
      <w:pPr>
        <w:pStyle w:val="Heading2"/>
        <w:spacing w:after="80" w:before="200"/>
      </w:pPr>
      <w:r>
        <w:rPr>
          <w:rFonts w:ascii="Arial" w:cs="Arial" w:eastAsia="Arial" w:hAnsi="Arial"/>
          <w:b/>
          <w:bCs/>
          <w:color w:val="2E6DA4"/>
          <w:sz w:val="22"/>
          <w:szCs w:val="22"/>
        </w:rPr>
        <w:t xml:space="preserve">A. The Accuracy/Stability Dissociation: Implications for Pre-Market Validation</w:t>
      </w:r>
    </w:p>
    <w:p>
      <w:pPr>
        <w:spacing w:after="100" w:before="60" w:line="276"/>
        <w:jc w:val="both"/>
      </w:pPr>
      <w:r>
        <w:rPr>
          <w:rFonts w:ascii="Arial" w:cs="Arial" w:eastAsia="Arial" w:hAnsi="Arial"/>
          <w:sz w:val="20"/>
          <w:szCs w:val="20"/>
        </w:rPr>
        <w:t xml:space="preserve">The central finding—that STER = 0.0000 is maintained across all stressor classes on both platforms, including combined realistic deployment load—has a direct pre-market validation implication. A manufacturer performing standard accuracy-based FDA pre-market testing on either platform, under controlled zero-contention conditions, would observe Acc_nominal and conclude that the device meets performance specifications. The same device, deployed in a clinical environment with concurrent BLE wearable connectivity, EMR telemetry writes, and background monitoring processes (E5 conditions), maintains STER = 0.0000—confirming that inference output stability is preserved under all tested deployment conditions. Critically, this confirmation is only possible through STER measurement: accuracy remains statistically unchanged (Δaccuracy &lt; 1.0%) under all conditions, meaning accuracy-based testing would pass the device without characterizing its stability properties. STER provides the distinct, reproducible characterization that accuracy cannot. The architectural isolation mechanisms that produce this result—GPU pipeline isolation on the Jetson and dedicated on-chip SRAM on the Coral—appear sufficient to absorb all tested stressor classes, including their combination. This is the validation property that STER operationalizes, and which FDA Draft Guidance FDA-2024-D-4488’s robustness assessment requirement asks manufacturers to characterize.</w:t>
      </w:r>
    </w:p>
    <w:p>
      <w:pPr>
        <w:spacing w:after="100" w:before="60" w:line="276"/>
        <w:jc w:val="both"/>
      </w:pPr>
      <w:r>
        <w:rPr>
          <w:rFonts w:ascii="Arial" w:cs="Arial" w:eastAsia="Arial" w:hAnsi="Arial"/>
          <w:sz w:val="20"/>
          <w:szCs w:val="20"/>
        </w:rPr>
        <w:t xml:space="preserve">This is not a hardware defect or model degradation. It is a structural property of the shared-resource GPU architecture under concurrent load—a property that is invisible to accuracy measurement and reproducible under defined conditions. This is the validation gap characterized by this letter.</w:t>
      </w:r>
    </w:p>
    <w:p>
      <w:pPr>
        <w:pStyle w:val="Heading2"/>
        <w:spacing w:after="80" w:before="200"/>
      </w:pPr>
      <w:r>
        <w:rPr>
          <w:rFonts w:ascii="Arial" w:cs="Arial" w:eastAsia="Arial" w:hAnsi="Arial"/>
          <w:b/>
          <w:bCs/>
          <w:color w:val="2E6DA4"/>
          <w:sz w:val="22"/>
          <w:szCs w:val="22"/>
        </w:rPr>
        <w:t xml:space="preserve">B. Architectural Safety Implication: Dedicated TPU vs. Shared GPU</w:t>
      </w:r>
    </w:p>
    <w:p>
      <w:pPr>
        <w:spacing w:after="100" w:before="60" w:line="276"/>
        <w:jc w:val="both"/>
      </w:pPr>
      <w:r>
        <w:rPr>
          <w:rFonts w:ascii="Arial" w:cs="Arial" w:eastAsia="Arial" w:hAnsi="Arial"/>
          <w:sz w:val="20"/>
          <w:szCs w:val="20"/>
        </w:rPr>
        <w:t xml:space="preserve">E1 and E2 reveal a stronger result than anticipated: both the Jetson GPU and the Coral Edge TPU provide complete STER isolation under CPU contention and memory pressure stressors. On the Jetson, TensorRT FP16 inference executes entirely on the GPU with no dependency on the Arm CPU cores; stress-ng at 100% system-wide CPU load and stress-ng --vm at 90% LPDDR5 fill both produce STER = 0.0000 with no change in δ_mean or δ_P99 across any stressor level. On the Coral, the Edge TPU operates on dedicated on-chip SRAM with a separate memory controller, providing the same isolation by a different architectural mechanism; δ = 0.0000 exactly under all CPU and memory stressor conditions, reflecting hardware determinism of the int8 Edge TPU. This finding upgrades the architectural safety claim: dedicated inference accelerators — whether GPU-based or neuromorphic ASIC — provide inherent CPU-contention and memory-pressure isolation as a safety property. The relevant contention pathways for these platforms are GPU co-tenancy (E3, Jetson only) and network I/O interrupt load (E4), which are evaluated in subsequent experiments. The network I/O stressor (E4) is expected to affect STER on both platforms, because BLE interrupt processing occurs on the host CPU regardless of accelerator isolation, motivating the wireless characterization work in companion paper P4.</w:t>
      </w:r>
    </w:p>
    <w:p>
      <w:pPr>
        <w:pStyle w:val="Heading2"/>
        <w:spacing w:after="80" w:before="200"/>
      </w:pPr>
      <w:r>
        <w:rPr>
          <w:rFonts w:ascii="Arial" w:cs="Arial" w:eastAsia="Arial" w:hAnsi="Arial"/>
          <w:b/>
          <w:bCs/>
          <w:color w:val="2E6DA4"/>
          <w:sz w:val="22"/>
          <w:szCs w:val="22"/>
        </w:rPr>
        <w:t xml:space="preserve">C. STER as a Candidate Pre-Market Verification Metric</w:t>
      </w:r>
    </w:p>
    <w:p>
      <w:pPr>
        <w:spacing w:after="100" w:before="60" w:line="276"/>
        <w:jc w:val="both"/>
      </w:pPr>
      <w:r>
        <w:rPr>
          <w:rFonts w:ascii="Arial" w:cs="Arial" w:eastAsia="Arial" w:hAnsi="Arial"/>
          <w:sz w:val="20"/>
          <w:szCs w:val="20"/>
        </w:rPr>
        <w:t xml:space="preserve">STER is proposed as a candidate metric—not a current FDA standard—for inclusion in pre-market validation protocols for edge-deployed SaMD. An STER-based test would proceed as follows: (1) establish T* from ISO 14971 risk analysis for the device's intended clinical use; (2) measure STER_nominal under zero-contention conditions; (3) measure STER under each reasonably foreseeable stressor class at clinical deployment intensities; (4) apply an acceptance criterion of STER_stressor ≤ STER_max (manufacturer-specified, risk-justified). This protocol operationalizes FDA Draft Guidance FDA-2024-D-4488's robustness assessment requirement with a concrete, reproducible, hardware-agnostic metric.</w:t>
      </w:r>
    </w:p>
    <w:p>
      <w:pPr>
        <w:pStyle w:val="Heading2"/>
        <w:spacing w:after="80" w:before="200"/>
      </w:pPr>
      <w:r>
        <w:rPr>
          <w:rFonts w:ascii="Arial" w:cs="Arial" w:eastAsia="Arial" w:hAnsi="Arial"/>
          <w:b/>
          <w:bCs/>
          <w:color w:val="2E6DA4"/>
          <w:sz w:val="22"/>
          <w:szCs w:val="22"/>
        </w:rPr>
        <w:t xml:space="preserve">D. Relationship to Companion Paper P1 (TFS)</w:t>
      </w:r>
    </w:p>
    <w:p>
      <w:pPr>
        <w:spacing w:after="100" w:before="60" w:line="276"/>
        <w:jc w:val="both"/>
      </w:pPr>
      <w:r>
        <w:rPr>
          <w:rFonts w:ascii="Arial" w:cs="Arial" w:eastAsia="Arial" w:hAnsi="Arial"/>
          <w:sz w:val="20"/>
          <w:szCs w:val="20"/>
        </w:rPr>
        <w:t xml:space="preserve">STER and TFS address complementary failure modes. TFS (companion paper P1) detects timing-layer execution deviation—when the task's measured inter-task period deviates from nominal. STER detects output-layer instability—when inference outputs deviate from nominal for identical inputs. A device can have elevated STER without triggering TFS (output instability from GPU scheduler non-determinism without timing-period deviation) and can trigger TFS without elevated STER (timing deviation from CPU contention that causes task period extension but not output value change). Together, TFS and STER provide layered coverage consistent with IEC 62304 Clause 6.3.2 defense-in-depth requirements.</w:t>
      </w:r>
    </w:p>
    <w:p>
      <w:pPr>
        <w:pStyle w:val="Heading2"/>
        <w:spacing w:after="80" w:before="200"/>
      </w:pPr>
      <w:r>
        <w:rPr>
          <w:rFonts w:ascii="Arial" w:cs="Arial" w:eastAsia="Arial" w:hAnsi="Arial"/>
          <w:b/>
          <w:bCs/>
          <w:color w:val="2E6DA4"/>
          <w:sz w:val="22"/>
          <w:szCs w:val="22"/>
        </w:rPr>
        <w:t xml:space="preserve">E. Limitations</w:t>
      </w:r>
    </w:p>
    <w:p>
      <w:pPr>
        <w:spacing w:after="100" w:before="60" w:line="276"/>
        <w:jc w:val="both"/>
      </w:pPr>
      <w:r>
        <w:rPr>
          <w:rFonts w:ascii="Arial" w:cs="Arial" w:eastAsia="Arial" w:hAnsi="Arial"/>
          <w:sz w:val="20"/>
          <w:szCs w:val="20"/>
        </w:rPr>
        <w:t xml:space="preserve">The MobileNetV2 model and 10 Hz activation rate are representative of a class of diagnostic SaMD but are not universal. Devices with different model architectures, quantization strategies, or activation rates may exhibit different STER baseline distributions and dissociation magnitudes. T* = 0.05 is conservative relative to ISO 14971 Table B.1 examples but is not clinically validated for any specific device class; the appropriate T* value for a specific SaMD is a manufacturer and clinical risk management decision. The stressor intensities used (e.g., CPU 75–100%) represent upper-bound foreseeable conditions; real deployment conditions may differ.</w:t>
      </w:r>
    </w:p>
    <w:p>
      <w:pPr>
        <w:pStyle w:val="Heading1"/>
        <w:spacing w:after="120" w:before="300"/>
      </w:pPr>
      <w:r>
        <w:rPr>
          <w:rFonts w:ascii="Arial" w:cs="Arial" w:eastAsia="Arial" w:hAnsi="Arial"/>
          <w:b/>
          <w:bCs/>
          <w:caps/>
          <w:color w:val="1B3A6B"/>
          <w:sz w:val="28"/>
          <w:szCs w:val="28"/>
        </w:rPr>
        <w:t xml:space="preserve">VII. Conclusion</w:t>
      </w:r>
    </w:p>
    <w:p>
      <w:pPr>
        <w:spacing w:after="100" w:before="60" w:line="276"/>
        <w:jc w:val="both"/>
      </w:pPr>
      <w:r>
        <w:rPr>
          <w:rFonts w:ascii="Arial" w:cs="Arial" w:eastAsia="Arial" w:hAnsi="Arial"/>
          <w:sz w:val="20"/>
          <w:szCs w:val="20"/>
        </w:rPr>
        <w:t xml:space="preserve">This letter has characterized inference output stability under resource contention across five stressor classes on two architecturally distinct edge AI platforms, providing the first empirical evidence that current dedicated inference accelerator architectures may inherently satisfy STER-based pre-market criteria. The STER metric, defined against a clinically-motivated tolerance band T* = ±5% and evaluated on the Jetson Orin Nano Super and Coral Dev Board Micro, achieves STER = 0.0000 across all stressor conditions—including combined realistic deployment load (CPU 75% + memory 50% + BLE 4 connections + disk I/O)—with zero exceedances across approximately 158,000 inference activations. A key methodological finding is that accuracy-based metrics are structurally insensitive to stability properties: Δaccuracy &lt; 1.0% under all conditions, but accuracy cannot confirm that output deviation remains within clinically-motivated bounds. STER = 0.0000 confirmed across all conditions is the primary finding. STER is proposed as a candidate addition to pre-market validation protocols for edge-deployed SaMD, complementing TFS (timing-layer monitoring) in a layered defense-in-depth architecture consistent with IEC 62304 and ISO 14971.</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References</w:t>
      </w:r>
    </w:p>
    <w:p>
      <w:pPr>
        <w:spacing w:after="40" w:before="40"/>
        <w:ind w:left="480" w:hanging="480"/>
      </w:pPr>
      <w:r>
        <w:rPr>
          <w:rFonts w:ascii="Arial" w:cs="Arial" w:eastAsia="Arial" w:hAnsi="Arial"/>
          <w:color w:val="000000"/>
          <w:sz w:val="18"/>
          <w:szCs w:val="18"/>
        </w:rPr>
        <w:t xml:space="preserve">[1] FDA, "Artificial Intelligence-Enabled Device Software Functions: Lifecycle Management and Marketing Submission Recommendations," Draft Guidance, Docket FDA-2024-D-4488, January 2025.</w:t>
      </w:r>
    </w:p>
    <w:p>
      <w:pPr>
        <w:spacing w:after="40" w:before="40"/>
        <w:ind w:left="480" w:hanging="480"/>
      </w:pPr>
      <w:r>
        <w:rPr>
          <w:rFonts w:ascii="Arial" w:cs="Arial" w:eastAsia="Arial" w:hAnsi="Arial"/>
          <w:color w:val="000000"/>
          <w:sz w:val="18"/>
          <w:szCs w:val="18"/>
        </w:rPr>
        <w:t xml:space="preserve">[2] FDA, "Good Machine Learning Practice for Medical Device Development: Guiding Principles," October 2021.</w:t>
      </w:r>
    </w:p>
    <w:p>
      <w:pPr>
        <w:spacing w:after="40" w:before="40"/>
        <w:ind w:left="480" w:hanging="480"/>
      </w:pPr>
      <w:r>
        <w:rPr>
          <w:rFonts w:ascii="Arial" w:cs="Arial" w:eastAsia="Arial" w:hAnsi="Arial"/>
          <w:color w:val="AA3300"/>
          <w:sz w:val="18"/>
          <w:szCs w:val="18"/>
        </w:rPr>
        <w:t xml:space="preserve">[3] J. Hao, P. Subedi, L. Ramaswamy, and I. K. Kim, “Reaching for the Sky: Maximizing Deep Learning Inference Throughput on Edge Devices with AI Multi-Tenancy,” ACM Trans. Internet Technol., vol.†23, no.†01, pp.†1–33, Feb. 2023. doi: 10.1145/3546192.</w:t>
      </w:r>
    </w:p>
    <w:p>
      <w:pPr>
        <w:spacing w:after="40" w:before="40"/>
        <w:ind w:left="480" w:hanging="480"/>
      </w:pPr>
      <w:r>
        <w:rPr>
          <w:rFonts w:ascii="Arial" w:cs="Arial" w:eastAsia="Arial" w:hAnsi="Arial"/>
          <w:color w:val="AA3300"/>
          <w:sz w:val="18"/>
          <w:szCs w:val="18"/>
        </w:rPr>
        <w:t xml:space="preserve">[4] J. J. Martín, A. Castillo, J. García, and F. J. Cazorla, “Performance Isolation for Inference Processes in Edge GPU Systems,” arXiv preprint arXiv:2601.07600, Jan. 2026.</w:t>
      </w:r>
    </w:p>
    <w:p>
      <w:pPr>
        <w:spacing w:after="40" w:before="40"/>
        <w:ind w:left="480" w:hanging="480"/>
      </w:pPr>
      <w:r>
        <w:rPr>
          <w:rFonts w:ascii="Arial" w:cs="Arial" w:eastAsia="Arial" w:hAnsi="Arial"/>
          <w:color w:val="AA3300"/>
          <w:sz w:val="18"/>
          <w:szCs w:val="18"/>
        </w:rPr>
        <w:t xml:space="preserve">[5] S. P. Baller, A. Jindal, M. Chadha, and M. Gerndt, “DeepEdgeBench: Benchmarking Deep Neural Networks on Edge Devices,” in Proc. IEEE Int. Conf. Cloud Eng. (IC2E), 2021, pp. 20–30.</w:t>
      </w:r>
    </w:p>
    <w:p>
      <w:pPr>
        <w:spacing w:after="40" w:before="40"/>
        <w:ind w:left="480" w:hanging="480"/>
      </w:pPr>
      <w:r>
        <w:rPr>
          <w:rFonts w:ascii="Arial" w:cs="Arial" w:eastAsia="Arial" w:hAnsi="Arial"/>
          <w:color w:val="AA3300"/>
          <w:sz w:val="18"/>
          <w:szCs w:val="18"/>
        </w:rPr>
        <w:t xml:space="preserve">[6] R. Tobiasz, G. Wilczyński, P. Graszka, N. Czechowski, and S. Łuczak, “Edge Devices Inference Performance Comparison,” arXiv preprint arXiv:2306.12093, Jun. 2023.</w:t>
      </w:r>
    </w:p>
    <w:p>
      <w:pPr>
        <w:spacing w:after="40" w:before="40"/>
        <w:ind w:left="480" w:hanging="480"/>
      </w:pPr>
      <w:r>
        <w:rPr>
          <w:rFonts w:ascii="Arial" w:cs="Arial" w:eastAsia="Arial" w:hAnsi="Arial"/>
          <w:color w:val="AA3300"/>
          <w:sz w:val="18"/>
          <w:szCs w:val="18"/>
        </w:rPr>
        <w:t xml:space="preserve">[7] U. Becker, “Increasing Safety of Neural Networks in Medical Devices,” in Proc. SAFECOMP 2019 Workshops (ASSURE, DECSoS, SASSUR, STRIVE, WAISE), Lecture Notes in Computer Science, vol. 11699. Springer, Cham, 2019, pp. 91–101. doi: 10.1007/978-3-030-26250-1_10.</w:t>
      </w:r>
    </w:p>
    <w:p>
      <w:pPr>
        <w:spacing w:after="40" w:before="40"/>
        <w:ind w:left="480" w:hanging="480"/>
      </w:pPr>
      <w:r>
        <w:rPr>
          <w:rFonts w:ascii="Arial" w:cs="Arial" w:eastAsia="Arial" w:hAnsi="Arial"/>
          <w:color w:val="000000"/>
          <w:sz w:val="18"/>
          <w:szCs w:val="18"/>
        </w:rPr>
        <w:t xml:space="preserve">[8] IEC 62304:2006+AMD1:2015, "Medical device software — Software life cycle processes," IEC, Geneva, 2015.</w:t>
      </w:r>
    </w:p>
    <w:p>
      <w:pPr>
        <w:spacing w:after="40" w:before="40"/>
        <w:ind w:left="480" w:hanging="480"/>
      </w:pPr>
      <w:r>
        <w:rPr>
          <w:rFonts w:ascii="Arial" w:cs="Arial" w:eastAsia="Arial" w:hAnsi="Arial"/>
          <w:color w:val="000000"/>
          <w:sz w:val="18"/>
          <w:szCs w:val="18"/>
        </w:rPr>
        <w:t xml:space="preserve">[9] ISO 14971:2019, "Medical devices — Application of risk management to medical devices," ISO, Geneva, 2019.</w:t>
      </w:r>
    </w:p>
    <w:p>
      <w:pPr>
        <w:spacing w:after="40" w:before="40"/>
        <w:ind w:left="480" w:hanging="480"/>
      </w:pPr>
      <w:r>
        <w:rPr>
          <w:rFonts w:ascii="Arial" w:cs="Arial" w:eastAsia="Arial" w:hAnsi="Arial"/>
          <w:color w:val="AA3300"/>
          <w:sz w:val="18"/>
          <w:szCs w:val="18"/>
        </w:rPr>
        <w:t xml:space="preserve">[10] C. I. King, “stress-ng: A Tool to Load and Stress a Computer System,” GitHub repository, 2023. [Online]. Available: https://github.com/ColinIanKing/stress-ng</w:t>
      </w:r>
    </w:p>
    <w:p>
      <w:pPr>
        <w:spacing w:after="40" w:before="40"/>
        <w:ind w:left="480" w:hanging="480"/>
      </w:pPr>
      <w:r>
        <w:rPr>
          <w:rFonts w:ascii="Arial" w:cs="Arial" w:eastAsia="Arial" w:hAnsi="Arial"/>
          <w:color w:val="AA3300"/>
          <w:sz w:val="18"/>
          <w:szCs w:val="18"/>
        </w:rPr>
        <w:t xml:space="preserve">[11] NVIDIA Corporation, “Holoscan SDK: A Platform for Medical Device Developers,” NVIDIA Developer Documentation, 2024. [Online]. Available: https://developer.nvidia.com/holoscan-sdk</w:t>
      </w:r>
    </w:p>
    <w:p>
      <w:pPr>
        <w:spacing w:after="40" w:before="40"/>
        <w:ind w:left="480" w:hanging="480"/>
      </w:pPr>
      <w:r>
        <w:rPr>
          <w:rFonts w:ascii="Arial" w:cs="Arial" w:eastAsia="Arial" w:hAnsi="Arial"/>
          <w:color w:val="AA3300"/>
          <w:sz w:val="18"/>
          <w:szCs w:val="18"/>
        </w:rPr>
        <w:t xml:space="preserve">[12] M. Sandler, A. Howard, M. Zhu, A. Zhmoginov, and L.-C. Chen, “MobileNetV2: Inverted Residuals and Linear Bottlenecks,” in Proc. IEEE/CVF Conf. Comput. Vis. Pattern Recognit. (CVPR), 2018, pp. 4510–4520.</w:t>
      </w:r>
    </w:p>
    <w:p>
      <w:pPr>
        <w:spacing w:after="40" w:before="40"/>
        <w:ind w:left="480" w:hanging="480"/>
      </w:pPr>
      <w:r>
        <w:rPr>
          <w:rFonts w:ascii="Arial" w:cs="Arial" w:eastAsia="Arial" w:hAnsi="Arial"/>
          <w:color w:val="AA3300"/>
          <w:sz w:val="18"/>
          <w:szCs w:val="18"/>
        </w:rPr>
        <w:t xml:space="preserve">[13] NVIDIA Corporation, “TensorRT Developer Guide,” NVIDIA Developer Documentation, 2024. [Online]. Available: https://docs.nvidia.com/deeplearning/tensorrt/developer-guide/</w:t>
      </w:r>
    </w:p>
    <w:p>
      <w:pPr>
        <w:spacing w:after="40" w:before="40"/>
        <w:ind w:left="480" w:hanging="480"/>
      </w:pPr>
      <w:r>
        <w:rPr>
          <w:rFonts w:ascii="Arial" w:cs="Arial" w:eastAsia="Arial" w:hAnsi="Arial"/>
          <w:color w:val="AA3300"/>
          <w:sz w:val="18"/>
          <w:szCs w:val="18"/>
        </w:rPr>
        <w:t xml:space="preserve">[14] Google LLC, “Edge TPU Model Compiler,” Google Coral Documentation, 2024. [Online]. Available: https://coral.ai/docs/edgetpu/compiler/</w:t>
      </w:r>
    </w:p>
    <w:p>
      <w:pPr>
        <w:spacing w:after="80" w:before="80"/>
        <w:jc w:val="both"/>
      </w:pPr>
      <w:r>
        <w:rPr>
          <w:rFonts w:ascii="Arial" w:cs="Arial" w:eastAsia="Arial" w:hAnsi="Arial"/>
          <w:sz w:val="18"/>
          <w:szCs w:val="18"/>
        </w:rPr>
        <w:t xml:space="preserve">[15] B. Lee, P. Kramer, S. Sandri, R. Chanda, C. Favorito, O. Nasef, J. S. Ross, J. Sharfstein, and T. Dai, “Early Recalls and Clinical Validation Gaps in Artificial Intelligence–Enabled Medical Devices,” JAMA Health Forum, vol. 6, no. 8, p. e253172, Aug. 2025. doi: 10.1001/jamahealthforum.2025.3172.</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Appendix: Symbol Glossary</w:t>
      </w:r>
    </w:p>
    <w:p>
      <w:pPr>
        <w:spacing w:after="60" w:before="160"/>
        <w:jc w:val="center"/>
      </w:pPr>
      <w:r>
        <w:rPr>
          <w:rFonts w:ascii="Arial" w:cs="Arial" w:eastAsia="Arial" w:hAnsi="Arial"/>
          <w:b/>
          <w:bCs/>
          <w:color w:val="1B3A6B"/>
          <w:sz w:val="18"/>
          <w:szCs w:val="18"/>
        </w:rPr>
        <w:t xml:space="preserve">TABLE X. Symbol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Symbol</w:t>
            </w:r>
          </w:p>
        </w:tc>
        <w:tc>
          <w:tcPr>
            <w:tcW w:type="dxa" w:w="8064"/>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Definition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T*</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Output stability tolerance band (±5% relative deviation) — Eq. (2)</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δᵢ</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Per-inference output deviation — Eq. (1)</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ȳ</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Mean nominal output (E0 baseline)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STER</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Safety-Threshold Exceedance Rate — Eq. (3)</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Acc</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Classification accuracy (top-1, N = 500 activations)</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ε_acc</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Accuracy detection sensitivity threshold (2%)</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N</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Number of inference activations per trial (500)</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T_n</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Nominal inference activation period (100 ms, 10 Hz)</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f</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Deployed inference model function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x</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Fixed test input (held constant across all trials)</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α</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Statistical significance level (0.05) for z-test comparisons</w:t>
            </w:r>
          </w:p>
        </w:tc>
      </w:tr>
    </w:tbl>
    <w:p>
      <w:pPr>
        <w:spacing w:after="0" w:before="200"/>
      </w:pPr>
      <w:r>
        <w:rPr>
          <w:rFonts w:ascii="Arial" w:cs="Arial" w:eastAsia="Arial" w:hAnsi="Arial"/>
          <w:sz w:val="20"/>
          <w:szCs w:val="20"/>
        </w:rPr>
        <w:t xml:space="preserve"/>
      </w:r>
    </w:p>
    <w:p>
      <w:pPr>
        <w:spacing w:after="40" w:before="120"/>
        <w:jc w:val="center"/>
      </w:pPr>
      <w:r>
        <w:rPr>
          <w:rFonts w:ascii="Arial" w:cs="Arial" w:eastAsia="Arial" w:hAnsi="Arial"/>
          <w:color w:val="777777"/>
          <w:sz w:val="18"/>
          <w:szCs w:val="18"/>
        </w:rPr>
        <w:t xml:space="preserve">E0–E5 complete on both platforms. All experimental data confirmed.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80"/>
      <w:jc w:val="center"/>
    </w:pPr>
    <w:r>
      <w:rPr>
        <w:rFonts w:ascii="Arial" w:cs="Arial" w:eastAsia="Arial" w:hAnsi="Arial"/>
        <w:color w:val="888888"/>
        <w:sz w:val="16"/>
        <w:szCs w:val="16"/>
      </w:rPr>
      <w:t xml:space="preserve">arXiv preprint — Not for distribution until May 20,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80" w:before="0"/>
      <w:jc w:val="right"/>
    </w:pPr>
    <w:r>
      <w:rPr>
        <w:rFonts w:ascii="Arial" w:cs="Arial" w:eastAsia="Arial" w:hAnsi="Arial"/>
        <w:color w:val="888888"/>
        <w:sz w:val="16"/>
        <w:szCs w:val="16"/>
      </w:rPr>
      <w:t xml:space="preserve">IEEE EMBEDDED SYSTEMS LETTERS — P2 DRAFT</w:t>
    </w:r>
    <w:r>
      <w:rPr>
        <w:rFonts w:ascii="Arial" w:cs="Arial" w:eastAsia="Arial" w:hAnsi="Arial"/>
        <w:color w:val="BBBBBB"/>
        <w:sz w:val="16"/>
        <w:szCs w:val="16"/>
      </w:rPr>
      <w:t xml:space="preserve">   |   </w:t>
    </w:r>
    <w:r>
      <w:rPr>
        <w:rFonts w:ascii="Arial" w:cs="Arial" w:eastAsia="Arial" w:hAnsi="Arial"/>
        <w:color w:val="888888"/>
        <w:sz w:val="16"/>
        <w:szCs w:val="16"/>
      </w:rPr>
      <w:t xml:space="preserve">Swami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aps/>
      <w:color w:val="1B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2026-04-12T02:47:20.239Z</dcterms:created>
  <dcterms:modified xsi:type="dcterms:W3CDTF">2026-04-12T02:47:20.240Z</dcterms:modified>
</cp:coreProperties>
</file>

<file path=docProps/custom.xml><?xml version="1.0" encoding="utf-8"?>
<Properties xmlns="http://schemas.openxmlformats.org/officeDocument/2006/custom-properties" xmlns:vt="http://schemas.openxmlformats.org/officeDocument/2006/docPropsVTypes"/>
</file>