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Arial" w:cs="Arial" w:eastAsia="Arial" w:hAnsi="Arial"/>
          <w:sz w:val="22"/>
          <w:szCs w:val="22"/>
        </w:rPr>
        <w:t xml:space="preserve">April 16, 2026</w:t>
      </w:r>
    </w:p>
    <w:p>
      <w:pPr>
        <w:spacing w:after="320"/>
      </w:pPr>
      <w:r>
        <w:t xml:space="preserve"/>
      </w:r>
    </w:p>
    <w:p>
      <w:pPr>
        <w:spacing w:after="0"/>
      </w:pPr>
      <w:r>
        <w:rPr>
          <w:rFonts w:ascii="Arial" w:cs="Arial" w:eastAsia="Arial" w:hAnsi="Arial"/>
          <w:sz w:val="22"/>
          <w:szCs w:val="22"/>
        </w:rPr>
        <w:t xml:space="preserve">Editor-in-Chief, IEEE Embedded Systems Letters</w:t>
      </w:r>
    </w:p>
    <w:p>
      <w:pPr>
        <w:spacing w:after="0"/>
      </w:pPr>
      <w:r>
        <w:rPr>
          <w:rFonts w:ascii="Arial" w:cs="Arial" w:eastAsia="Arial" w:hAnsi="Arial"/>
          <w:sz w:val="22"/>
          <w:szCs w:val="22"/>
        </w:rPr>
        <w:t xml:space="preserve">Jongeun Lee, Editor-in-Chief</w:t>
      </w:r>
    </w:p>
    <w:p>
      <w:pPr>
        <w:spacing w:after="480"/>
      </w:pPr>
      <w:r>
        <w:rPr>
          <w:rFonts w:ascii="Arial" w:cs="Arial" w:eastAsia="Arial" w:hAnsi="Arial"/>
          <w:sz w:val="22"/>
          <w:szCs w:val="22"/>
        </w:rPr>
        <w:t xml:space="preserve">IEEE Embedded Systems Letters</w:t>
      </w:r>
    </w:p>
    <w:p>
      <w:pPr>
        <w:spacing w:after="240"/>
      </w:pPr>
      <w:r>
        <w:rPr>
          <w:rFonts w:ascii="Arial" w:cs="Arial" w:eastAsia="Arial" w:hAnsi="Arial"/>
          <w:sz w:val="22"/>
          <w:szCs w:val="22"/>
        </w:rPr>
        <w:t xml:space="preserve">Dear Editor-in-Chief,</w:t>
      </w:r>
    </w:p>
    <w:p>
      <w:pPr>
        <w:spacing w:after="240"/>
        <w:jc w:val="both"/>
      </w:pPr>
      <w:r>
        <w:rPr>
          <w:rFonts w:ascii="Arial" w:cs="Arial" w:eastAsia="Arial" w:hAnsi="Arial"/>
          <w:sz w:val="22"/>
          <w:szCs w:val="22"/>
        </w:rPr>
        <w:t xml:space="preserve">I am submitting for your consideration the manuscript entitled "Architectural Isolation as a Timing Safety Primitive for Edge AI Medical Devices: Controlled Experimental Evidence on a Shared-Silicon Platform" for publication in IEEE Embedded Systems Letters as a 4-page research letter.</w:t>
      </w:r>
    </w:p>
    <w:p>
      <w:pPr>
        <w:spacing w:after="120"/>
      </w:pPr>
      <w:r>
        <w:rPr>
          <w:rFonts w:ascii="Arial" w:cs="Arial" w:eastAsia="Arial" w:hAnsi="Arial"/>
          <w:b/>
          <w:bCs/>
          <w:sz w:val="22"/>
          <w:szCs w:val="22"/>
        </w:rPr>
        <w:t xml:space="preserve">Summary of Contribution</w:t>
      </w:r>
    </w:p>
    <w:p>
      <w:pPr>
        <w:spacing w:after="240"/>
        <w:jc w:val="both"/>
      </w:pPr>
      <w:r>
        <w:rPr>
          <w:rFonts w:ascii="Arial" w:cs="Arial" w:eastAsia="Arial" w:hAnsi="Arial"/>
          <w:sz w:val="22"/>
          <w:szCs w:val="22"/>
        </w:rPr>
        <w:t xml:space="preserve">This letter identifies a challenge in operationalizing Software as a Medical Device (SaMD) robustness requirements: while FDA Draft Guidance FDA-2024-D-4488 requires assessment under foreseeable conditions of use, accuracy-based pre-market certification protocols do not jointly verify output stability and timing reliability at the inference layer under deployment load. We demonstrate this empirically through a controlled same-hardware experiment on the NVIDIA Jetson Orin Nano Super, comparing two complete execution stacks — a GPU accelerator path (TensorRT FP16) and a CPU path (ONNX Runtime FP32) — under identical adversarial load conditions.</w:t>
      </w:r>
    </w:p>
    <w:p>
      <w:pPr>
        <w:spacing w:after="240"/>
        <w:jc w:val="both"/>
      </w:pPr>
      <w:r>
        <w:rPr>
          <w:rFonts w:ascii="Arial" w:cs="Arial" w:eastAsia="Arial" w:hAnsi="Arial"/>
          <w:sz w:val="22"/>
          <w:szCs w:val="22"/>
        </w:rPr>
        <w:t xml:space="preserve">The central finding is that both paths maintain Safety-Threshold Exceedance Rate (STER) = 0 across all 107,500 inference activations, confirming output stability, while the CPU path's latency degrades 7.2× under combined load (P99 = 165.1 ms), breaching the 10 Hz clinical cycle budget by 65% — a violation that accuracy-based validation cannot detect (Δacc &lt; 1.0%). The STER = 0 result is the necessary condition that makes the timing finding interpretable: it rules out output-level degradation as an alternative explanation, isolating scheduling pressure as the sole failure mode. We propose joint STER + latency verification as a candidate method for operationalizing FDA-2024-D-4488 robustness requirements at the inference layer.</w:t>
      </w:r>
    </w:p>
    <w:p>
      <w:pPr>
        <w:spacing w:after="120"/>
      </w:pPr>
      <w:r>
        <w:rPr>
          <w:rFonts w:ascii="Arial" w:cs="Arial" w:eastAsia="Arial" w:hAnsi="Arial"/>
          <w:b/>
          <w:bCs/>
          <w:sz w:val="22"/>
          <w:szCs w:val="22"/>
        </w:rPr>
        <w:t xml:space="preserve">Methodological Notes for Reviewers</w:t>
      </w:r>
    </w:p>
    <w:p>
      <w:pPr>
        <w:spacing w:after="160"/>
        <w:jc w:val="both"/>
      </w:pPr>
      <w:r>
        <w:rPr>
          <w:rFonts w:ascii="Arial" w:cs="Arial" w:eastAsia="Arial" w:hAnsi="Arial"/>
          <w:sz w:val="22"/>
          <w:szCs w:val="22"/>
        </w:rPr>
        <w:t xml:space="preserve">1. Same-hardware controlled design. Both execution paths run on the same physical device, eliminating chip-to-chip variation and thermal confounds. This is the key methodological strength: any observed divergence arises from execution context alone, not hardware differences.</w:t>
      </w:r>
    </w:p>
    <w:p>
      <w:pPr>
        <w:spacing w:after="160"/>
        <w:jc w:val="both"/>
      </w:pPr>
      <w:r>
        <w:rPr>
          <w:rFonts w:ascii="Arial" w:cs="Arial" w:eastAsia="Arial" w:hAnsi="Arial"/>
          <w:sz w:val="22"/>
          <w:szCs w:val="22"/>
        </w:rPr>
        <w:t xml:space="preserve">2. Confounded comparison acknowledged. The GPU and CPU paths differ in runtime (TensorRT vs. ONNX), precision (FP16 vs. FP32), and measurement scope (end-to-end vs. runtime-only). We acknowledge that the 9.8× latency difference reflects the combined effect of these factors and cannot be attributed solely to architectural isolation. This comparison reflects realistic deployment scenarios where developers choose between complete execution stacks. Controlled ablation studies isolating individual factors are identified as future work.</w:t>
      </w:r>
    </w:p>
    <w:p>
      <w:pPr>
        <w:spacing w:after="160"/>
        <w:jc w:val="both"/>
      </w:pPr>
      <w:r>
        <w:rPr>
          <w:rFonts w:ascii="Arial" w:cs="Arial" w:eastAsia="Arial" w:hAnsi="Arial"/>
          <w:sz w:val="22"/>
          <w:szCs w:val="22"/>
        </w:rPr>
        <w:t xml:space="preserve">3. Statistical reporting. We report point estimates and standard deviations. The 9.8× mean latency difference (10.6 ms GPU vs. 104.0 ms CPU) is large relative to within-condition variability (CPU SD = 5.7 ms under combined load). Formal confidence intervals and hypothesis tests are deferred to a full-length follow-up study. We are prepared to add these in revision if reviewers deem it necessary.</w:t>
      </w:r>
    </w:p>
    <w:p>
      <w:pPr>
        <w:spacing w:after="160"/>
        <w:jc w:val="both"/>
      </w:pPr>
      <w:r>
        <w:rPr>
          <w:rFonts w:ascii="Arial" w:cs="Arial" w:eastAsia="Arial" w:hAnsi="Arial"/>
          <w:sz w:val="22"/>
          <w:szCs w:val="22"/>
        </w:rPr>
        <w:t xml:space="preserve">4. Regulatory framing. We frame the contribution as operationalizing an existing FDA requirement, not identifying a gap in FDA guidance. FDA-2024-D-4488 requires robustness assessment; we propose a specific method for implementing this requirement at the inference layer. The STER + latency protocol is a candidate method subject to regulatory review and clinical validation for specific device classes.</w:t>
      </w:r>
    </w:p>
    <w:p>
      <w:pPr>
        <w:spacing w:after="240"/>
        <w:jc w:val="both"/>
      </w:pPr>
      <w:r>
        <w:rPr>
          <w:rFonts w:ascii="Arial" w:cs="Arial" w:eastAsia="Arial" w:hAnsi="Arial"/>
          <w:sz w:val="22"/>
          <w:szCs w:val="22"/>
        </w:rPr>
        <w:t xml:space="preserve">5. Generalizability. Results are specific to MobileNetV2 at 10 Hz on the Jetson Orin Nano Super under JetPack 6 with synthetic stressors. The controlled same-hardware design prioritizes internal validity over generalizability, which is appropriate for a 4-page letter presenting a proof-of-concept demonstration. Follow-up studies with larger models (ResNet-50, EfficientNet) and real medical device workloads are planned.</w:t>
      </w:r>
    </w:p>
    <w:p>
      <w:pPr>
        <w:spacing w:after="120"/>
      </w:pPr>
      <w:r>
        <w:rPr>
          <w:rFonts w:ascii="Arial" w:cs="Arial" w:eastAsia="Arial" w:hAnsi="Arial"/>
          <w:b/>
          <w:bCs/>
          <w:sz w:val="22"/>
          <w:szCs w:val="22"/>
        </w:rPr>
        <w:t xml:space="preserve">Relationship to Prior Work</w:t>
      </w:r>
    </w:p>
    <w:p>
      <w:pPr>
        <w:spacing w:after="240"/>
        <w:jc w:val="both"/>
      </w:pPr>
      <w:r>
        <w:rPr>
          <w:rFonts w:ascii="Arial" w:cs="Arial" w:eastAsia="Arial" w:hAnsi="Arial"/>
          <w:sz w:val="22"/>
          <w:szCs w:val="22"/>
        </w:rPr>
        <w:t xml:space="preserve">The nearest related work is Martín et al. (arXiv:2601.07600, January 2026), which addresses timing-based GPU isolation from a scheduling perspective. Our work is complementary: we address output value stability under resource contention (a distinct property from timing predictability) and propose joint verification as a pre-market acceptance condition. No prior work has used a same-hardware controlled design to empirically demonstrate the orthogonality of output stability and timing reliability, or proposed their joint measurement for SaMD pre-market validation.</w:t>
      </w:r>
    </w:p>
    <w:p>
      <w:pPr>
        <w:spacing w:after="120"/>
      </w:pPr>
      <w:r>
        <w:rPr>
          <w:rFonts w:ascii="Arial" w:cs="Arial" w:eastAsia="Arial" w:hAnsi="Arial"/>
          <w:b/>
          <w:bCs/>
          <w:sz w:val="22"/>
          <w:szCs w:val="22"/>
        </w:rPr>
        <w:t xml:space="preserve">Data and Code Availability</w:t>
      </w:r>
    </w:p>
    <w:p>
      <w:pPr>
        <w:spacing w:after="240"/>
        <w:jc w:val="both"/>
      </w:pPr>
      <w:r>
        <w:rPr>
          <w:rFonts w:ascii="Arial" w:cs="Arial" w:eastAsia="Arial" w:hAnsi="Arial"/>
          <w:sz w:val="22"/>
          <w:szCs w:val="22"/>
        </w:rPr>
        <w:t xml:space="preserve">All experimental scripts, raw results (107,500 inference activations across 7 experiment groups), and analysis code are publicly available at https://github.com/akulswami/p2-edge-ai-samd. The repository includes complete hardware setup instructions, experiment scripts (E0–E6), and committed CSV/JSON result files that can be used to reproduce all reported statistics.</w:t>
      </w:r>
    </w:p>
    <w:p>
      <w:pPr>
        <w:spacing w:after="120"/>
      </w:pPr>
      <w:r>
        <w:rPr>
          <w:rFonts w:ascii="Arial" w:cs="Arial" w:eastAsia="Arial" w:hAnsi="Arial"/>
          <w:b/>
          <w:bCs/>
          <w:sz w:val="22"/>
          <w:szCs w:val="22"/>
        </w:rPr>
        <w:t xml:space="preserve">Submission Compliance</w:t>
      </w:r>
    </w:p>
    <w:p>
      <w:pPr>
        <w:spacing w:after="80"/>
      </w:pPr>
      <w:r>
        <w:rPr>
          <w:rFonts w:ascii="Arial" w:cs="Arial" w:eastAsia="Arial" w:hAnsi="Arial"/>
          <w:sz w:val="22"/>
          <w:szCs w:val="22"/>
        </w:rPr>
        <w:t xml:space="preserve">•  Manuscript length: 4 pages including all figures, tables, and references (IEEEtran two-column, 10pt)</w:t>
      </w:r>
    </w:p>
    <w:p>
      <w:pPr>
        <w:spacing w:after="80"/>
      </w:pPr>
      <w:r>
        <w:rPr>
          <w:rFonts w:ascii="Arial" w:cs="Arial" w:eastAsia="Arial" w:hAnsi="Arial"/>
          <w:sz w:val="22"/>
          <w:szCs w:val="22"/>
        </w:rPr>
        <w:t xml:space="preserve">•  Figures: 3 figures at 300 DPI (PNG format)</w:t>
      </w:r>
    </w:p>
    <w:p>
      <w:pPr>
        <w:spacing w:after="80"/>
      </w:pPr>
      <w:r>
        <w:rPr>
          <w:rFonts w:ascii="Arial" w:cs="Arial" w:eastAsia="Arial" w:hAnsi="Arial"/>
          <w:sz w:val="22"/>
          <w:szCs w:val="22"/>
        </w:rPr>
        <w:t xml:space="preserve">•  References: 14 references</w:t>
      </w:r>
    </w:p>
    <w:p>
      <w:pPr>
        <w:spacing w:after="80"/>
      </w:pPr>
      <w:r>
        <w:rPr>
          <w:rFonts w:ascii="Arial" w:cs="Arial" w:eastAsia="Arial" w:hAnsi="Arial"/>
          <w:sz w:val="22"/>
          <w:szCs w:val="22"/>
        </w:rPr>
        <w:t xml:space="preserve">•  Original work: not previously published or under review elsewhere</w:t>
      </w:r>
    </w:p>
    <w:p>
      <w:pPr>
        <w:spacing w:after="80"/>
      </w:pPr>
      <w:r>
        <w:rPr>
          <w:rFonts w:ascii="Arial" w:cs="Arial" w:eastAsia="Arial" w:hAnsi="Arial"/>
          <w:sz w:val="22"/>
          <w:szCs w:val="22"/>
        </w:rPr>
        <w:t xml:space="preserve">•  Independence declaration: work conducted independently of employer affiliation</w:t>
      </w:r>
    </w:p>
    <w:p>
      <w:pPr>
        <w:spacing w:after="80"/>
      </w:pPr>
      <w:r>
        <w:rPr>
          <w:rFonts w:ascii="Arial" w:cs="Arial" w:eastAsia="Arial" w:hAnsi="Arial"/>
          <w:sz w:val="22"/>
          <w:szCs w:val="22"/>
        </w:rPr>
        <w:t xml:space="preserve">•  AI assistance disclosed in author footnote per IEEE policy</w:t>
      </w:r>
    </w:p>
    <w:p>
      <w:pPr>
        <w:spacing w:after="320"/>
      </w:pPr>
      <w:r>
        <w:rPr>
          <w:rFonts w:ascii="Arial" w:cs="Arial" w:eastAsia="Arial" w:hAnsi="Arial"/>
          <w:sz w:val="22"/>
          <w:szCs w:val="22"/>
        </w:rPr>
        <w:t xml:space="preserve">•  Data availability statement included in manuscript</w:t>
      </w:r>
    </w:p>
    <w:p>
      <w:pPr>
        <w:spacing w:after="240"/>
        <w:jc w:val="both"/>
      </w:pPr>
      <w:r>
        <w:rPr>
          <w:rFonts w:ascii="Arial" w:cs="Arial" w:eastAsia="Arial" w:hAnsi="Arial"/>
          <w:sz w:val="22"/>
          <w:szCs w:val="22"/>
        </w:rPr>
        <w:t xml:space="preserve">I believe this letter fits squarely within IEEE ESL's scope of early-stage embedded AI systems research with direct safety relevance, and that the controlled experimental evidence provides a concrete, reproducible foundation for the proposed pre-market verification method. I welcome reviewer feedback and am prepared to make text revisions addressing specific concerns within a 1–2 week turnaround.</w:t>
      </w:r>
    </w:p>
    <w:p>
      <w:pPr>
        <w:spacing w:after="240"/>
      </w:pPr>
      <w:r>
        <w:rPr>
          <w:rFonts w:ascii="Arial" w:cs="Arial" w:eastAsia="Arial" w:hAnsi="Arial"/>
          <w:sz w:val="22"/>
          <w:szCs w:val="22"/>
        </w:rPr>
        <w:t xml:space="preserve">Thank you for your consideration.</w:t>
      </w:r>
    </w:p>
    <w:p>
      <w:pPr>
        <w:spacing w:after="80"/>
      </w:pPr>
      <w:r>
        <w:rPr>
          <w:rFonts w:ascii="Arial" w:cs="Arial" w:eastAsia="Arial" w:hAnsi="Arial"/>
          <w:sz w:val="22"/>
          <w:szCs w:val="22"/>
        </w:rPr>
        <w:t xml:space="preserve">Sincerely,</w:t>
      </w:r>
    </w:p>
    <w:p>
      <w:pPr>
        <w:spacing w:after="80"/>
      </w:pPr>
      <w:r>
        <w:t xml:space="preserve"/>
      </w:r>
    </w:p>
    <w:p>
      <w:pPr>
        <w:spacing w:after="80"/>
      </w:pPr>
      <w:r>
        <w:t xml:space="preserve"/>
      </w:r>
    </w:p>
    <w:p>
      <w:pPr>
        <w:spacing w:after="40"/>
      </w:pPr>
      <w:r>
        <w:rPr>
          <w:rFonts w:ascii="Arial" w:cs="Arial" w:eastAsia="Arial" w:hAnsi="Arial"/>
          <w:b/>
          <w:bCs/>
          <w:sz w:val="22"/>
          <w:szCs w:val="22"/>
        </w:rPr>
        <w:t xml:space="preserve">Akul Mallayya Swami</w:t>
      </w:r>
    </w:p>
    <w:p>
      <w:pPr>
        <w:spacing w:after="40"/>
      </w:pPr>
      <w:r>
        <w:rPr>
          <w:rFonts w:ascii="Arial" w:cs="Arial" w:eastAsia="Arial" w:hAnsi="Arial"/>
          <w:sz w:val="22"/>
          <w:szCs w:val="22"/>
        </w:rPr>
        <w:t xml:space="preserve">Varian Medical Systems, A Siemens Healthineers Company</w:t>
      </w:r>
    </w:p>
    <w:p>
      <w:pPr>
        <w:spacing w:after="40"/>
      </w:pPr>
      <w:r>
        <w:rPr>
          <w:rFonts w:ascii="Arial" w:cs="Arial" w:eastAsia="Arial" w:hAnsi="Arial"/>
          <w:sz w:val="22"/>
          <w:szCs w:val="22"/>
        </w:rPr>
        <w:t xml:space="preserve">Palo Alto, CA 94304, USA</w:t>
      </w:r>
    </w:p>
    <w:p>
      <w:pPr>
        <w:spacing w:after="40"/>
      </w:pPr>
      <w:r>
        <w:rPr>
          <w:rFonts w:ascii="Arial" w:cs="Arial" w:eastAsia="Arial" w:hAnsi="Arial"/>
          <w:sz w:val="22"/>
          <w:szCs w:val="22"/>
        </w:rPr>
        <w:t xml:space="preserve">swami.akul@alumni.uml.edu</w:t>
      </w:r>
    </w:p>
    <w:p>
      <w:pPr>
        <w:spacing w:after="40"/>
      </w:pPr>
      <w:r>
        <w:rPr>
          <w:rFonts w:ascii="Arial" w:cs="Arial" w:eastAsia="Arial" w:hAnsi="Arial"/>
          <w:sz w:val="22"/>
          <w:szCs w:val="22"/>
        </w:rPr>
        <w:t xml:space="preserve">ORCID: 0009-0003-9549-5543</w:t>
      </w:r>
    </w:p>
    <w:p>
      <w:pPr>
        <w:spacing w:after="40"/>
      </w:pPr>
      <w:r>
        <w:rPr>
          <w:rFonts w:ascii="Arial" w:cs="Arial" w:eastAsia="Arial" w:hAnsi="Arial"/>
          <w:sz w:val="22"/>
          <w:szCs w:val="22"/>
        </w:rPr>
        <w:t xml:space="preserve">https://github.com/akulswami/p2-edge-ai-samd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2026-04-16T18:03:55.328Z</dcterms:created>
  <dcterms:modified xsi:type="dcterms:W3CDTF">2026-04-16T18:03:55.329Z</dcterms:modified>
</cp:coreProperties>
</file>

<file path=docProps/custom.xml><?xml version="1.0" encoding="utf-8"?>
<Properties xmlns="http://schemas.openxmlformats.org/officeDocument/2006/custom-properties" xmlns:vt="http://schemas.openxmlformats.org/officeDocument/2006/docPropsVTypes"/>
</file>