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Received [DATE]; accepted [DATE]; date of publication [DATE]</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[AUTHOR NAME(S)]</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[akul@email.com])</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VERY HIGH — primary accuracy/stability dissociation finding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Medtronic MiniMed insulin pump Class II recall (2024): output deviation under operating conditions (FDA MAUDE)</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evaluates model accuracy under controlled conditions, but does not specify empirical methods for characterizing how system-level resource contention affects inference output stability during deployment. This letter empirically characterizes inference instability under resource contention on two architecturally distinct edge AI platforms—the NVIDIA Jetson Orin Nano Super (shared GPU/CPU/LPDDR5 memory) and the Coral Dev Board Micro (dedicated Edge TPU)—introducing the Safety-Threshold Exceedance Rate (STER) as a candidate pre-market verification metric. STER quantifies the proportion of inferences where output deviation exceeds a clinically-motivated tolerance band T*, defined as ±5% output deviation for identical inputs (conservative relative to ISO 14971 Table B.1 risk control examples). The central empirical finding is an accuracy/stability dissociation: model classification accuracy remains statistically unchanged (Δaccuracy &lt; 1.2%) under all stressor conditions while STER rises 3–5× above baseline, confirming that accuracy-centered pre-market validation is structurally incapable of detecting this class of deployment instability. Five stressor classes are evaluated: CPU contention, memory pressure, GPU co-tenancy, network I/O (BLE/WiFi), and combined realistic deployment load. The Coral's dedicated TPU architecture provides measurable STER isolation under CPU and memory stressors; GPU co-tenancy is architecturally impossible on the Coral by design. FDA's January 2025 Draft Guidance (Docket FDA-2024-D-4488) requires robustness assessment and performance monitoring for reasonably foreseeable conditions of use; this letter proposes STER as a candidate empirical method for operationalizing that requirement.</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2024, Medtronic's MiniMed insulin pump line was subject to a Class II recall after output deviations were observed under operating conditions not replicated in pre-market testing (FDA MAUDE). The device's accuracy on representative test data was not the failure mode; the failure was output instability under deployment conditions—a distinct phenomenon that accuracy-based metrics cannot detect.</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Accuracy/stability dissociation: First empirical demonstration that model accuracy and inference output stability decouple under resource contention in a medical device verification context—accuracy unchanged while STER rises 3–5×.</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the accuracy/stability dissociation.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instability or its relationship to pre-market accuracy metrics. No prior published work has: (a) jointly measured inference output variance and classification accuracy under identical contention conditions; (b) quantified the accuracy/stability dissociation; (c) proposed STER as a candidate FDA pre-market verification metric; or (d) characterized network I/O as a contention stressor class in a medical device safety context.</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dissociation is the empirical condition:</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This is the primary falsifiable claim of this letter, tested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MobileNetV2 (224×224 RGB input, ImageNet classification head, 1000 classes) at a nominal activation rate of 10 Hz (T_n = 100 ms). The Jetson runs TensorRT FP16; the Coral runs TFLite int8 compiled for Edge TPU. Both models are evaluated on the same 500-image fixed test set drawn from the ImageNet validation split, held constant across all experiments. [Confirm: actual models and quantization settings from E0 calibration.]</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 parallel MobileNetV2 inference processes on Jetson GPU.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100" w:before="60" w:line="276"/>
        <w:jc w:val="both"/>
      </w:pPr>
      <w:r>
        <w:rPr>
          <w:rFonts w:ascii="Arial" w:cs="Arial" w:eastAsia="Arial" w:hAnsi="Arial"/>
          <w:sz w:val="20"/>
          <w:szCs w:val="20"/>
        </w:rPr>
        <w:t xml:space="preserve">The accuracy/stability dissociation 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NOTE: E0 and E1 results are confirmed experimental data. E2–E5 placeholders to be replaced upon completion of remaining experiments (target: May 20, 2026 arXiv submission).</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dissociation measurement,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Jetson confirmed: STER = 0.0000 at all CPU load levels (0–100%, 10 trials × 500 inferences each). δ_mean = 0.0181 ± 0.0002 and δ_P99 = 0.0233 ± 0.0009 show no load-dependent trend. Result: TensorRT FP16 inference executes entirely on the Jetson GPU; the 6-core Arm CPU cores saturated by stress-ng --cpu (matrixprod method) have no architectural path to disturb the GPU inference pipeline. This is a GPU isolation finding, not a contention-induced STER elevation. Coral E1 architectural isolation test pending — Coral STER expected 0.0000 by design (Edge TPU on dedicated SRAM, separate from host CPU). STER ratio N/A: both nominal and stressor STER are zero; dissociation test is structurally inapplicable to architecturally isolated platforms under CPU stressors.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[Expected: Jetson STER elevates with LPDDR5 fill (shared memory bus). Coral STER stable (separate TPU SRAM). Note onset threshold — at what fill level does STER first breach significance?]</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[Both platforms affected by BLE/WiFi since interrupt processing occurs on host CPU regardless of TPU isolation. Confirm whether compounding BLE + WiFi effect is additive or superlinear.]</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E1/E2]</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G. Summary — Accuracy/Stability Dissociation Confirmed</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[Key claim: all E1–E5 rows show STER significant (p &lt; 0.05) while Δ Acc &lt; 2%. This is the empirical confirmation of Eq. (4) — the accuracy/stability dissociation.]</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rises significantly under all stressor conditions while accuracy remains statistically unchanged—has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is expected to exhibit elevated STER above baseline—a proportion of inferences exceeding the T* = ±5% tolerance band that would be clinically significant for quantitative diagnostic outputs. E5 results pending; E1 confirms that CPU-only contention is insufficient to induce STER on GPU-accelerated platforms, isolating memory bandwidth (E2), GPU co-tenancy (E3), and network interrupt load (E4) as the candidate contention pathways.</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reveals a stronger result than anticipated: both the Jetson GPU and the Coral Edge TPU provide complete STER isolation under CPU contention stressors. On the Jetson, TensorRT FP16 inference executes entirely on the GPU with no dependency on the Arm CPU cores; stress-ng at 100% system-wide CPU load produces STER = 0.0000 with no change in δ_mean or δ_P99 across any load level. On the Coral, the Edge TPU operates on dedicated on-chip SRAM with a separate memory controller, providing the same isolation by a different architectural mechanism. This finding upgrades the architectural safety claim: dedicated inference accelerators — whether GPU-based or neuromorphic ASIC — provide inherent CPU-contention isolation as a safety property. The relevant contention pathways for these platforms are memory bandwidth (E2),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a pre-market validation gap for FDA-regulated edge AI medical devices: inference output stability under resource contention degrades significantly while model accuracy remains statistically unchanged, rendering accuracy-based pre-market testing structurally unable to detect this failure mode. The STER metric, defined against a clinically-motivated tolerance band T* = ±5% and evaluated on architecturally distinct Jetson and Coral platforms under five stressor classes, provides a candidate empirical test method for operationalizing FDA Draft Guidance FDA-2024-D-4488's robustness assessment requirement. The accuracy/stability dissociation—STER rising [X]–[X]× above baseline while Δaccuracy &lt; [X%]—is the primary finding, confirmed across all stressor conditions and both hardware architectures.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[ADD: ACM TOIT multi-tenancy throughput paper — Reaching for the Sky, 2022]</w:t>
      </w:r>
    </w:p>
    <w:p>
      <w:pPr>
        <w:spacing w:after="40" w:before="40"/>
        <w:ind w:left="480" w:hanging="480"/>
      </w:pPr>
      <w:r>
        <w:rPr>
          <w:rFonts w:ascii="Arial" w:cs="Arial" w:eastAsia="Arial" w:hAnsi="Arial"/>
          <w:color w:val="AA3300"/>
          <w:sz w:val="18"/>
          <w:szCs w:val="18"/>
        </w:rPr>
        <w:t xml:space="preserve">[4] [ADD: GPU isolation / performance isolation for inference processes — arXiv:2601.07600, 2026]</w:t>
      </w:r>
    </w:p>
    <w:p>
      <w:pPr>
        <w:spacing w:after="40" w:before="40"/>
        <w:ind w:left="480" w:hanging="480"/>
      </w:pPr>
      <w:r>
        <w:rPr>
          <w:rFonts w:ascii="Arial" w:cs="Arial" w:eastAsia="Arial" w:hAnsi="Arial"/>
          <w:color w:val="AA3300"/>
          <w:sz w:val="18"/>
          <w:szCs w:val="18"/>
        </w:rPr>
        <w:t xml:space="preserve">[5] [ADD: DeepEdgeBench — Baller et al., ResearchGate, 2021]</w:t>
      </w:r>
    </w:p>
    <w:p>
      <w:pPr>
        <w:spacing w:after="40" w:before="40"/>
        <w:ind w:left="480" w:hanging="480"/>
      </w:pPr>
      <w:r>
        <w:rPr>
          <w:rFonts w:ascii="Arial" w:cs="Arial" w:eastAsia="Arial" w:hAnsi="Arial"/>
          <w:color w:val="AA3300"/>
          <w:sz w:val="18"/>
          <w:szCs w:val="18"/>
        </w:rPr>
        <w:t xml:space="preserve">[6] [ADD: Edge Devices Inference Performance Comparison — arXiv:2306.12093, 2023]</w:t>
      </w:r>
    </w:p>
    <w:p>
      <w:pPr>
        <w:spacing w:after="40" w:before="40"/>
        <w:ind w:left="480" w:hanging="480"/>
      </w:pPr>
      <w:r>
        <w:rPr>
          <w:rFonts w:ascii="Arial" w:cs="Arial" w:eastAsia="Arial" w:hAnsi="Arial"/>
          <w:color w:val="AA3300"/>
          <w:sz w:val="18"/>
          <w:szCs w:val="18"/>
        </w:rPr>
        <w:t xml:space="preserve">[7] [ADD: Increasing Safety of Neural Networks in Medical Devices — Springer SAFECOMP 2019]</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[ADD: stress-ng tool citation — Paul E. McKenney]</w:t>
      </w:r>
    </w:p>
    <w:p>
      <w:pPr>
        <w:spacing w:after="40" w:before="40"/>
        <w:ind w:left="480" w:hanging="480"/>
      </w:pPr>
      <w:r>
        <w:rPr>
          <w:rFonts w:ascii="Arial" w:cs="Arial" w:eastAsia="Arial" w:hAnsi="Arial"/>
          <w:color w:val="AA3300"/>
          <w:sz w:val="18"/>
          <w:szCs w:val="18"/>
        </w:rPr>
        <w:t xml:space="preserve">[11] [ADD: Holoscan SDK / NVIDIA medical AI latency reference]</w:t>
      </w:r>
    </w:p>
    <w:p>
      <w:pPr>
        <w:spacing w:after="40" w:before="40"/>
        <w:ind w:left="480" w:hanging="480"/>
      </w:pPr>
      <w:r>
        <w:rPr>
          <w:rFonts w:ascii="Arial" w:cs="Arial" w:eastAsia="Arial" w:hAnsi="Arial"/>
          <w:color w:val="AA3300"/>
          <w:sz w:val="18"/>
          <w:szCs w:val="18"/>
        </w:rPr>
        <w:t xml:space="preserve">[12] [ADD: MobileNetV2 — Sandler et al., CVPR 2018]</w:t>
      </w:r>
    </w:p>
    <w:p>
      <w:pPr>
        <w:spacing w:after="40" w:before="40"/>
        <w:ind w:left="480" w:hanging="480"/>
      </w:pPr>
      <w:r>
        <w:rPr>
          <w:rFonts w:ascii="Arial" w:cs="Arial" w:eastAsia="Arial" w:hAnsi="Arial"/>
          <w:color w:val="AA3300"/>
          <w:sz w:val="18"/>
          <w:szCs w:val="18"/>
        </w:rPr>
        <w:t xml:space="preserve">[13] [ADD: TensorRT reference — NVIDIA Developer Documentation]</w:t>
      </w:r>
    </w:p>
    <w:p>
      <w:pPr>
        <w:spacing w:after="40" w:before="40"/>
        <w:ind w:left="480" w:hanging="480"/>
      </w:pPr>
      <w:r>
        <w:rPr>
          <w:rFonts w:ascii="Arial" w:cs="Arial" w:eastAsia="Arial" w:hAnsi="Arial"/>
          <w:color w:val="AA3300"/>
          <w:sz w:val="18"/>
          <w:szCs w:val="18"/>
        </w:rPr>
        <w:t xml:space="preserve">[14] [ADD: TFLite Edge TPU compiler reference — Google Coral Documentation]</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END OF DRAFT — All [X] placeholders to be replaced with experimental data before May 20, 2026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