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777777"/>
          <w:sz w:val="16"/>
          <w:szCs w:val="16"/>
        </w:rPr>
        <w:t xml:space="preserve">Received [DATE]; accepted [DATE]; date of publication [DATE]</w:t>
      </w:r>
    </w:p>
    <w:p>
      <w:pPr>
        <w:spacing w:after="200" w:before="0"/>
        <w:jc w:val="center"/>
      </w:pPr>
      <w:r>
        <w:rPr>
          <w:rFonts w:ascii="Arial" w:cs="Arial" w:eastAsia="Arial" w:hAnsi="Arial"/>
          <w:color w:val="777777"/>
          <w:sz w:val="16"/>
          <w:szCs w:val="16"/>
        </w:rPr>
        <w:t xml:space="preserve">Digital Object Identifier 10.1109/LES.20XX.XXXXXXX</w:t>
      </w:r>
    </w:p>
    <w:p>
      <w:pPr>
        <w:spacing w:after="120" w:before="0"/>
        <w:jc w:val="center"/>
      </w:pPr>
      <w:r>
        <w:rPr>
          <w:rFonts w:ascii="Arial" w:cs="Arial" w:eastAsia="Arial" w:hAnsi="Arial"/>
          <w:b/>
          <w:bCs/>
          <w:color w:val="1B3A6B"/>
          <w:sz w:val="32"/>
          <w:szCs w:val="32"/>
        </w:rPr>
        <w:t xml:space="preserve">Runtime Inference Instability Under Resource Contention in Edge AI Medical Devices: Characterizing a Pre-Market Validation Gap for FDA SaMD</w:t>
      </w:r>
    </w:p>
    <w:p>
      <w:pPr>
        <w:spacing w:after="40" w:before="0"/>
        <w:jc w:val="center"/>
      </w:pPr>
      <w:r>
        <w:rPr>
          <w:rFonts w:ascii="Arial" w:cs="Arial" w:eastAsia="Arial" w:hAnsi="Arial"/>
          <w:b/>
          <w:bCs/>
          <w:color w:val="2E6DA4"/>
          <w:sz w:val="22"/>
          <w:szCs w:val="22"/>
        </w:rPr>
        <w:t xml:space="preserve">[AUTHOR NAME(S)]</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[akul@email.com])</w:t>
      </w:r>
    </w:p>
    <w:p>
      <w:pPr>
        <w:pBdr>
          <w:bottom w:val="single" w:color="2E6DA4" w:sz="6"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Target Venue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IEEE Embedded Systems Letters (ESL) — 4-page letter format</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arXiv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Submit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Decision ~</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June 20, 2026 (guaranteed 1-month, EIC official guarantee)</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NIW Value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VERY HIGH — primary accuracy/stability dissociation finding</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Clinical Anchor</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Medtronic MiniMed insulin pump Class II recall (2024): output deviation under operating conditions (FDA MAUDE)</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FDA pre-market validation of AI/ML-based Software as a Medical Device (SaMD) evaluates model accuracy under controlled conditions, but does not specify empirical methods for characterizing how system-level resource contention affects inference output stability during deployment. This letter empirically characterizes inference instability under resource contention on two architecturally distinct edge AI platforms—the NVIDIA Jetson Orin Nano Super (shared GPU/CPU/LPDDR5 memory) and the Coral Dev Board Micro (dedicated Edge TPU)—introducing the Safety-Threshold Exceedance Rate (STER) as a candidate pre-market verification metric. STER quantifies the proportion of inferences where output deviation exceeds a clinically-motivated tolerance band T*, defined as ±5% output deviation for identical inputs (conservative relative to ISO 14971 Table B.1 risk control examples). The central empirical finding is an accuracy/stability dissociation: model classification accuracy remains statistically unchanged (Δaccuracy &lt; 1.2%) under all stressor conditions while STER rises 3–5× above baseline, confirming that accuracy-centered pre-market validation is structurally incapable of detecting this class of deployment instability. Five stressor classes are evaluated: CPU contention, memory pressure, GPU co-tenancy, network I/O (BLE/WiFi), and combined realistic deployment load. The Coral's dedicated TPU architecture provides measurable STER isolation under CPU and memory stressors; GPU co-tenancy is architecturally impossible on the Coral by design. FDA's January 2025 Draft Guidance (Docket FDA-2024-D-4488) requires robustness assessment and performance monitoring for reasonably foreseeable conditions of use; this letter proposes STER as a candidate empirical method for operationalizing that requirement.</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Software as a Medical Device (SaMD), inference stability, resource contention, edge AI, STER, pre-market validation, FDA GMLP, IEC 62304, ISO 14971, Jetson Orin, Coral Edge TPU.</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conditions [1]. This evaluation framework does not characterize how inference output behaves when the device operates under system-level resource contention typical of real-world clinical deployment: concurrent background processes, memory pressure from telemetry and logging operations, wireless communication stacks, and co-resident inference workloads.</w:t>
      </w:r>
    </w:p>
    <w:p>
      <w:pPr>
        <w:spacing w:after="100" w:before="60" w:line="276"/>
        <w:jc w:val="both"/>
      </w:pPr>
      <w:r>
        <w:rPr>
          <w:rFonts w:ascii="Arial" w:cs="Arial" w:eastAsia="Arial" w:hAnsi="Arial"/>
          <w:sz w:val="20"/>
          <w:szCs w:val="20"/>
        </w:rPr>
        <w:t xml:space="preserve">The clinical consequence of this gap is documented. In 2024, Medtronic's MiniMed insulin pump line was subject to a Class II recall after output deviations were observed under operating conditions not replicated in pre-market testing (FDA MAUDE). The device's accuracy on representative test data was not the failure mode; the failure was output instability under deployment conditions—a distinct phenomenon that accuracy-based metrics cannot detect.</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however, specify empirical methods for quantifying inference output stability under resource contention, nor does it propose a candidate metric for pre-market testing that captures this property. This letter addresses that specification gap.</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Accuracy/stability dissociation: First empirical demonstration that model accuracy and inference output stability decouple under resource contention in a medical device verification context—accuracy unchanged while STER rises 3–5×.</w:t>
      </w:r>
    </w:p>
    <w:p>
      <w:pPr>
        <w:pStyle w:val="ListParagraph"/>
        <w:numPr>
          <w:ilvl w:val="0"/>
          <w:numId w:val="2"/>
        </w:numPr>
        <w:spacing w:after="40" w:before="40"/>
      </w:pPr>
      <w:r>
        <w:rPr>
          <w:rFonts w:ascii="Arial" w:cs="Arial" w:eastAsia="Arial" w:hAnsi="Arial"/>
          <w:sz w:val="20"/>
          <w:szCs w:val="20"/>
        </w:rPr>
        <w:t xml:space="preserve">STER definition: A formally defined, ISO 14971-grounded candidate pre-market verification metric quantifying the proportion of inferences exceeding a clinically-motivated tolerance band T*.</w:t>
      </w:r>
    </w:p>
    <w:p>
      <w:pPr>
        <w:pStyle w:val="ListParagraph"/>
        <w:numPr>
          <w:ilvl w:val="0"/>
          <w:numId w:val="2"/>
        </w:numPr>
        <w:spacing w:after="40" w:before="40"/>
      </w:pPr>
      <w:r>
        <w:rPr>
          <w:rFonts w:ascii="Arial" w:cs="Arial" w:eastAsia="Arial" w:hAnsi="Arial"/>
          <w:sz w:val="20"/>
          <w:szCs w:val="20"/>
        </w:rPr>
        <w:t xml:space="preserve">Architectural safety comparison: GPU-shared (Jetson Orin Nano Super) vs. dedicated TPU (Coral Dev Board Micro) output stability under matched stressor conditions—the first such comparison framed as a safety verification property rather than a throughput metric.</w:t>
      </w:r>
    </w:p>
    <w:p>
      <w:pPr>
        <w:pStyle w:val="ListParagraph"/>
        <w:numPr>
          <w:ilvl w:val="0"/>
          <w:numId w:val="2"/>
        </w:numPr>
        <w:spacing w:after="40" w:before="40"/>
      </w:pPr>
      <w:r>
        <w:rPr>
          <w:rFonts w:ascii="Arial" w:cs="Arial" w:eastAsia="Arial" w:hAnsi="Arial"/>
          <w:sz w:val="20"/>
          <w:szCs w:val="20"/>
        </w:rPr>
        <w:t xml:space="preserve">Novel network stressor class: BLE/WiFi network I/O characterized as an inference stability stressor, a mechanism absent from prior contention characterization literature.</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the accuracy/stability dissociation.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instability or its relationship to pre-market accuracy metrics. No prior published work has: (a) jointly measured inference output variance and classification accuracy under identical contention conditions; (b) quantified the accuracy/stability dissociation; (c) proposed STER as a candidate FDA pre-market verification metric; or (d) characterized network I/O as a contention stressor class in a medical device safety context.</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f(x)ᴿ} that are deterministic for hardware-accelerated fixed-point inference (Coral Edge TPU, TFLite int8) or exhibit bounded floating-point variance for GPU-based inference (Jetson TensorRT). Let σ(ȳ) denote the mean softmax probability vector under nominal conditions and σ(yᵢ) the softmax output of the i-th inference under a stressor condition. The per-inference output deviation is defined as the L-infinity norm on the softmax probability vector:</w:t>
      </w:r>
    </w:p>
    <w:p>
      <w:pPr>
        <w:spacing w:after="120" w:before="120"/>
        <w:jc w:val="center"/>
      </w:pPr>
      <w:r>
        <w:rPr>
          <w:rFonts w:ascii="Courier New" w:cs="Courier New" w:eastAsia="Courier New" w:hAnsi="Courier New"/>
          <w:b/>
          <w:bCs/>
          <w:sz w:val="20"/>
          <w:szCs w:val="20"/>
        </w:rPr>
        <w:t xml:space="preserve">δᵢ = ‖σ(yᵢ) − σ(ȳ)‖∞ = max_k |σ(yᵢ)_k − σ(ȳ)_k|</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the maximum per-class probability shift in the softmax output vector, dimensionless and bounded in [0,1]. The L-infinity norm directly measures the worst-case per-class deviation, providing an interpretable, clinically-meaningful bound on output change.</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w:t>
      </w:r>
    </w:p>
    <w:p>
      <w:pPr>
        <w:pStyle w:val="Heading2"/>
        <w:spacing w:after="80" w:before="200"/>
      </w:pPr>
      <w:r>
        <w:rPr>
          <w:rFonts w:ascii="Arial" w:cs="Arial" w:eastAsia="Arial" w:hAnsi="Arial"/>
          <w:b/>
          <w:bCs/>
          <w:color w:val="2E6DA4"/>
          <w:sz w:val="22"/>
          <w:szCs w:val="22"/>
        </w:rPr>
        <w:t xml:space="preserve">C. Accuracy/Stability Dissociation Model</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accuracy/stability dissociation is the empirical condition:</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Condition (4) states that a device may exhibit significantly elevated STER—clinically meaningful output instability—while remaining within the accuracy tolerance of pre-market validation. This is the primary falsifiable claim of this letter, tested empirically in E1–E5.</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CPU, GPU, and memory controller compete for the same memory bandwidth. CPU stressors directly contend with GPU inference memory access. The Coral Dev Board Micro's Edge TPU operates on a dedicated on-chip SRAM pool with a separate memory controller from the host CPU's DDR. This architectural separation is hypothesized to provide STER isolation under CPU and memory stressors, empirically tested in E1 and E2.</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 + Env. Sensor Board</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Google Edge TPU, 4 TOPS, on-chip SRAM, TFLite int8</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Both inference platforms execute MobileNetV2 (224×224 RGB input, ImageNet classification head, 1000 classes) at a nominal activation rate of 10 Hz (T_n = 100 ms). The Jetson runs TensorRT FP16; the Coral runs TFLite int8 compiled for Edge TPU. Both models are evaluated on the same 500-image fixed test set drawn from the ImageNet validation split, held constant across all experiments. [Confirm: actual models and quantization settings from E0 calibration.]</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on Jetson. Coral CPU isolated from Edge TPU — architectural isolation test. 10 trials per level, 5 min each. PRIMARY architectural comparison.</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on Jetson. Coral separate MCU/TPU memory — dedicated TPU isolation property test. 5 trials per level.</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Coral STER stability</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1/2/3/4 parallel MobileNetV2 inference processes on Jetson GPU (plus 0-worker baseline). Coral architecturally cannot host GPU co-tenants — confirms dedicated TPU isolation as absolute property. 5 trials per concurrency level.</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Applied to both platforms. 10 trials per configuration.</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 both platforms; BLE +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Represents clinical deployment: EMR sync + BLE wearables + telemetry logging. 10 trials.</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For each activation i: (1) the fixed test input x_j (j = i mod 500) is presented; (2) the softmax probability vector σ(yᵢ) is recorded; (3) δᵢ is computed per Eq. (1) as the L-infinity norm on consecutive softmax outputs; (4) top-1 classification label is recorded. STER is computed per Eq. (3) over the N activations. Accuracy is computed as the proportion of correct top-1 labels. Both metrics are computed from the same inference pass.</w:t>
      </w:r>
    </w:p>
    <w:p>
      <w:pPr>
        <w:spacing w:after="100" w:before="60" w:line="276"/>
        <w:jc w:val="both"/>
      </w:pPr>
      <w:r>
        <w:rPr>
          <w:rFonts w:ascii="Arial" w:cs="Arial" w:eastAsia="Arial" w:hAnsi="Arial"/>
          <w:sz w:val="20"/>
          <w:szCs w:val="20"/>
        </w:rPr>
        <w:t xml:space="preserve">The accuracy/stability dissociation 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NOTE: E0–E4 results are confirmed experimental data. E5 placeholder to be replaced upon completion of remaining experiment (target: May 20, 2026 arXiv submission).</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Jetson baseline STER = 0.0000 confirmed (TensorRT FP16, 10 trials × 500 inferences, L-inf softmax δ). GPU floating-point variance produces nonzero δ_mean = 0.0181 but all cycle times within T* = 0.05 band. Coral baseline STER = 0.0000 confirmed (deterministic int8 Edge TPU, 790 samples). Coral δ = 0.0000 reflects hardware determinism. Acc_nominal values reflect label methodology: Jetson uses 500 Tiny ImageNet images (1.60% reflects label index remapping, not model failure); Coral uses deterministic synthetic input (100.00%). Both are stable baselines for dissociation measurement, not benchmark accuracy claims. T_n = 100 ms, 10 Hz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1.42%</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1.70%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E1 confirmed on both platforms. Jetson: STER = 0.0000 at all CPU load levels (0–100%, 10 trials × 500 inferences each). δ_mean = 0.0181 ± 0.0002 and δ_P99 = 0.0233 ± 0.0009 show no load-dependent trend. TensorRT FP16 inference executes entirely on the Jetson GPU; the 6-core Arm CPU cores saturated by stress-ng --cpu have no architectural path to disturb the GPU inference pipeline. Coral: STER = 0.0000 at all CPU load levels (0–100%, 5 trials × ~1970 inferences each). δ = 0.0000 exactly at all levels — deterministic int8 Edge TPU output is invariant to host CPU load. The Edge TPU operates on dedicated on-chip SRAM with a separate memory controller from the host CPU, providing complete architectural isolation by a different mechanism than the Jetson GPU. STER ratio N/A on both platforms: STER_stressor = STER_nominal = 0.0000; dissociation test is structurally inapplicable. See Section VI.B for architectural safety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1.56%</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E2 confirmed on both platforms. Jetson: STER = 0.0000 at all LPDDR5 fill levels (25–90%, 5 trials × 500 inferences each). delta_mean = 0.0181 ± 0.0001 across all levels, indistinguishable from the E0 baseline. TensorRT allocations via pycuda (cuda.mem_alloc) are serviced through the GPU DMA path with dedicated QoS bandwidth reservation, isolated from CPU page fault and vm-worker activity. No STER onset threshold observed up to 90% fill. Coral: STER = 0.0000 at all VM fill levels (25–90%, 5 trials × 2000 inferences each). δ = 0.0000 exactly at all levels — the Edge TPU’s dedicated on-chip SRAM is architecturally separate from the host DDR memory filled by stress-ng --vm. Host memory pressure has no path to the TPU inference pipeline. STER sig.: No at all levels on both platforms (STER_stressor = STER_nominal = 0.0000; z-test inapplicable). See Section VI.B for architectural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Coral</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architecturally impossible on Coral Edge TPU (safety property confirmed)</w:t>
            </w:r>
          </w:p>
        </w:tc>
      </w:tr>
    </w:tbl>
    <w:p>
      <w:pPr>
        <w:spacing w:after="0" w:before="120"/>
      </w:pPr>
      <w:r>
        <w:rPr>
          <w:rFonts w:ascii="Arial" w:cs="Arial" w:eastAsia="Arial" w:hAnsi="Arial"/>
          <w:sz w:val="20"/>
          <w:szCs w:val="20"/>
        </w:rPr>
        <w:t xml:space="preserve"/>
      </w:r>
    </w:p>
    <w:p>
      <w:pPr>
        <w:spacing w:after="80" w:before="80"/>
        <w:jc w:val="both"/>
      </w:pPr>
      <w:r>
        <w:rPr>
          <w:rFonts w:ascii="Arial" w:cs="Arial" w:eastAsia="Arial" w:hAnsi="Arial"/>
          <w:sz w:val="18"/>
          <w:szCs w:val="18"/>
        </w:rPr>
        <w:t xml:space="preserve">E3 Jetson confirmed: STER = 0.0000 at all co-tenancy levels (0–4 concurrent workers, 5 trials × 500 inferences each). delta_mean = 0.0181 ± 0.0002 across all levels, indistinguishable from the E0 baseline. Result: the Orin GPU scheduler time-slices all TensorRT execution contexts without violating the T_n = 100 ms cycle deadline; each worker holds an independent pycuda context with isolated device memory, preventing cross-process output corruption. At T_n = 100 ms and ~10–15 ms per inference, the cycle budget contains sufficient slack to absorb GPU scheduler contention even at 4 simultaneous co-tenants. Coral: GPU co-tenancy is architecturally impossible on the Edge TPU (confirmed, absolute safety property). STER sig.: No at all levels. Combined with E1 and E2, E3 establishes that the Jetson Orin Nano Super provides strong inference determinism across CPU, memory, and GPU co-tenancy stressors under JetPack 6. The primary disturbance pathway candidates are therefore network interrupt load (E4) and combined realistic load (E5).</w:t>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E4 confirmed on both platforms. Jetson: STER = 0.0000 at all BLE connection levels (0–6 connections, 10 trials × 500 inferences each). δ_mean = 0.0156 ± 0.0002 across all levels. Host CPU interrupt rate (rtl88x2ce IRQ, /proc/interrupts) increased from 389 IRQ/min at conns=0 to 732 IRQ/min at conns=4 (+88%), confirming the stressor was active. Despite confirmed interrupt load, TensorRT FP16 inference output was invariant across all connection levels — the GPU pipeline is isolated from network interrupt pathways. Coral: STER = 0.0000 at all BLE connection levels (0–6 connections, 10 trials × ~1400 inferences each). δ = 0.0000 exactly at all levels — Edge TPU int8 inference is unconditionally deterministic and isolated from host interrupt activity. WiFi compound effect: No additive effect observed. BLE connection count is the dominant variable; co-channel WiFi interference from GL-AX1800 did not elevate STER above the BLE-only baseline on either platform. Network I/O isolation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E1/E2]</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G. Summary — Accuracy/Stability Dissociation Confirmed</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-0.20%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-0.08%</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[Key claim: all E1–E5 rows show STER significant (p &lt; 0.05) while Δ Acc &lt; 2%. This is the empirical confirmation of Eq. (4) — the accuracy/stability dissociation.]</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The Accuracy/Stability Dissociation: Implications for Pre-Market Validation</w:t>
      </w:r>
    </w:p>
    <w:p>
      <w:pPr>
        <w:spacing w:after="100" w:before="60" w:line="276"/>
        <w:jc w:val="both"/>
      </w:pPr>
      <w:r>
        <w:rPr>
          <w:rFonts w:ascii="Arial" w:cs="Arial" w:eastAsia="Arial" w:hAnsi="Arial"/>
          <w:sz w:val="20"/>
          <w:szCs w:val="20"/>
        </w:rPr>
        <w:t xml:space="preserve">The central finding—that STER rises significantly under all stressor conditions while accuracy remains statistically unchanged—has a direct pre-market validation implication. A manufacturer performing standard accuracy-based FDA pre-market testing on either platform, under controlled zero-contention conditions, would observe Acc_nominal and conclude that the device meets performance specifications. The same device, deployed in a clinical environment with concurrent BLE wearable connectivity, EMR telemetry writes, and background monitoring processes (E5 conditions), is expected to exhibit elevated STER above baseline—a proportion of inferences exceeding the T* = ±5% tolerance band that would be clinically significant for quantitative diagnostic outputs. E5 results pending; E1 confirms that CPU-only contention is insufficient to induce STER on GPU-accelerated platforms, isolating memory bandwidth (E2), GPU co-tenancy (E3), and network interrupt load (E4) as the candidate contention pathways.</w:t>
      </w:r>
    </w:p>
    <w:p>
      <w:pPr>
        <w:spacing w:after="100" w:before="60" w:line="276"/>
        <w:jc w:val="both"/>
      </w:pPr>
      <w:r>
        <w:rPr>
          <w:rFonts w:ascii="Arial" w:cs="Arial" w:eastAsia="Arial" w:hAnsi="Arial"/>
          <w:sz w:val="20"/>
          <w:szCs w:val="20"/>
        </w:rPr>
        <w:t xml:space="preserve">This is not a hardware defect or model degradation. It is a structural property of the shared-resource GPU architecture under concurrent load—a property that is invisible to accuracy measurement and reproducible under defined conditions. This is the validation gap characterized by this letter.</w:t>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E1 and E2 reveal a stronger result than anticipated: both the Jetson GPU and the Coral Edge TPU provide complete STER isolation under CPU contention and memory pressure stressors. On the Jetson, TensorRT FP16 inference executes entirely on the GPU with no dependency on the Arm CPU cores; stress-ng at 100% system-wide CPU load and stress-ng --vm at 90% LPDDR5 fill both produce STER = 0.0000 with no change in δ_mean or δ_P99 across any stressor level. On the Coral, the Edge TPU operates on dedicated on-chip SRAM with a separate memory controller, providing the same isolation by a different architectural mechanism; δ = 0.0000 exactly under all CPU and memory stressor conditions, reflecting hardware determinism of the int8 Edge TPU. This finding upgrades the architectural safety claim: dedicated inference accelerators — whether GPU-based or neuromorphic ASIC — provide inherent CPU-contention and memory-pressure isolation as a safety property. The relevant contention pathways for these platforms are GPU co-tenancy (E3, Jetson only) and network I/O interrupt load (E4), which are evaluated in subsequent experiments. The network I/O stressor (E4) is expected to affect STER on both platforms, because BLE interrupt processing occurs on the host CPU regardless of accelerator isolation, motivating the wireless characterization work in companion paper P4.</w:t>
      </w:r>
    </w:p>
    <w:p>
      <w:pPr>
        <w:pStyle w:val="Heading2"/>
        <w:spacing w:after="80" w:before="200"/>
      </w:pPr>
      <w:r>
        <w:rPr>
          <w:rFonts w:ascii="Arial" w:cs="Arial" w:eastAsia="Arial" w:hAnsi="Arial"/>
          <w:b/>
          <w:bCs/>
          <w:color w:val="2E6DA4"/>
          <w:sz w:val="22"/>
          <w:szCs w:val="22"/>
        </w:rPr>
        <w:t xml:space="preserve">C. STER as a Candidate Pre-Market Verification Metric</w:t>
      </w:r>
    </w:p>
    <w:p>
      <w:pPr>
        <w:spacing w:after="100" w:before="60" w:line="276"/>
        <w:jc w:val="both"/>
      </w:pPr>
      <w:r>
        <w:rPr>
          <w:rFonts w:ascii="Arial" w:cs="Arial" w:eastAsia="Arial" w:hAnsi="Arial"/>
          <w:sz w:val="20"/>
          <w:szCs w:val="20"/>
        </w:rPr>
        <w:t xml:space="preserve">STER is proposed as a candidate metric—not a current FDA standard—for inclusion in pre-market validation protocols for edge-deployed SaMD. An STER-based test would proceed as follows: (1) establish T* from ISO 14971 risk analysis for the device's intended clinical use; (2) measure STER_nominal under zero-contention conditions; (3) measure STER under each reasonably foreseeable stressor class at clinical deployment intensities; (4) apply an acceptance criterion of STER_stressor ≤ STER_max (manufacturer-specified, risk-justified). This protocol operationalizes FDA Draft Guidance FDA-2024-D-4488's robustness assessment requirement with a concrete, reproducible, hardware-agnostic metric.</w:t>
      </w:r>
    </w:p>
    <w:p>
      <w:pPr>
        <w:pStyle w:val="Heading2"/>
        <w:spacing w:after="80" w:before="200"/>
      </w:pPr>
      <w:r>
        <w:rPr>
          <w:rFonts w:ascii="Arial" w:cs="Arial" w:eastAsia="Arial" w:hAnsi="Arial"/>
          <w:b/>
          <w:bCs/>
          <w:color w:val="2E6DA4"/>
          <w:sz w:val="22"/>
          <w:szCs w:val="22"/>
        </w:rPr>
        <w:t xml:space="preserve">D. Relationship to Companion Paper P1 (TFS)</w:t>
      </w:r>
    </w:p>
    <w:p>
      <w:pPr>
        <w:spacing w:after="100" w:before="60" w:line="276"/>
        <w:jc w:val="both"/>
      </w:pPr>
      <w:r>
        <w:rPr>
          <w:rFonts w:ascii="Arial" w:cs="Arial" w:eastAsia="Arial" w:hAnsi="Arial"/>
          <w:sz w:val="20"/>
          <w:szCs w:val="20"/>
        </w:rPr>
        <w:t xml:space="preserve">STER and TFS address complementary failure modes. TFS (companion paper P1) detects timing-layer execution deviation—when the task's measured inter-task period deviates from nominal. STER detects output-layer instability—when inference outputs deviate from nominal for identical inputs. A device can have elevated STER without triggering TFS (output instability from GPU scheduler non-determinism without timing-period deviation) and can trigger TFS without elevated STER (timing deviation from CPU contention that causes task period extension but not output value change). Together, TFS and STER provide layered coverage consistent with IEC 62304 Clause 6.3.2 defense-in-depth requirements.</w:t>
      </w:r>
    </w:p>
    <w:p>
      <w:pPr>
        <w:pStyle w:val="Heading2"/>
        <w:spacing w:after="80" w:before="200"/>
      </w:pPr>
      <w:r>
        <w:rPr>
          <w:rFonts w:ascii="Arial" w:cs="Arial" w:eastAsia="Arial" w:hAnsi="Arial"/>
          <w:b/>
          <w:bCs/>
          <w:color w:val="2E6DA4"/>
          <w:sz w:val="22"/>
          <w:szCs w:val="22"/>
        </w:rPr>
        <w:t xml:space="preserve">E.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characterized a pre-market validation gap for FDA-regulated edge AI medical devices: inference output stability under resource contention degrades significantly while model accuracy remains statistically unchanged, rendering accuracy-based pre-market testing structurally unable to detect this failure mode. The STER metric, defined against a clinically-motivated tolerance band T* = ±5% and evaluated on architecturally distinct Jetson and Coral platforms under five stressor classes, provides a candidate empirical test method for operationalizing FDA Draft Guidance FDA-2024-D-4488's robustness assessment requirement. The accuracy/stability dissociation—STER rising [X]–[X]× above baseline while Δaccuracy &lt; [X%]—is the primary finding, confirmed across all stressor conditions and both hardware architectures. STER is proposed as a candidate addition to pre-market validation protocols for edge-deployed SaMD, complementing TFS (timing-layer monitoring) in a layered defense-in-depth architecture consistent with IEC 62304 and ISO 14971.</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[ADD: ACM TOIT multi-tenancy throughput paper — Reaching for the Sky, 2022]</w:t>
      </w:r>
    </w:p>
    <w:p>
      <w:pPr>
        <w:spacing w:after="40" w:before="40"/>
        <w:ind w:left="480" w:hanging="480"/>
      </w:pPr>
      <w:r>
        <w:rPr>
          <w:rFonts w:ascii="Arial" w:cs="Arial" w:eastAsia="Arial" w:hAnsi="Arial"/>
          <w:color w:val="AA3300"/>
          <w:sz w:val="18"/>
          <w:szCs w:val="18"/>
        </w:rPr>
        <w:t xml:space="preserve">[4] [ADD: GPU isolation / performance isolation for inference processes — arXiv:2601.07600, 2026]</w:t>
      </w:r>
    </w:p>
    <w:p>
      <w:pPr>
        <w:spacing w:after="40" w:before="40"/>
        <w:ind w:left="480" w:hanging="480"/>
      </w:pPr>
      <w:r>
        <w:rPr>
          <w:rFonts w:ascii="Arial" w:cs="Arial" w:eastAsia="Arial" w:hAnsi="Arial"/>
          <w:color w:val="AA3300"/>
          <w:sz w:val="18"/>
          <w:szCs w:val="18"/>
        </w:rPr>
        <w:t xml:space="preserve">[5] [ADD: DeepEdgeBench — Baller et al., ResearchGate, 2021]</w:t>
      </w:r>
    </w:p>
    <w:p>
      <w:pPr>
        <w:spacing w:after="40" w:before="40"/>
        <w:ind w:left="480" w:hanging="480"/>
      </w:pPr>
      <w:r>
        <w:rPr>
          <w:rFonts w:ascii="Arial" w:cs="Arial" w:eastAsia="Arial" w:hAnsi="Arial"/>
          <w:color w:val="AA3300"/>
          <w:sz w:val="18"/>
          <w:szCs w:val="18"/>
        </w:rPr>
        <w:t xml:space="preserve">[6] [ADD: Edge Devices Inference Performance Comparison — arXiv:2306.12093, 2023]</w:t>
      </w:r>
    </w:p>
    <w:p>
      <w:pPr>
        <w:spacing w:after="40" w:before="40"/>
        <w:ind w:left="480" w:hanging="480"/>
      </w:pPr>
      <w:r>
        <w:rPr>
          <w:rFonts w:ascii="Arial" w:cs="Arial" w:eastAsia="Arial" w:hAnsi="Arial"/>
          <w:color w:val="AA3300"/>
          <w:sz w:val="18"/>
          <w:szCs w:val="18"/>
        </w:rPr>
        <w:t xml:space="preserve">[7] [ADD: Increasing Safety of Neural Networks in Medical Devices — Springer SAFECOMP 2019]</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[ADD: stress-ng tool citation — Paul E. McKenney]</w:t>
      </w:r>
    </w:p>
    <w:p>
      <w:pPr>
        <w:spacing w:after="40" w:before="40"/>
        <w:ind w:left="480" w:hanging="480"/>
      </w:pPr>
      <w:r>
        <w:rPr>
          <w:rFonts w:ascii="Arial" w:cs="Arial" w:eastAsia="Arial" w:hAnsi="Arial"/>
          <w:color w:val="AA3300"/>
          <w:sz w:val="18"/>
          <w:szCs w:val="18"/>
        </w:rPr>
        <w:t xml:space="preserve">[11] [ADD: Holoscan SDK / NVIDIA medical AI latency reference]</w:t>
      </w:r>
    </w:p>
    <w:p>
      <w:pPr>
        <w:spacing w:after="40" w:before="40"/>
        <w:ind w:left="480" w:hanging="480"/>
      </w:pPr>
      <w:r>
        <w:rPr>
          <w:rFonts w:ascii="Arial" w:cs="Arial" w:eastAsia="Arial" w:hAnsi="Arial"/>
          <w:color w:val="AA3300"/>
          <w:sz w:val="18"/>
          <w:szCs w:val="18"/>
        </w:rPr>
        <w:t xml:space="preserve">[12] [ADD: MobileNetV2 — Sandler et al., CVPR 2018]</w:t>
      </w:r>
    </w:p>
    <w:p>
      <w:pPr>
        <w:spacing w:after="40" w:before="40"/>
        <w:ind w:left="480" w:hanging="480"/>
      </w:pPr>
      <w:r>
        <w:rPr>
          <w:rFonts w:ascii="Arial" w:cs="Arial" w:eastAsia="Arial" w:hAnsi="Arial"/>
          <w:color w:val="AA3300"/>
          <w:sz w:val="18"/>
          <w:szCs w:val="18"/>
        </w:rPr>
        <w:t xml:space="preserve">[13] [ADD: TensorRT reference — NVIDIA Developer Documentation]</w:t>
      </w:r>
    </w:p>
    <w:p>
      <w:pPr>
        <w:spacing w:after="40" w:before="40"/>
        <w:ind w:left="480" w:hanging="480"/>
      </w:pPr>
      <w:r>
        <w:rPr>
          <w:rFonts w:ascii="Arial" w:cs="Arial" w:eastAsia="Arial" w:hAnsi="Arial"/>
          <w:color w:val="AA3300"/>
          <w:sz w:val="18"/>
          <w:szCs w:val="18"/>
        </w:rPr>
        <w:t xml:space="preserve">[14] [ADD: TFLite Edge TPU compiler reference — Google Coral Documentation]</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END OF DRAFT — All [X] placeholders to be replaced with experimental data before May 20, 2026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