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44"/>
          <w:szCs w:val="44"/>
        </w:rPr>
        <w:t xml:space="preserve">Technical Specification</w:t>
      </w:r>
    </w:p>
    <w:p>
      <w:pPr>
        <w:spacing w:after="360" w:before="0"/>
        <w:jc w:val="center"/>
      </w:pPr>
      <w:r>
        <w:rPr>
          <w:b/>
          <w:bCs/>
          <w:color w:val="2F5496"/>
          <w:sz w:val="30"/>
          <w:szCs w:val="30"/>
        </w:rPr>
        <w:t xml:space="preserve">Interface INT_XXXXI&lt;xxx&gt;_TEST_I044_Timesheet_ZALARIS_TO_FICOPROC_TBD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Document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Interface 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I&lt;xxx&gt;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TEST_I044_Timesheet_ZALARIS_TO_FICOPROC_TBD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1.0.7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Level3 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 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Interface Pattern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 Of Revision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Creation Date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Incident/CR Number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CI Pipeline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2026-07-15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Auto-generated from iFlow artifact via GitHub Actions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1. Detailed Functional Design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section captures the functional requirements of the interface. It is not derivable from the iFlow export and must be completed manually (link the FSD / mapping sheet).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2. Detailed Technical Design Specifications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section covers ABAP-side development (custom objects, enhancements, function modules). It is out of scope for automated generation from an iFlow export — complete manually if this interface includes ABAP-side components.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3. BTP-IS Technical Information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Covers SAP BTP Integration Suite components, configurations, and security details.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3.1 Package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Package / Bundle 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TEST_I044_Timesheet_ZALARIS_TO_FICOPROC_TBD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Bundle Version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1.0.7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Bundle SymbolicName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TEST_I044_Timesheet_ZALARIS_TO_FICOPROC_TBD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3.1.1 Integration Flow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TEST_I044_Timesheet_ZALARIS_TO_FICOPROC_TBD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Process_23456695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Namespace Mapping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 Header(s)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Return Exception to Sender</w:t>
            </w:r>
          </w:p>
        </w:tc>
        <w:tc>
          <w:tcPr>
            <w:tcW w:type="pct" w:w="6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script1.groovy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script2.groovy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Included in iFlow</w:t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Externalized Parameters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externalized parameters are defined in this iFlow.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3.2 Cloud Connector Configuration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Details connectivity between on-premise and cloud systems. Not derivable from the iFlow export — complete manually if this interface uses the Cloud Connector (e.g. an On-Premise proxy type appears in Section 3.7).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 Pallet Functions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Participants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SAPCI_3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EndpointSender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BB_FICOPROC_1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BB_FICOPROC_3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SAPCI_1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BB_FICOPROC_2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SAPCI_2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BB_FICOPROC_4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BB_FICOPROC_5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SAPCI_4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EndpointRecevier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Local Integration Process - Change Timesheet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 Process - Timesheet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Local Integration Process - RetryCount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Local Integration Process - Create Timesheet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IntegrationProcess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3.3.1 Start Event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Start 2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Marks the start of the process.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3.3.2 Groovy Script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Set_Soap_header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Custom transformation logic implemented in GET_SOAP_MESSAGE_ID_COMMON.groovy.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Attachment: attachments/GET_SOAP_MESSAGE_ID_COMMON.groovy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Remove_XML_Declaration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Custom transformation logic implemented in REMOVE_FIRST_LINE_WITHTAGXML.groovy.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Attachment: attachments/REMOVE_FIRST_LINE_WITHTAGXML.groovy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check_UpdateAPI_Response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Custom transformation logic implemented in script2.groovy.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Attachment: attachments/script2.groovy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3.3.3 Content Modifier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cm_Set_SOAPEnvelope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Content Modifier step that sets 2 headers.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Header —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constant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zfm_mm_7908_catimesheet_change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Content-Type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constant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text/xml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Body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Type: expression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Body: —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cm_set_MappedPayload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Content Modifier step that sets 1 exchange property.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Exchange Property —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ChangeTimesheetMappedPayload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expression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java.lang.String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${in.body}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Body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Type: constant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Body: —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3.3.4 Request-Reply / External Call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ReqRep_FICOPROC_ChangeTimesheet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Calls an external system via the adapter configured in Section 3.7 Connectivity.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See Section 3.7 Connectivity for the adapter/endpoint configuration this call uses.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3.3.5 ExclusiveGateway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route_CheckError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Step of type "ExclusiveGateway".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3.3.6 End Event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Escalation End - Change Timesheet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Marks the end of the process.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Name: End - Change Timesheet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Marks the end of the process.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High-Level Design</w:t>
      </w:r>
    </w:p>
    <w:p>
      <w:r>
        <w:drawing>
          <wp:inline distT="0" distB="0" distL="0" distR="0">
            <wp:extent cx="476250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Message Flow Diagram</w:t>
      </w:r>
    </w:p>
    <w:p>
      <w:r>
        <w:drawing>
          <wp:inline distT="0" distB="0" distL="0" distR="0">
            <wp:extent cx="4762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This iFlow contains 10 step(s) across 0 subprocess(es). Configured channels: HTTP (HTTP, Receiver), JMS (JMS, Receiver), HTTP (HTTP, Receiver).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3.4 Security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Details authentication, encryption, and access controls.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Authentication method(s) detected across configured channels: Basic.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Security Material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named credentials/keystore aliases were found in this iFlow's adapter configuration.</w:t>
      </w:r>
    </w:p>
    <w:p>
      <w:pPr>
        <w:spacing w:after="80"/>
      </w:pP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Security Observations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Automatically detected from iFlow configuration — verify at deployment.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JMS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Automatically detected from iFlow configuration — verify at deployment.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Automatically detected from iFlow configuration — verify at deployment.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3.5 Manage Stores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Describes message persistence mechanisms (Data Store, Variables, Number Ranges).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Data Store, Variable, or Number Range operations were found in this iFlow.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3.6 Monitoring and Error Handling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Captures error logging and alert mechanisms.</w:t>
      </w:r>
    </w:p>
    <w:p>
      <w:pPr>
        <w:spacing w:after="50" w:before="160"/>
      </w:pPr>
      <w:r>
        <w:rPr>
          <w:b/>
          <w:bCs/>
          <w:color w:val="1b2130"/>
          <w:sz w:val="22"/>
          <w:szCs w:val="22"/>
        </w:rPr>
        <w:t xml:space="preserve">Log Configuration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Log level is not explicitly configured in the iFlow XML — uses the tenant default; verify in the Monitor before go-live.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No exception subprocess was found in this iFlow — verify error handling is configured as expected.</w:t>
      </w:r>
    </w:p>
    <w:p>
      <w:pPr>
        <w:spacing w:after="60"/>
        <w:ind w:left="360"/>
      </w:pPr>
      <w:r>
        <w:rPr>
          <w:sz w:val="22"/>
          <w:szCs w:val="22"/>
        </w:rPr>
        <w:t xml:space="preserve">• No explicit exception subprocess was found in this iFlow.</w:t>
      </w:r>
    </w:p>
    <w:p>
      <w:pPr>
        <w:spacing w:after="80"/>
      </w:pP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 Connectivity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Defines network, proxy, and API configurations.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This iFlow has 3 configured channel(s): HTTP (HTTP, Receiver), JMS (JMS, Receiver), HTTP (HTTP, Receiver).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3.7.1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{{Host_Ficoproc}}/sap/bc/srt/scs/sap/zbapi_catimesheetmgr_insert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{{sap-client}}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sapcc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BB_FICOPROC_3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{{CredentialName}}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{{Host_Ficoproc}}/sap/bc/srt/scs/sap/zbapi_catimesheetmgr_insert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3.7.2 JMS (JMS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JMS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UseMessageCompression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1.6.3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QueueName_outbound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{{ResendQueue}}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SAPCI_4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EncryptMessage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RetentionThresholdAlerting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ExpirationPeriod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TransferExchangeProperties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1.6.3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AccessType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Non-Exclusive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375623"/>
          <w:sz w:val="26"/>
          <w:szCs w:val="26"/>
        </w:rPr>
        <w:t xml:space="preserve">3.7.3 HTTP (HTTP — Receiver)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Adapter / Component 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 Protocol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Address / Endpoint 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{{Host_Ficoproc}}/sap/bc/srt/scs/sap/zfm_mm_7908_catimesheet_change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Receiver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methodSourceExpression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apiArtifactType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providerAuth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privateKeyAlias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allowedResponseHeaders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internetProxyType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TransportProtocolVersion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proxyPort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enableMPLAttachments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{{sap-client}}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httpRequestTimeout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allowedRequestHeaders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httpShouldSendBody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throwExceptionOnFailure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proxyType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sapcc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retryIteration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proxyHost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retryOnConnectionFailure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BB_FICOPROC_2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authenticationMethod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locationID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retryInterval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credentialName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{{CredentialName}}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httpErrorResponseCodes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MessageProtocolVersion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httpAddressWithoutQuery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{{Host_Ficoproc}}/sap/bc/srt/scs/sap/zfm_mm_7908_catimesheet_change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providerRelativeUrl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4. Event Mesh Technical Information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Event Mesh components were detected in this iFlow. Section left for manual completion if applicable.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5. APIM Technical Information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API Management components were detected in this iFlow. Section left for manual completion if applicable.</w:t>
      </w: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6. Test Cases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Identify the test scenarios to be used to test the development with. (Mandatory)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Considerations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 of Testing (IS / OS / BO)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Test Date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successful processing of a valid message end-to-end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Inside SAP (IS)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connectivity/authentication for channel "HTTP"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Both (BO)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connectivity/authentication for channel "JMS"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Both (BO)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Verify connectivity/authentication for channel "HTTP"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Both (BO)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 w:before="280"/>
      </w:pPr>
      <w:r>
        <w:rPr>
          <w:b/>
          <w:bCs/>
          <w:color w:val="2F5496"/>
          <w:sz w:val="32"/>
          <w:szCs w:val="32"/>
        </w:rPr>
        <w:t xml:space="preserve">Appendix A: Automated Review Findings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Supplementary AI-generated review — not part of the standard TSD template, kept for convenience.</w:t>
      </w:r>
    </w:p>
    <w:p>
      <w:pPr>
        <w:spacing w:after="80"/>
      </w:pPr>
    </w:p>
    <w:p>
      <w:pPr>
        <w:spacing w:after="80"/>
      </w:pPr>
    </w:p>
    <w:p>
      <w:pPr>
        <w:spacing w:after="60"/>
        <w:ind w:left="360"/>
      </w:pPr>
      <w:r>
        <w:rPr>
          <w:sz w:val="22"/>
          <w:szCs w:val="22"/>
        </w:rPr>
        <w:t xml:space="preserve">• This document was generated automatically from the iFlow export — no external services were called and no data left this pipeline. Narrative fields are templated from the parsed configuration only; review and expand manually where deeper business context is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9dadd30523289801c2e2d082af52c74395c8c4.png"/><Relationship Id="rId8" Type="http://schemas.openxmlformats.org/officeDocument/2006/relationships/image" Target="media/f6f608e25ff2202ec005e1518c203f9285f269f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2026-07-15T03:55:07.144Z</dcterms:created>
  <dcterms:modified xsi:type="dcterms:W3CDTF">2026-07-15T03:55:07.144Z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