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3864"/>
          <w:sz w:val="44"/>
          <w:szCs w:val="44"/>
        </w:rPr>
        <w:t xml:space="preserve">Technical Specification</w:t>
      </w:r>
    </w:p>
    <w:p>
      <w:pPr>
        <w:spacing w:after="360" w:before="0"/>
        <w:jc w:val="center"/>
      </w:pPr>
      <w:r>
        <w:rPr>
          <w:b/>
          <w:bCs/>
          <w:color w:val="2F5496"/>
          <w:sz w:val="30"/>
          <w:szCs w:val="30"/>
        </w:rPr>
        <w:t xml:space="preserve">Interface INT_XXXXI&lt;xxx&gt;_ErrorHandlingUsingAI</w:t>
      </w:r>
    </w:p>
    <w:p>
      <w:pPr>
        <w:spacing w:after="80"/>
      </w:pPr>
    </w:p>
    <w:p>
      <w:pPr>
        <w:spacing w:after="80" w:before="280"/>
      </w:pPr>
      <w:r>
        <w:rPr>
          <w:b/>
          <w:bCs/>
          <w:color w:val="2F5496"/>
          <w:sz w:val="32"/>
          <w:szCs w:val="32"/>
        </w:rPr>
        <w:t xml:space="preserve">Document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I&lt;xxx&gt;</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Title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Level3 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Author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SAP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Interface Pattern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before="280"/>
      </w:pPr>
      <w:r>
        <w:rPr>
          <w:b/>
          <w:bCs/>
          <w:color w:val="2F5496"/>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Version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Author Of Revision</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Creation Date</w:t>
            </w:r>
          </w:p>
        </w:tc>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Comments</w:t>
            </w:r>
          </w:p>
        </w:tc>
        <w:tc>
          <w:tcPr>
            <w:tcW w:type="pct" w:w="1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Incident/CR Number</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1.0</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CI Pipeline</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2026-07-06</w:t>
            </w:r>
          </w:p>
        </w:tc>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Auto-generated from iFlow artifact via GitHub Actions</w:t>
            </w:r>
          </w:p>
        </w:tc>
        <w:tc>
          <w:tcPr>
            <w:tcW w:type="pct" w:w="1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80"/>
      </w:pPr>
    </w:p>
    <w:p>
      <w:pPr>
        <w:spacing w:after="80" w:before="280"/>
      </w:pPr>
      <w:r>
        <w:rPr>
          <w:b/>
          <w:bCs/>
          <w:color w:val="2F5496"/>
          <w:sz w:val="32"/>
          <w:szCs w:val="32"/>
        </w:rPr>
        <w:t xml:space="preserve">1. Detailed Functional Design</w:t>
      </w:r>
    </w:p>
    <w:p>
      <w:pPr>
        <w:spacing w:after="120"/>
      </w:pPr>
      <w:r>
        <w:rPr>
          <w:i/>
          <w:iCs/>
          <w:sz w:val="22"/>
          <w:szCs w:val="22"/>
        </w:rPr>
        <w:t xml:space="preserve">This section captures the functional requirements of the interface. It is not derivable from the iFlow export and must be completed manually (link the FSD / mapping sheet).</w:t>
      </w:r>
    </w:p>
    <w:p>
      <w:pPr>
        <w:spacing w:after="80"/>
      </w:pPr>
    </w:p>
    <w:p>
      <w:pPr>
        <w:spacing w:after="80" w:before="280"/>
      </w:pPr>
      <w:r>
        <w:rPr>
          <w:b/>
          <w:bCs/>
          <w:color w:val="2F5496"/>
          <w:sz w:val="32"/>
          <w:szCs w:val="32"/>
        </w:rPr>
        <w:t xml:space="preserve">2. Detailed Technical Design Specifications</w:t>
      </w:r>
    </w:p>
    <w:p>
      <w:pPr>
        <w:spacing w:after="120"/>
      </w:pPr>
      <w:r>
        <w:rPr>
          <w:i/>
          <w:iCs/>
          <w:sz w:val="22"/>
          <w:szCs w:val="22"/>
        </w:rPr>
        <w:t xml:space="preserve">This section covers ABAP-side development (custom objects, enhancements, function modules). It is out of scope for automated generation from an iFlow export — complete manually if this interface includes ABAP-side components.</w:t>
      </w:r>
    </w:p>
    <w:p>
      <w:pPr>
        <w:spacing w:after="80"/>
      </w:pPr>
    </w:p>
    <w:p>
      <w:pPr>
        <w:spacing w:after="80" w:before="280"/>
      </w:pPr>
      <w:r>
        <w:rPr>
          <w:b/>
          <w:bCs/>
          <w:color w:val="2F5496"/>
          <w:sz w:val="32"/>
          <w:szCs w:val="32"/>
        </w:rPr>
        <w:t xml:space="preserve">3. BTP-IS Technical Information</w:t>
      </w:r>
    </w:p>
    <w:p>
      <w:pPr>
        <w:spacing w:after="120"/>
      </w:pPr>
      <w:r>
        <w:rPr>
          <w:i w:val="false"/>
          <w:iCs w:val="false"/>
          <w:sz w:val="22"/>
          <w:szCs w:val="22"/>
        </w:rPr>
        <w:t xml:space="preserve">Covers SAP BTP Integration Suite components, configurations, and security details.</w:t>
      </w:r>
    </w:p>
    <w:p>
      <w:pPr>
        <w:spacing w:after="80"/>
      </w:pPr>
    </w:p>
    <w:p>
      <w:pPr>
        <w:spacing w:after="60" w:before="200"/>
      </w:pPr>
      <w:r>
        <w:rPr>
          <w:b/>
          <w:bCs/>
          <w:color w:val="375623"/>
          <w:sz w:val="26"/>
          <w:szCs w:val="26"/>
        </w:rPr>
        <w:t xml:space="preserve">3.1 Package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Package / Bundle 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Version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1.0.0</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Bundle SymbolicName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 singleton:=true</w:t>
            </w:r>
          </w:p>
        </w:tc>
      </w:tr>
    </w:tbl>
    <w:p>
      <w:pPr>
        <w:spacing w:after="80"/>
      </w:pPr>
    </w:p>
    <w:p>
      <w:pPr>
        <w:spacing w:after="50" w:before="160"/>
      </w:pPr>
      <w:r>
        <w:rPr>
          <w:b/>
          <w:bCs/>
          <w:color w:val="1b2130"/>
          <w:sz w:val="22"/>
          <w:szCs w:val="22"/>
        </w:rPr>
        <w:t xml:space="preserve">3.1.1 Integration Flow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Field</w:t>
            </w:r>
          </w:p>
        </w:tc>
        <w:tc>
          <w:tcPr>
            <w:tcW w:type="pct" w:w="65%"/>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ErrorHandlingUsingAI</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ID</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Process_1</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Namespace Mapping</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Allowed Header(s)</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35%"/>
            <w:tcBorders>
              <w:top w:val="single" w:color="CCCCCC" w:sz="4"/>
              <w:left w:val="single" w:color="CCCCCC" w:sz="4"/>
              <w:bottom w:val="single" w:color="CCCCCC" w:sz="4"/>
              <w:right w:val="single" w:color="CCCCCC" w:sz="4"/>
            </w:tcBorders>
            <w:vAlign w:val="center"/>
          </w:tcPr>
          <w:p>
            <w:r>
              <w:rPr>
                <w:sz w:val="18"/>
                <w:szCs w:val="18"/>
              </w:rPr>
              <w:t xml:space="preserve">Return Exception to Sender</w:t>
            </w:r>
          </w:p>
        </w:tc>
        <w:tc>
          <w:tcPr>
            <w:tcW w:type="pct" w:w="65%"/>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script1.groovy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script2.groovy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script3.groovy</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Script</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Included in iFlow</w:t>
            </w:r>
          </w:p>
        </w:tc>
      </w:tr>
    </w:tbl>
    <w:p>
      <w:pPr>
        <w:spacing w:after="80"/>
      </w:pPr>
    </w:p>
    <w:p>
      <w:pPr>
        <w:spacing w:after="50" w:before="160"/>
      </w:pPr>
      <w:r>
        <w:rPr>
          <w:b/>
          <w:bCs/>
          <w:color w:val="1b2130"/>
          <w:sz w:val="22"/>
          <w:szCs w:val="22"/>
        </w:rPr>
        <w:t xml:space="preserve">Externalized Parameters</w:t>
      </w:r>
    </w:p>
    <w:p>
      <w:pPr>
        <w:spacing w:after="120"/>
      </w:pPr>
      <w:r>
        <w:rPr>
          <w:i/>
          <w:iCs/>
          <w:sz w:val="22"/>
          <w:szCs w:val="22"/>
        </w:rPr>
        <w:t xml:space="preserve">No externalized parameters are defined in this iFlow.</w:t>
      </w:r>
    </w:p>
    <w:p>
      <w:pPr>
        <w:spacing w:after="80"/>
      </w:pPr>
    </w:p>
    <w:p>
      <w:pPr>
        <w:spacing w:after="80"/>
      </w:pPr>
    </w:p>
    <w:p>
      <w:pPr>
        <w:spacing w:after="60" w:before="200"/>
      </w:pPr>
      <w:r>
        <w:rPr>
          <w:b/>
          <w:bCs/>
          <w:color w:val="375623"/>
          <w:sz w:val="26"/>
          <w:szCs w:val="26"/>
        </w:rPr>
        <w:t xml:space="preserve">3.2 Cloud Connector Configuration</w:t>
      </w:r>
    </w:p>
    <w:p>
      <w:pPr>
        <w:spacing w:after="120"/>
      </w:pPr>
      <w:r>
        <w:rPr>
          <w:i/>
          <w:iCs/>
          <w:sz w:val="22"/>
          <w:szCs w:val="22"/>
        </w:rPr>
        <w:t xml:space="preserve">Details connectivity between on-premise and cloud systems. Not derivable from the iFlow export — complete manually if this interface uses the Cloud Connector (e.g. an On-Premise proxy type appears in Section 3.7).</w:t>
      </w:r>
    </w:p>
    <w:p>
      <w:pPr>
        <w:spacing w:after="80"/>
      </w:pPr>
    </w:p>
    <w:p>
      <w:pPr>
        <w:spacing w:after="60" w:before="200"/>
      </w:pPr>
      <w:r>
        <w:rPr>
          <w:b/>
          <w:bCs/>
          <w:color w:val="375623"/>
          <w:sz w:val="26"/>
          <w:szCs w:val="26"/>
        </w:rPr>
        <w:t xml:space="preserve">3.3 Pallet Functions</w:t>
      </w:r>
    </w:p>
    <w:p>
      <w:pPr>
        <w:spacing w:after="50" w:before="160"/>
      </w:pPr>
      <w:r>
        <w:rPr>
          <w:b/>
          <w:bCs/>
          <w:color w:val="1b2130"/>
          <w:sz w:val="22"/>
          <w:szCs w:val="22"/>
        </w:rPr>
        <w:t xml:space="preserve">Participants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Receiver</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Gemini_3</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EndpointRecevier</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 Process</w:t>
            </w:r>
          </w:p>
        </w:tc>
        <w:tc>
          <w:tcPr>
            <w:tcW w:type="pct" w:w="50%"/>
            <w:tcBorders>
              <w:top w:val="single" w:color="CCCCCC" w:sz="4"/>
              <w:left w:val="single" w:color="CCCCCC" w:sz="4"/>
              <w:bottom w:val="single" w:color="CCCCCC" w:sz="4"/>
              <w:right w:val="single" w:color="CCCCCC" w:sz="4"/>
            </w:tcBorders>
            <w:vAlign w:val="center"/>
          </w:tcPr>
          <w:p>
            <w:r>
              <w:rPr>
                <w:sz w:val="18"/>
                <w:szCs w:val="18"/>
              </w:rPr>
              <w:t xml:space="preserve">IntegrationProcess</w:t>
            </w:r>
          </w:p>
        </w:tc>
      </w:tr>
    </w:tbl>
    <w:p>
      <w:pPr>
        <w:spacing w:after="80"/>
      </w:pPr>
    </w:p>
    <w:p>
      <w:pPr>
        <w:spacing w:after="60" w:before="200"/>
      </w:pPr>
      <w:r>
        <w:rPr>
          <w:b/>
          <w:bCs/>
          <w:color w:val="375623"/>
          <w:sz w:val="26"/>
          <w:szCs w:val="26"/>
        </w:rPr>
        <w:t xml:space="preserve">3.3.1 Start Event</w:t>
      </w:r>
    </w:p>
    <w:p>
      <w:pPr>
        <w:spacing w:after="50" w:before="160"/>
      </w:pPr>
      <w:r>
        <w:rPr>
          <w:b/>
          <w:bCs/>
          <w:color w:val="1b2130"/>
          <w:sz w:val="22"/>
          <w:szCs w:val="22"/>
        </w:rPr>
        <w:t xml:space="preserve">Name: Start Timer 1</w:t>
      </w:r>
    </w:p>
    <w:p>
      <w:pPr>
        <w:spacing w:after="120"/>
      </w:pPr>
      <w:r>
        <w:rPr>
          <w:i w:val="false"/>
          <w:iCs w:val="false"/>
          <w:sz w:val="22"/>
          <w:szCs w:val="22"/>
        </w:rPr>
        <w:t xml:space="preserve">Initializes the integration process via a timer.</w:t>
      </w:r>
    </w:p>
    <w:p>
      <w:pPr>
        <w:spacing w:after="80"/>
      </w:pPr>
    </w:p>
    <w:p>
      <w:pPr>
        <w:spacing w:after="50" w:before="160"/>
      </w:pPr>
      <w:r>
        <w:rPr>
          <w:b/>
          <w:bCs/>
          <w:color w:val="1b2130"/>
          <w:sz w:val="22"/>
          <w:szCs w:val="22"/>
        </w:rPr>
        <w:t xml:space="preserve">Name: Error Start 1</w:t>
      </w:r>
    </w:p>
    <w:p>
      <w:pPr>
        <w:spacing w:after="120"/>
      </w:pPr>
      <w:r>
        <w:rPr>
          <w:i w:val="false"/>
          <w:iCs w:val="false"/>
          <w:sz w:val="22"/>
          <w:szCs w:val="22"/>
        </w:rPr>
        <w:t xml:space="preserve">Triggers the exception subprocess when an error occurs in the main flow.</w:t>
      </w:r>
    </w:p>
    <w:p>
      <w:pPr>
        <w:spacing w:after="80"/>
      </w:pPr>
    </w:p>
    <w:p>
      <w:pPr>
        <w:spacing w:after="60" w:before="200"/>
      </w:pPr>
      <w:r>
        <w:rPr>
          <w:b/>
          <w:bCs/>
          <w:color w:val="375623"/>
          <w:sz w:val="26"/>
          <w:szCs w:val="26"/>
        </w:rPr>
        <w:t xml:space="preserve">3.3.2 End Event</w:t>
      </w:r>
    </w:p>
    <w:p>
      <w:pPr>
        <w:spacing w:after="50" w:before="160"/>
      </w:pPr>
      <w:r>
        <w:rPr>
          <w:b/>
          <w:bCs/>
          <w:color w:val="1b2130"/>
          <w:sz w:val="22"/>
          <w:szCs w:val="22"/>
        </w:rPr>
        <w:t xml:space="preserve">Name: End</w:t>
      </w:r>
    </w:p>
    <w:p>
      <w:pPr>
        <w:spacing w:after="120"/>
      </w:pPr>
      <w:r>
        <w:rPr>
          <w:i w:val="false"/>
          <w:iCs w:val="false"/>
          <w:sz w:val="22"/>
          <w:szCs w:val="22"/>
        </w:rPr>
        <w:t xml:space="preserve">Terminates the main integration process.</w:t>
      </w:r>
    </w:p>
    <w:p>
      <w:pPr>
        <w:spacing w:after="80"/>
      </w:pPr>
    </w:p>
    <w:p>
      <w:pPr>
        <w:spacing w:after="50" w:before="160"/>
      </w:pPr>
      <w:r>
        <w:rPr>
          <w:b/>
          <w:bCs/>
          <w:color w:val="1b2130"/>
          <w:sz w:val="22"/>
          <w:szCs w:val="22"/>
        </w:rPr>
        <w:t xml:space="preserve">Name: End 1</w:t>
      </w:r>
    </w:p>
    <w:p>
      <w:pPr>
        <w:spacing w:after="120"/>
      </w:pPr>
      <w:r>
        <w:rPr>
          <w:i w:val="false"/>
          <w:iCs w:val="false"/>
          <w:sz w:val="22"/>
          <w:szCs w:val="22"/>
        </w:rPr>
        <w:t xml:space="preserve">Ends the exception subprocess after processing.</w:t>
      </w:r>
    </w:p>
    <w:p>
      <w:pPr>
        <w:spacing w:after="80"/>
      </w:pPr>
    </w:p>
    <w:p>
      <w:pPr>
        <w:spacing w:after="60" w:before="200"/>
      </w:pPr>
      <w:r>
        <w:rPr>
          <w:b/>
          <w:bCs/>
          <w:color w:val="375623"/>
          <w:sz w:val="26"/>
          <w:szCs w:val="26"/>
        </w:rPr>
        <w:t xml:space="preserve">3.3.3 Content Modifier</w:t>
      </w:r>
    </w:p>
    <w:p>
      <w:pPr>
        <w:spacing w:after="50" w:before="160"/>
      </w:pPr>
      <w:r>
        <w:rPr>
          <w:b/>
          <w:bCs/>
          <w:color w:val="1b2130"/>
          <w:sz w:val="22"/>
          <w:szCs w:val="22"/>
        </w:rPr>
        <w:t xml:space="preserve">Name: cm_setAPIKey_GenAIPrompt</w:t>
      </w:r>
    </w:p>
    <w:p>
      <w:pPr>
        <w:spacing w:after="120"/>
      </w:pPr>
      <w:r>
        <w:rPr>
          <w:i w:val="false"/>
          <w:iCs w:val="false"/>
          <w:sz w:val="22"/>
          <w:szCs w:val="22"/>
        </w:rPr>
        <w:t xml:space="preserve">Enriches the message with the AI prompt template and the Google API key.</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application/json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X-goog-api-key</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[REDACTED]</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Exchange Property —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GenAIPrompt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     "contents": [         {             "parts": [                 {                     "text": " You are an SAP Integration consultant skilled in troubleshooting in SAP Cloud Integration (CPI). Above error is persisting while sending the message from sender to receiver system. For this error, Please respond using the following format, with each section clearly separated by a single line break in a direct and professional tone: 1. User-Friendly Error Message: A one sentence error that can be easily understood by non-technical stakeholders 2. Possible Reasons for the Error: List common causes for encountering this error in SAP CPI integration scenarios. 3. Possible Steps to Resolve the Error: Provide possible troubleshooting steps to address the issue and potentially resolve it. 4. HTTP Response: Provide appropriate HTTP error code (numerical value only) to be sent to sender system. "                 }             ]         }     ]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StartPrompt</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"text": "</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CaptureCustomError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User-Friendly Error Message: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CapturePossibleSolution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Steps to Resolve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CapturePossibleReason</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Possible Reasons for the Error:</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CaptureHTTPCode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HTTP Response: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50" w:before="160"/>
      </w:pPr>
      <w:r>
        <w:rPr>
          <w:b/>
          <w:bCs/>
          <w:color w:val="1b2130"/>
          <w:sz w:val="22"/>
          <w:szCs w:val="22"/>
        </w:rPr>
        <w:t xml:space="preserve">Name: cm_setContentTypeErrorResponse</w:t>
      </w:r>
    </w:p>
    <w:p>
      <w:pPr>
        <w:spacing w:after="120"/>
      </w:pPr>
      <w:r>
        <w:rPr>
          <w:i w:val="false"/>
          <w:iCs w:val="false"/>
          <w:sz w:val="22"/>
          <w:szCs w:val="22"/>
        </w:rPr>
        <w:t xml:space="preserve">Sets the Content-Type header to application/xml for the final response.</w:t>
      </w:r>
    </w:p>
    <w:p>
      <w:pPr>
        <w:spacing w:after="50" w:before="160"/>
      </w:pPr>
      <w:r>
        <w:rPr>
          <w:b/>
          <w:bCs/>
          <w:color w:val="1b2130"/>
          <w:sz w:val="22"/>
          <w:szCs w:val="22"/>
        </w:rPr>
        <w:t xml:space="preserve">Message Header — Headers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Action</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Datatype</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c>
          <w:tcPr>
            <w:tcW w:type="pct" w:w="1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Default</w:t>
            </w:r>
          </w:p>
        </w:tc>
      </w:tr>
      <w:tr>
        <w:tc>
          <w:tcPr>
            <w:tcW w:type="pct" w:w="12%"/>
            <w:tcBorders>
              <w:top w:val="single" w:color="CCCCCC" w:sz="4"/>
              <w:left w:val="single" w:color="CCCCCC" w:sz="4"/>
              <w:bottom w:val="single" w:color="CCCCCC" w:sz="4"/>
              <w:right w:val="single" w:color="CCCCCC" w:sz="4"/>
            </w:tcBorders>
            <w:vAlign w:val="center"/>
          </w:tcPr>
          <w:p>
            <w:r>
              <w:rPr>
                <w:sz w:val="18"/>
                <w:szCs w:val="18"/>
              </w:rPr>
              <w:t xml:space="preserve">Create</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Content-Type</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constant</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application/xml</w:t>
            </w:r>
          </w:p>
        </w:tc>
        <w:tc>
          <w:tcPr>
            <w:tcW w:type="pct" w:w="12%"/>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50" w:before="160"/>
      </w:pPr>
      <w:r>
        <w:rPr>
          <w:b/>
          <w:bCs/>
          <w:color w:val="1b2130"/>
          <w:sz w:val="22"/>
          <w:szCs w:val="22"/>
        </w:rPr>
        <w:t xml:space="preserve">Message Body</w:t>
      </w:r>
    </w:p>
    <w:p>
      <w:pPr>
        <w:spacing w:after="120"/>
      </w:pPr>
      <w:r>
        <w:rPr>
          <w:i w:val="false"/>
          <w:iCs w:val="false"/>
          <w:sz w:val="22"/>
          <w:szCs w:val="22"/>
        </w:rPr>
        <w:t xml:space="preserve">Type: constant</w:t>
      </w:r>
    </w:p>
    <w:p>
      <w:pPr>
        <w:spacing w:after="120"/>
      </w:pPr>
      <w:r>
        <w:rPr>
          <w:i w:val="false"/>
          <w:iCs w:val="false"/>
          <w:sz w:val="22"/>
          <w:szCs w:val="22"/>
        </w:rPr>
        <w:t xml:space="preserve">Body: —</w:t>
      </w:r>
    </w:p>
    <w:p>
      <w:pPr>
        <w:spacing w:after="80"/>
      </w:pPr>
    </w:p>
    <w:p>
      <w:pPr>
        <w:spacing w:after="60" w:before="200"/>
      </w:pPr>
      <w:r>
        <w:rPr>
          <w:b/>
          <w:bCs/>
          <w:color w:val="375623"/>
          <w:sz w:val="26"/>
          <w:szCs w:val="26"/>
        </w:rPr>
        <w:t xml:space="preserve">3.3.4 Groovy Script</w:t>
      </w:r>
    </w:p>
    <w:p>
      <w:pPr>
        <w:spacing w:after="50" w:before="160"/>
      </w:pPr>
      <w:r>
        <w:rPr>
          <w:b/>
          <w:bCs/>
          <w:color w:val="1b2130"/>
          <w:sz w:val="22"/>
          <w:szCs w:val="22"/>
        </w:rPr>
        <w:t xml:space="preserve">Name: cm_setAIPrompt</w:t>
      </w:r>
    </w:p>
    <w:p>
      <w:pPr>
        <w:spacing w:after="120"/>
      </w:pPr>
      <w:r>
        <w:rPr>
          <w:i w:val="false"/>
          <w:iCs w:val="false"/>
          <w:sz w:val="22"/>
          <w:szCs w:val="22"/>
        </w:rPr>
        <w:t xml:space="preserve">Executes script1.groovy to inject the exception details into the prompt.</w:t>
      </w:r>
    </w:p>
    <w:p>
      <w:pPr>
        <w:spacing w:after="120"/>
      </w:pPr>
      <w:r>
        <w:rPr>
          <w:i w:val="false"/>
          <w:iCs w:val="false"/>
          <w:sz w:val="22"/>
          <w:szCs w:val="22"/>
        </w:rPr>
        <w:t xml:space="preserve">Attachment: attachments/script1.groovy</w:t>
      </w:r>
    </w:p>
    <w:p>
      <w:pPr>
        <w:spacing w:after="80"/>
      </w:pPr>
    </w:p>
    <w:p>
      <w:pPr>
        <w:spacing w:after="50" w:before="160"/>
      </w:pPr>
      <w:r>
        <w:rPr>
          <w:b/>
          <w:bCs/>
          <w:color w:val="1b2130"/>
          <w:sz w:val="22"/>
          <w:szCs w:val="22"/>
        </w:rPr>
        <w:t xml:space="preserve">Name: script_CaptureGenAIResponse</w:t>
      </w:r>
    </w:p>
    <w:p>
      <w:pPr>
        <w:spacing w:after="120"/>
      </w:pPr>
      <w:r>
        <w:rPr>
          <w:i w:val="false"/>
          <w:iCs w:val="false"/>
          <w:sz w:val="22"/>
          <w:szCs w:val="22"/>
        </w:rPr>
        <w:t xml:space="preserve">Executes script2.groovy to parse the AI response and extract troubleshooting data.</w:t>
      </w:r>
    </w:p>
    <w:p>
      <w:pPr>
        <w:spacing w:after="120"/>
      </w:pPr>
      <w:r>
        <w:rPr>
          <w:i w:val="false"/>
          <w:iCs w:val="false"/>
          <w:sz w:val="22"/>
          <w:szCs w:val="22"/>
        </w:rPr>
        <w:t xml:space="preserve">Attachment: attachments/script2.groovy</w:t>
      </w:r>
    </w:p>
    <w:p>
      <w:pPr>
        <w:spacing w:after="80"/>
      </w:pPr>
    </w:p>
    <w:p>
      <w:pPr>
        <w:spacing w:after="50" w:before="160"/>
      </w:pPr>
      <w:r>
        <w:rPr>
          <w:b/>
          <w:bCs/>
          <w:color w:val="1b2130"/>
          <w:sz w:val="22"/>
          <w:szCs w:val="22"/>
        </w:rPr>
        <w:t xml:space="preserve">Name: script_GenerateErrorResponse</w:t>
      </w:r>
    </w:p>
    <w:p>
      <w:pPr>
        <w:spacing w:after="120"/>
      </w:pPr>
      <w:r>
        <w:rPr>
          <w:i w:val="false"/>
          <w:iCs w:val="false"/>
          <w:sz w:val="22"/>
          <w:szCs w:val="22"/>
        </w:rPr>
        <w:t xml:space="preserve">Executes script3.groovy to generate the XML body and log custom headers.</w:t>
      </w:r>
    </w:p>
    <w:p>
      <w:pPr>
        <w:spacing w:after="120"/>
      </w:pPr>
      <w:r>
        <w:rPr>
          <w:i w:val="false"/>
          <w:iCs w:val="false"/>
          <w:sz w:val="22"/>
          <w:szCs w:val="22"/>
        </w:rPr>
        <w:t xml:space="preserve">Attachment: attachments/script3.groovy</w:t>
      </w:r>
    </w:p>
    <w:p>
      <w:pPr>
        <w:spacing w:after="80"/>
      </w:pPr>
    </w:p>
    <w:p>
      <w:pPr>
        <w:spacing w:after="60" w:before="200"/>
      </w:pPr>
      <w:r>
        <w:rPr>
          <w:b/>
          <w:bCs/>
          <w:color w:val="375623"/>
          <w:sz w:val="26"/>
          <w:szCs w:val="26"/>
        </w:rPr>
        <w:t xml:space="preserve">3.3.5 Request-Reply / External Call</w:t>
      </w:r>
    </w:p>
    <w:p>
      <w:pPr>
        <w:spacing w:after="50" w:before="160"/>
      </w:pPr>
      <w:r>
        <w:rPr>
          <w:b/>
          <w:bCs/>
          <w:color w:val="1b2130"/>
          <w:sz w:val="22"/>
          <w:szCs w:val="22"/>
        </w:rPr>
        <w:t xml:space="preserve">Name: RR_GenAI</w:t>
      </w:r>
    </w:p>
    <w:p>
      <w:pPr>
        <w:spacing w:after="120"/>
      </w:pPr>
      <w:r>
        <w:rPr>
          <w:i w:val="false"/>
          <w:iCs w:val="false"/>
          <w:sz w:val="22"/>
          <w:szCs w:val="22"/>
        </w:rPr>
        <w:t xml:space="preserve">Sends the formatted prompt to the Gemini API via a Request-Reply pattern.</w:t>
      </w:r>
    </w:p>
    <w:p>
      <w:pPr>
        <w:spacing w:after="120"/>
      </w:pPr>
      <w:r>
        <w:rPr>
          <w:i/>
          <w:iCs/>
          <w:sz w:val="22"/>
          <w:szCs w:val="22"/>
        </w:rPr>
        <w:t xml:space="preserve">See Section 3.7 Connectivity for the adapter/endpoint configuration this call uses.</w:t>
      </w:r>
    </w:p>
    <w:p>
      <w:pPr>
        <w:spacing w:after="80"/>
      </w:pPr>
    </w:p>
    <w:p>
      <w:pPr>
        <w:spacing w:after="50" w:before="160"/>
      </w:pPr>
      <w:r>
        <w:rPr>
          <w:b/>
          <w:bCs/>
          <w:color w:val="1b2130"/>
          <w:sz w:val="22"/>
          <w:szCs w:val="22"/>
        </w:rPr>
        <w:t xml:space="preserve">High-Level Design</w:t>
      </w:r>
    </w:p>
    <w:p>
      <w:r>
        <w:drawing>
          <wp:inline distT="0" distB="0" distL="0" distR="0">
            <wp:extent cx="4762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523875"/>
                    </a:xfrm>
                    <a:prstGeom prst="rect">
                      <a:avLst/>
                    </a:prstGeom>
                  </pic:spPr>
                </pic:pic>
              </a:graphicData>
            </a:graphic>
          </wp:inline>
        </w:drawing>
      </w:r>
    </w:p>
    <w:p>
      <w:pPr>
        <w:spacing w:after="80"/>
      </w:pPr>
    </w:p>
    <w:p>
      <w:pPr>
        <w:spacing w:after="50" w:before="160"/>
      </w:pPr>
      <w:r>
        <w:rPr>
          <w:b/>
          <w:bCs/>
          <w:color w:val="1b2130"/>
          <w:sz w:val="22"/>
          <w:szCs w:val="22"/>
        </w:rPr>
        <w:t xml:space="preserve">Message Flow Diagram</w:t>
      </w:r>
    </w:p>
    <w:p>
      <w:r>
        <w:drawing>
          <wp:inline distT="0" distB="0" distL="0" distR="0">
            <wp:extent cx="4762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362075"/>
                    </a:xfrm>
                    <a:prstGeom prst="rect">
                      <a:avLst/>
                    </a:prstGeom>
                  </pic:spPr>
                </pic:pic>
              </a:graphicData>
            </a:graphic>
          </wp:inline>
        </w:drawing>
      </w:r>
    </w:p>
    <w:p>
      <w:pPr>
        <w:spacing w:after="80"/>
      </w:pPr>
    </w:p>
    <w:p>
      <w:pPr>
        <w:spacing w:after="120"/>
      </w:pPr>
      <w:r>
        <w:rPr>
          <w:i w:val="false"/>
          <w:iCs w:val="false"/>
          <w:sz w:val="22"/>
          <w:szCs w:val="22"/>
        </w:rPr>
        <w:t xml:space="preserve">The flow is triggered by a timer and utilizes an Exception Subprocess to handle errors. Upon an exception, it constructs a prompt containing the error details, performs a synchronous Request-Reply call to the Gemini API, parses the JSON response, and generates a formatted XML error message before terminating with an explicit exception.</w:t>
      </w:r>
    </w:p>
    <w:p>
      <w:pPr>
        <w:spacing w:after="80"/>
      </w:pPr>
    </w:p>
    <w:p>
      <w:pPr>
        <w:spacing w:after="80"/>
      </w:pPr>
    </w:p>
    <w:p>
      <w:pPr>
        <w:spacing w:after="60" w:before="200"/>
      </w:pPr>
      <w:r>
        <w:rPr>
          <w:b/>
          <w:bCs/>
          <w:color w:val="375623"/>
          <w:sz w:val="26"/>
          <w:szCs w:val="26"/>
        </w:rPr>
        <w:t xml:space="preserve">3.4 Security</w:t>
      </w:r>
    </w:p>
    <w:p>
      <w:pPr>
        <w:spacing w:after="120"/>
      </w:pPr>
      <w:r>
        <w:rPr>
          <w:i w:val="false"/>
          <w:iCs w:val="false"/>
          <w:sz w:val="22"/>
          <w:szCs w:val="22"/>
        </w:rPr>
        <w:t xml:space="preserve">Details authentication, encryption, and access controls.</w:t>
      </w:r>
    </w:p>
    <w:p>
      <w:pPr>
        <w:spacing w:after="120"/>
      </w:pPr>
      <w:r>
        <w:rPr>
          <w:i w:val="false"/>
          <w:iCs w:val="false"/>
          <w:sz w:val="22"/>
          <w:szCs w:val="22"/>
        </w:rPr>
        <w:t xml:space="preserve">The iFlow uses Client Certificate authentication for the HTTP receiver and public key authentication for SFTP, but contains a hardcoded API key in the Content Modifier.</w:t>
      </w:r>
    </w:p>
    <w:p>
      <w:pPr>
        <w:spacing w:after="80"/>
      </w:pPr>
    </w:p>
    <w:p>
      <w:pPr>
        <w:spacing w:after="50" w:before="160"/>
      </w:pPr>
      <w:r>
        <w:rPr>
          <w:b/>
          <w:bCs/>
          <w:color w:val="1b2130"/>
          <w:sz w:val="22"/>
          <w:szCs w:val="22"/>
        </w:rPr>
        <w:t xml:space="preserve">Security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Name</w:t>
            </w:r>
          </w:p>
        </w:tc>
        <w:tc>
          <w:tcPr>
            <w:tcW w:type="pct" w:w="2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Type</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Status</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By</w:t>
            </w:r>
          </w:p>
        </w:tc>
        <w:tc>
          <w:tcPr>
            <w:tcW w:type="pct" w:w="16%"/>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Deployed On</w:t>
            </w:r>
          </w:p>
        </w:tc>
      </w:tr>
      <w:tr>
        <w:tc>
          <w:tcPr>
            <w:tcW w:type="pct" w:w="24%"/>
            <w:tcBorders>
              <w:top w:val="single" w:color="CCCCCC" w:sz="4"/>
              <w:left w:val="single" w:color="CCCCCC" w:sz="4"/>
              <w:bottom w:val="single" w:color="CCCCCC" w:sz="4"/>
              <w:right w:val="single" w:color="CCCCCC" w:sz="4"/>
            </w:tcBorders>
            <w:vAlign w:val="center"/>
          </w:tcPr>
          <w:p>
            <w:r>
              <w:rPr>
                <w:sz w:val="18"/>
                <w:szCs w:val="18"/>
              </w:rPr>
              <w:t xml:space="preserve">sftp_key</w:t>
            </w:r>
          </w:p>
        </w:tc>
        <w:tc>
          <w:tcPr>
            <w:tcW w:type="pct" w:w="24%"/>
            <w:tcBorders>
              <w:top w:val="single" w:color="CCCCCC" w:sz="4"/>
              <w:left w:val="single" w:color="CCCCCC" w:sz="4"/>
              <w:bottom w:val="single" w:color="CCCCCC" w:sz="4"/>
              <w:right w:val="single" w:color="CCCCCC" w:sz="4"/>
            </w:tcBorders>
            <w:vAlign w:val="center"/>
          </w:tcPr>
          <w:p>
            <w:r>
              <w:rPr>
                <w:sz w:val="18"/>
                <w:szCs w:val="18"/>
              </w:rPr>
              <w:t xml:space="preserve">public_key</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 verify at deployment</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c>
          <w:tcPr>
            <w:tcW w:type="pct" w:w="16%"/>
            <w:tcBorders>
              <w:top w:val="single" w:color="CCCCCC" w:sz="4"/>
              <w:left w:val="single" w:color="CCCCCC" w:sz="4"/>
              <w:bottom w:val="single" w:color="CCCCCC" w:sz="4"/>
              <w:right w:val="single" w:color="CCCCCC" w:sz="4"/>
            </w:tcBorders>
            <w:vAlign w:val="center"/>
          </w:tcPr>
          <w:p>
            <w:r>
              <w:rPr>
                <w:sz w:val="18"/>
                <w:szCs w:val="18"/>
              </w:rPr>
              <w:t xml:space="preserve">—</w:t>
            </w:r>
          </w:p>
        </w:tc>
      </w:tr>
    </w:tbl>
    <w:p>
      <w:pPr>
        <w:spacing w:after="80"/>
      </w:pPr>
    </w:p>
    <w:p>
      <w:pPr>
        <w:spacing w:after="50" w:before="160"/>
      </w:pPr>
      <w:r>
        <w:rPr>
          <w:b/>
          <w:bCs/>
          <w:color w:val="1b2130"/>
          <w:sz w:val="22"/>
          <w:szCs w:val="22"/>
        </w:rPr>
        <w:t xml:space="preserve">Security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Configuration</w:t>
            </w:r>
          </w:p>
        </w:tc>
        <w:tc>
          <w:tcPr>
            <w:tcW w:type="pct" w:w="42%"/>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Observation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HTTP Receiver</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Standard secure transport configuration.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SFTP Receiver</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Public Key</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Standard secure file transfer configuration.</w:t>
            </w:r>
          </w:p>
        </w:tc>
      </w:tr>
      <w:tr>
        <w:tc>
          <w:tcPr>
            <w:tcW w:type="pct" w:w="20%"/>
            <w:tcBorders>
              <w:top w:val="single" w:color="CCCCCC" w:sz="4"/>
              <w:left w:val="single" w:color="CCCCCC" w:sz="4"/>
              <w:bottom w:val="single" w:color="CCCCCC" w:sz="4"/>
              <w:right w:val="single" w:color="CCCCCC" w:sz="4"/>
            </w:tcBorders>
            <w:vAlign w:val="center"/>
          </w:tcPr>
          <w:p>
            <w:r>
              <w:rPr>
                <w:sz w:val="18"/>
                <w:szCs w:val="18"/>
              </w:rPr>
              <w:t xml:space="preserve">API Key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in Content Modifier</w:t>
            </w:r>
          </w:p>
        </w:tc>
        <w:tc>
          <w:tcPr>
            <w:tcW w:type="pct" w:w="42%"/>
            <w:tcBorders>
              <w:top w:val="single" w:color="CCCCCC" w:sz="4"/>
              <w:left w:val="single" w:color="CCCCCC" w:sz="4"/>
              <w:bottom w:val="single" w:color="CCCCCC" w:sz="4"/>
              <w:right w:val="single" w:color="CCCCCC" w:sz="4"/>
            </w:tcBorders>
            <w:vAlign w:val="center"/>
          </w:tcPr>
          <w:p>
            <w:r>
              <w:rPr>
                <w:sz w:val="18"/>
                <w:szCs w:val="18"/>
              </w:rPr>
              <w:t xml:space="preserve">Critical security risk; must be moved to a secure credential artifact.</w:t>
            </w:r>
          </w:p>
        </w:tc>
      </w:tr>
    </w:tbl>
    <w:p>
      <w:pPr>
        <w:spacing w:after="80"/>
      </w:pPr>
    </w:p>
    <w:p>
      <w:pPr>
        <w:spacing w:after="80"/>
      </w:pPr>
    </w:p>
    <w:p>
      <w:pPr>
        <w:spacing w:after="60" w:before="200"/>
      </w:pPr>
      <w:r>
        <w:rPr>
          <w:b/>
          <w:bCs/>
          <w:color w:val="375623"/>
          <w:sz w:val="26"/>
          <w:szCs w:val="26"/>
        </w:rPr>
        <w:t xml:space="preserve">3.5 Manage Stores</w:t>
      </w:r>
    </w:p>
    <w:p>
      <w:pPr>
        <w:spacing w:after="120"/>
      </w:pPr>
      <w:r>
        <w:rPr>
          <w:i w:val="false"/>
          <w:iCs w:val="false"/>
          <w:sz w:val="22"/>
          <w:szCs w:val="22"/>
        </w:rPr>
        <w:t xml:space="preserve">Describes message persistence mechanisms (Data Store, Variables, Number Ranges).</w:t>
      </w:r>
    </w:p>
    <w:p>
      <w:pPr>
        <w:spacing w:after="120"/>
      </w:pPr>
      <w:r>
        <w:rPr>
          <w:i/>
          <w:iCs/>
          <w:sz w:val="22"/>
          <w:szCs w:val="22"/>
        </w:rPr>
        <w:t xml:space="preserve">No Data Store, Variable, or Number Range operations were found in this iFlow.</w:t>
      </w:r>
    </w:p>
    <w:p>
      <w:pPr>
        <w:spacing w:after="80"/>
      </w:pPr>
    </w:p>
    <w:p>
      <w:pPr>
        <w:spacing w:after="60" w:before="200"/>
      </w:pPr>
      <w:r>
        <w:rPr>
          <w:b/>
          <w:bCs/>
          <w:color w:val="375623"/>
          <w:sz w:val="26"/>
          <w:szCs w:val="26"/>
        </w:rPr>
        <w:t xml:space="preserve">3.6 Monitoring and Error Handling</w:t>
      </w:r>
    </w:p>
    <w:p>
      <w:pPr>
        <w:spacing w:after="120"/>
      </w:pPr>
      <w:r>
        <w:rPr>
          <w:i w:val="false"/>
          <w:iCs w:val="false"/>
          <w:sz w:val="22"/>
          <w:szCs w:val="22"/>
        </w:rPr>
        <w:t xml:space="preserve">Captures error logging and alert mechanisms.</w:t>
      </w:r>
    </w:p>
    <w:p>
      <w:pPr>
        <w:spacing w:after="50" w:before="160"/>
      </w:pPr>
      <w:r>
        <w:rPr>
          <w:b/>
          <w:bCs/>
          <w:color w:val="1b2130"/>
          <w:sz w:val="22"/>
          <w:szCs w:val="22"/>
        </w:rPr>
        <w:t xml:space="preserve">Log Configuration</w:t>
      </w:r>
    </w:p>
    <w:p>
      <w:pPr>
        <w:spacing w:after="120"/>
      </w:pPr>
      <w:r>
        <w:rPr>
          <w:i/>
          <w:iCs/>
          <w:sz w:val="22"/>
          <w:szCs w:val="22"/>
        </w:rPr>
        <w:t xml:space="preserve">Log level is not explicitly configured in the iFlow XML — uses the tenant default; verify in the Monitor before go-live.</w:t>
      </w:r>
    </w:p>
    <w:p>
      <w:pPr>
        <w:spacing w:after="120"/>
      </w:pPr>
      <w:r>
        <w:rPr>
          <w:i w:val="false"/>
          <w:iCs w:val="false"/>
          <w:sz w:val="22"/>
          <w:szCs w:val="22"/>
        </w:rPr>
        <w:t xml:space="preserve">The iFlow uses the MessageLogFactory to add custom header properties and attachments for debugging purposes.</w:t>
      </w:r>
    </w:p>
    <w:p>
      <w:pPr>
        <w:spacing w:after="60"/>
        <w:ind w:left="360"/>
      </w:pPr>
      <w:r>
        <w:rPr>
          <w:sz w:val="22"/>
          <w:szCs w:val="22"/>
        </w:rPr>
        <w:t xml:space="preserve">• Exception Subprocess 1: Acts as the global error handler for the integration process.</w:t>
      </w:r>
    </w:p>
    <w:p>
      <w:pPr>
        <w:spacing w:after="60"/>
        <w:ind w:left="360"/>
      </w:pPr>
      <w:r>
        <w:rPr>
          <w:sz w:val="22"/>
          <w:szCs w:val="22"/>
        </w:rPr>
        <w:t xml:space="preserve">• script3.groovy: Explicitly throws a new exception after generating the XML response, ensuring the original error is not swallowed.</w:t>
      </w:r>
    </w:p>
    <w:p>
      <w:pPr>
        <w:spacing w:after="60"/>
        <w:ind w:left="360"/>
      </w:pPr>
      <w:r>
        <w:rPr>
          <w:sz w:val="22"/>
          <w:szCs w:val="22"/>
        </w:rPr>
        <w:t xml:space="preserve">• Request-Reply (RR_GenAI): Configured with 'throwExceptionOnFailure' enabled, ensuring API errors are caught.</w:t>
      </w:r>
    </w:p>
    <w:p>
      <w:pPr>
        <w:spacing w:after="80"/>
      </w:pPr>
    </w:p>
    <w:p>
      <w:pPr>
        <w:spacing w:after="80"/>
      </w:pPr>
    </w:p>
    <w:p>
      <w:pPr>
        <w:spacing w:after="60" w:before="200"/>
      </w:pPr>
      <w:r>
        <w:rPr>
          <w:b/>
          <w:bCs/>
          <w:color w:val="375623"/>
          <w:sz w:val="26"/>
          <w:szCs w:val="26"/>
        </w:rPr>
        <w:t xml:space="preserve">3.7 Connectivity</w:t>
      </w:r>
    </w:p>
    <w:p>
      <w:pPr>
        <w:spacing w:after="120"/>
      </w:pPr>
      <w:r>
        <w:rPr>
          <w:i w:val="false"/>
          <w:iCs w:val="false"/>
          <w:sz w:val="22"/>
          <w:szCs w:val="22"/>
        </w:rPr>
        <w:t xml:space="preserve">Defines network, proxy, and API configurations.</w:t>
      </w:r>
    </w:p>
    <w:p>
      <w:pPr>
        <w:spacing w:after="120"/>
      </w:pPr>
      <w:r>
        <w:rPr>
          <w:i w:val="false"/>
          <w:iCs w:val="false"/>
          <w:sz w:val="22"/>
          <w:szCs w:val="22"/>
        </w:rPr>
        <w:t xml:space="preserve">The flow connects to an external Google API via HTTPS and an external SFTP cloud service, utilizing a SOCKS5 proxy for the SFTP connection.</w:t>
      </w:r>
    </w:p>
    <w:p>
      <w:pPr>
        <w:spacing w:after="80"/>
      </w:pPr>
    </w:p>
    <w:p>
      <w:pPr>
        <w:spacing w:after="60" w:before="200"/>
      </w:pPr>
      <w:r>
        <w:rPr>
          <w:b/>
          <w:bCs/>
          <w:color w:val="375623"/>
          <w:sz w:val="26"/>
          <w:szCs w:val="26"/>
        </w:rPr>
        <w:t xml:space="preserve">3.7.1 HTTP (HTTP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methodSourceExpression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apiArtifactType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providerAuth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POST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apiprovider_location_id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allowedResponseHeaders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internetProxyType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streaming</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enableMPLAttachments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httpRequestTimeout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60000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allowedRequestHeaders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Content-Type|X-goog-api-key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httpShouldSendBody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throwExceptionOnFailure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true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default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retryIteration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retryOnConnectionFailure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false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authenticationMethod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Client Certificate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retryInterval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httpErrorResponseCodes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1.19.2</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httpAddressWithoutQuery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https://generativelanguage.googleapis.com/v1beta/models/gemini-3.1-flash-lite:generateContent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providerRelativeUrl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bl>
    <w:p>
      <w:pPr>
        <w:spacing w:after="80"/>
      </w:pPr>
    </w:p>
    <w:p>
      <w:pPr>
        <w:spacing w:after="60" w:before="200"/>
      </w:pPr>
      <w:r>
        <w:rPr>
          <w:b/>
          <w:bCs/>
          <w:color w:val="375623"/>
          <w:sz w:val="26"/>
          <w:szCs w:val="26"/>
        </w:rPr>
        <w:t xml:space="preserve">3.7.2 SFTP (SFTP —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Property</w:t>
            </w:r>
          </w:p>
        </w:tc>
        <w:tc>
          <w:tcPr>
            <w:tcW w:type="pct" w:w="6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Value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Adapter / Component 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 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Address / Endpoint URL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Direction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disconnect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test.xml</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Description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maximumReconnectAttempts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3</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stepwise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fileExist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Override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autoCreate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privateKeyAlias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[REDACTED]</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location_id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TransportProtocolVersion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flatten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sftpSecEnabled</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useTempFile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path</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/Test</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proxyPort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8080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eu-central-1.sftpcloud.io</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connectTimeout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fastExistsCheck</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authentication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public_key</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fileAppendTimeStamp</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credential_name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proxyProtocol</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socks5</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proxyType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none</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proxyAlias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reconnectDelay</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1000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proxyHost</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system</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Receiver</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tempFileName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${file:name}.tmp</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allowDeprecatedAlgorithms</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0</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MessageProtocolVersion</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1.20.1</w:t>
            </w:r>
          </w:p>
        </w:tc>
      </w:tr>
      <w:tr>
        <w:tc>
          <w:tcPr>
            <w:tcW w:type="pct" w:w="40%"/>
            <w:tcBorders>
              <w:top w:val="single" w:color="CCCCCC" w:sz="4"/>
              <w:left w:val="single" w:color="CCCCCC" w:sz="4"/>
              <w:bottom w:val="single" w:color="CCCCCC" w:sz="4"/>
              <w:right w:val="single" w:color="CCCCCC" w:sz="4"/>
            </w:tcBorders>
            <w:vAlign w:val="center"/>
          </w:tcPr>
          <w:p>
            <w:r>
              <w:rPr>
                <w:sz w:val="18"/>
                <w:szCs w:val="18"/>
              </w:rPr>
              <w:t xml:space="preserve">username</w:t>
            </w:r>
          </w:p>
        </w:tc>
        <w:tc>
          <w:tcPr>
            <w:tcW w:type="pct" w:w="60%"/>
            <w:tcBorders>
              <w:top w:val="single" w:color="CCCCCC" w:sz="4"/>
              <w:left w:val="single" w:color="CCCCCC" w:sz="4"/>
              <w:bottom w:val="single" w:color="CCCCCC" w:sz="4"/>
              <w:right w:val="single" w:color="CCCCCC" w:sz="4"/>
            </w:tcBorders>
            <w:vAlign w:val="center"/>
          </w:tcPr>
          <w:p>
            <w:r>
              <w:rPr>
                <w:sz w:val="18"/>
                <w:szCs w:val="18"/>
              </w:rPr>
              <w:t xml:space="preserve">sftp_key</w:t>
            </w:r>
          </w:p>
        </w:tc>
      </w:tr>
    </w:tbl>
    <w:p>
      <w:pPr>
        <w:spacing w:after="80"/>
      </w:pPr>
    </w:p>
    <w:p>
      <w:pPr>
        <w:spacing w:after="80"/>
      </w:pPr>
    </w:p>
    <w:p>
      <w:pPr>
        <w:spacing w:after="80"/>
      </w:pPr>
    </w:p>
    <w:p>
      <w:pPr>
        <w:spacing w:after="80" w:before="280"/>
      </w:pPr>
      <w:r>
        <w:rPr>
          <w:b/>
          <w:bCs/>
          <w:color w:val="2F5496"/>
          <w:sz w:val="32"/>
          <w:szCs w:val="32"/>
        </w:rPr>
        <w:t xml:space="preserve">4. Event Mesh Technical Information</w:t>
      </w:r>
    </w:p>
    <w:p>
      <w:pPr>
        <w:spacing w:after="120"/>
      </w:pPr>
      <w:r>
        <w:rPr>
          <w:i/>
          <w:iCs/>
          <w:sz w:val="22"/>
          <w:szCs w:val="22"/>
        </w:rPr>
        <w:t xml:space="preserve">No Event Mesh components were detected in this iFlow. Section left for manual completion if applicable.</w:t>
      </w:r>
    </w:p>
    <w:p>
      <w:pPr>
        <w:spacing w:after="80"/>
      </w:pPr>
    </w:p>
    <w:p>
      <w:pPr>
        <w:spacing w:after="80" w:before="280"/>
      </w:pPr>
      <w:r>
        <w:rPr>
          <w:b/>
          <w:bCs/>
          <w:color w:val="2F5496"/>
          <w:sz w:val="32"/>
          <w:szCs w:val="32"/>
        </w:rPr>
        <w:t xml:space="preserve">5. APIM Technical Information</w:t>
      </w:r>
    </w:p>
    <w:p>
      <w:pPr>
        <w:spacing w:after="120"/>
      </w:pPr>
      <w:r>
        <w:rPr>
          <w:i/>
          <w:iCs/>
          <w:sz w:val="22"/>
          <w:szCs w:val="22"/>
        </w:rPr>
        <w:t xml:space="preserve">No API Management components were detected in this iFlow. Section left for manual completion if applicable.</w:t>
      </w:r>
    </w:p>
    <w:p>
      <w:pPr>
        <w:spacing w:after="80"/>
      </w:pPr>
    </w:p>
    <w:p>
      <w:pPr>
        <w:spacing w:after="80" w:before="280"/>
      </w:pPr>
      <w:r>
        <w:rPr>
          <w:b/>
          <w:bCs/>
          <w:color w:val="2F5496"/>
          <w:sz w:val="32"/>
          <w:szCs w:val="32"/>
        </w:rPr>
        <w:t xml:space="preserve">6. Test Cases</w:t>
      </w:r>
    </w:p>
    <w:p>
      <w:pPr>
        <w:spacing w:after="120"/>
      </w:pPr>
      <w:r>
        <w:rPr>
          <w:i w:val="false"/>
          <w:iCs w:val="false"/>
          <w:sz w:val="22"/>
          <w:szCs w:val="22"/>
        </w:rPr>
        <w:t xml:space="preserve">Identify the test scenarios to be used to test the development with. (Mandatory)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Test Considerations</w:t>
            </w:r>
          </w:p>
        </w:tc>
        <w:tc>
          <w:tcPr>
            <w:tcW w:type="pct" w:w="3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Scope of Testing (IS / OS / BO)</w:t>
            </w:r>
          </w:p>
        </w:tc>
        <w:tc>
          <w:tcPr>
            <w:tcW w:type="pct" w:w="2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Target Test Date</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Verify error handling triggers when the primary integration fails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Validate Gemini API response parsing for various error types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OS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Test SFTP connectivity and file write permissions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BO</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r>
        <w:tc>
          <w:tcPr>
            <w:tcW w:type="pct" w:w="50%"/>
            <w:tcBorders>
              <w:top w:val="single" w:color="CCCCCC" w:sz="4"/>
              <w:left w:val="single" w:color="CCCCCC" w:sz="4"/>
              <w:bottom w:val="single" w:color="CCCCCC" w:sz="4"/>
              <w:right w:val="single" w:color="CCCCCC" w:sz="4"/>
            </w:tcBorders>
            <w:vAlign w:val="center"/>
          </w:tcPr>
          <w:p>
            <w:r>
              <w:rPr>
                <w:sz w:val="18"/>
                <w:szCs w:val="18"/>
              </w:rPr>
              <w:t xml:space="preserve">Confirm the final XML response format matches schema requirements</w:t>
            </w:r>
          </w:p>
        </w:tc>
        <w:tc>
          <w:tcPr>
            <w:tcW w:type="pct" w:w="30%"/>
            <w:tcBorders>
              <w:top w:val="single" w:color="CCCCCC" w:sz="4"/>
              <w:left w:val="single" w:color="CCCCCC" w:sz="4"/>
              <w:bottom w:val="single" w:color="CCCCCC" w:sz="4"/>
              <w:right w:val="single" w:color="CCCCCC" w:sz="4"/>
            </w:tcBorders>
            <w:vAlign w:val="center"/>
          </w:tcPr>
          <w:p>
            <w:r>
              <w:rPr>
                <w:sz w:val="18"/>
                <w:szCs w:val="18"/>
              </w:rPr>
              <w:t xml:space="preserve">IS</w:t>
            </w:r>
          </w:p>
        </w:tc>
        <w:tc>
          <w:tcPr>
            <w:tcW w:type="pct" w:w="20%"/>
            <w:tcBorders>
              <w:top w:val="single" w:color="CCCCCC" w:sz="4"/>
              <w:left w:val="single" w:color="CCCCCC" w:sz="4"/>
              <w:bottom w:val="single" w:color="CCCCCC" w:sz="4"/>
              <w:right w:val="single" w:color="CCCCCC" w:sz="4"/>
            </w:tcBorders>
            <w:vAlign w:val="center"/>
          </w:tcPr>
          <w:p>
            <w:r>
              <w:rPr>
                <w:sz w:val="18"/>
                <w:szCs w:val="18"/>
              </w:rPr>
              <w:t xml:space="preserve">TBD</w:t>
            </w:r>
          </w:p>
        </w:tc>
      </w:tr>
    </w:tbl>
    <w:p>
      <w:pPr>
        <w:spacing w:after="80"/>
      </w:pPr>
    </w:p>
    <w:p>
      <w:pPr>
        <w:spacing w:after="80"/>
      </w:pPr>
    </w:p>
    <w:p>
      <w:pPr>
        <w:spacing w:after="80" w:before="280"/>
      </w:pPr>
      <w:r>
        <w:rPr>
          <w:b/>
          <w:bCs/>
          <w:color w:val="2F5496"/>
          <w:sz w:val="32"/>
          <w:szCs w:val="32"/>
        </w:rPr>
        <w:t xml:space="preserve">Appendix A: Automated Review Findings</w:t>
      </w:r>
    </w:p>
    <w:p>
      <w:pPr>
        <w:spacing w:after="120"/>
      </w:pPr>
      <w:r>
        <w:rPr>
          <w:i/>
          <w:iCs/>
          <w:sz w:val="22"/>
          <w:szCs w:val="22"/>
        </w:rPr>
        <w:t xml:space="preserve">Supplementary AI-generated review — not part of the standard TSD template, kept for convenience.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0%"/>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Severity</w:t>
            </w:r>
          </w:p>
        </w:tc>
        <w:tc>
          <w:tcPr>
            <w:tcW w:type="pct" w:w="14%"/>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Area</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Finding</w:t>
            </w:r>
          </w:p>
        </w:tc>
        <w:tc>
          <w:tcPr>
            <w:tcW w:type="pct" w:w="38%"/>
            <w:tcBorders>
              <w:top w:val="single" w:color="CCCCCC" w:sz="4"/>
              <w:left w:val="single" w:color="CCCCCC" w:sz="4"/>
              <w:bottom w:val="single" w:color="CCCCCC" w:sz="4"/>
              <w:right w:val="single" w:color="CCCCCC" w:sz="4"/>
            </w:tcBorders>
            <w:shd w:fill="1F3864" w:color="auto" w:val="clear"/>
            <w:vAlign w:val="center"/>
          </w:tcPr>
          <w:p>
            <w:r>
              <w:rPr>
                <w:b/>
                <w:bCs/>
                <w:color w:val="FFFFFF"/>
                <w:sz w:val="18"/>
                <w:szCs w:val="18"/>
              </w:rPr>
              <w:t xml:space="preserve">Recommendation</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High</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Security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API Key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Move the Google API key to an externalized parameter or secure credential artifact.</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Medium</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Design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Redundant Exception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script3.groovy throws an exception at the end of the error flow, which may cause unnecessary retries or misleading logs.</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Design</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Start Timer</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iFlow uses a Start Timer, which is unusual for an error-handling utility; verify if this should be a callable sub-process instead.</w:t>
            </w:r>
          </w:p>
        </w:tc>
      </w:tr>
      <w:tr>
        <w:tc>
          <w:tcPr>
            <w:tcW w:type="pct" w:w="10%"/>
            <w:tcBorders>
              <w:top w:val="single" w:color="CCCCCC" w:sz="4"/>
              <w:left w:val="single" w:color="CCCCCC" w:sz="4"/>
              <w:bottom w:val="single" w:color="CCCCCC" w:sz="4"/>
              <w:right w:val="single" w:color="CCCCCC" w:sz="4"/>
            </w:tcBorders>
            <w:vAlign w:val="center"/>
          </w:tcPr>
          <w:p>
            <w:r>
              <w:rPr>
                <w:sz w:val="18"/>
                <w:szCs w:val="18"/>
              </w:rPr>
              <w:t xml:space="preserve">🟡 Low</w:t>
            </w:r>
          </w:p>
        </w:tc>
        <w:tc>
          <w:tcPr>
            <w:tcW w:type="pct" w:w="14%"/>
            <w:tcBorders>
              <w:top w:val="single" w:color="CCCCCC" w:sz="4"/>
              <w:left w:val="single" w:color="CCCCCC" w:sz="4"/>
              <w:bottom w:val="single" w:color="CCCCCC" w:sz="4"/>
              <w:right w:val="single" w:color="CCCCCC" w:sz="4"/>
            </w:tcBorders>
            <w:vAlign w:val="center"/>
          </w:tcPr>
          <w:p>
            <w:r>
              <w:rPr>
                <w:sz w:val="18"/>
                <w:szCs w:val="18"/>
              </w:rPr>
              <w:t xml:space="preserve">Maintainability</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Hardcoded Prompts</w:t>
            </w:r>
          </w:p>
        </w:tc>
        <w:tc>
          <w:tcPr>
            <w:tcW w:type="pct" w:w="38%"/>
            <w:tcBorders>
              <w:top w:val="single" w:color="CCCCCC" w:sz="4"/>
              <w:left w:val="single" w:color="CCCCCC" w:sz="4"/>
              <w:bottom w:val="single" w:color="CCCCCC" w:sz="4"/>
              <w:right w:val="single" w:color="CCCCCC" w:sz="4"/>
            </w:tcBorders>
            <w:vAlign w:val="center"/>
          </w:tcPr>
          <w:p>
            <w:r>
              <w:rPr>
                <w:sz w:val="18"/>
                <w:szCs w:val="18"/>
              </w:rPr>
              <w:t xml:space="preserve">The AI prompt is hardcoded in the Content Modifier; consider moving this to an external configuration file.</w:t>
            </w:r>
          </w:p>
        </w:tc>
      </w:tr>
    </w:tbl>
    <w:p>
      <w:pPr>
        <w:spacing w:after="80"/>
      </w:pPr>
    </w:p>
    <w:p>
      <w:pPr>
        <w:spacing w:after="60"/>
        <w:ind w:left="360"/>
      </w:pPr>
      <w:r>
        <w:rPr>
          <w:sz w:val="22"/>
          <w:szCs w:val="22"/>
        </w:rPr>
        <w:t xml:space="preserve">• Verify if the Google API key provided in the Content Modifier is valid and has sufficient quota.</w:t>
      </w:r>
    </w:p>
    <w:p>
      <w:pPr>
        <w:spacing w:after="60"/>
        <w:ind w:left="360"/>
      </w:pPr>
      <w:r>
        <w:rPr>
          <w:sz w:val="22"/>
          <w:szCs w:val="22"/>
        </w:rPr>
        <w:t xml:space="preserve">• Confirm that the SFTP server path '/Test' exists and is writable.</w:t>
      </w:r>
    </w:p>
    <w:p>
      <w:pPr>
        <w:spacing w:after="60"/>
        <w:ind w:left="360"/>
      </w:pPr>
      <w:r>
        <w:rPr>
          <w:sz w:val="22"/>
          <w:szCs w:val="22"/>
        </w:rPr>
        <w:t xml:space="preserve">• Check if the 'Gemini-3.1-flash-lite' model is the correct model identifier for the intended API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d4e1424869c332916d9de4cb2c0500eb89a3df.png"/><Relationship Id="rId8" Type="http://schemas.openxmlformats.org/officeDocument/2006/relationships/image" Target="media/5c00a811cf94d62526e1aff37edfad67d6a830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2026-07-06T11:29:54.798Z</dcterms:created>
  <dcterms:modified xsi:type="dcterms:W3CDTF">2026-07-06T11:29:54.798Z</dcterms:modified>
</cp:coreProperties>
</file>

<file path=docProps/custom.xml><?xml version="1.0" encoding="utf-8"?>
<Properties xmlns="http://schemas.openxmlformats.org/officeDocument/2006/custom-properties" xmlns:vt="http://schemas.openxmlformats.org/officeDocument/2006/docPropsVTypes"/>
</file>