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color w:val="1F3864"/>
          <w:sz w:val="44"/>
          <w:szCs w:val="44"/>
        </w:rPr>
        <w:t xml:space="preserve">Technical Specification</w:t>
      </w:r>
    </w:p>
    <w:p>
      <w:pPr>
        <w:spacing w:after="360" w:before="0"/>
        <w:jc w:val="center"/>
      </w:pPr>
      <w:r>
        <w:rPr>
          <w:b/>
          <w:bCs/>
          <w:color w:val="2F5496"/>
          <w:sz w:val="30"/>
          <w:szCs w:val="30"/>
        </w:rPr>
        <w:t xml:space="preserve">Interface INT_XXXXI&lt;xxx&gt;_ErrorHandlingUsingAI</w:t>
      </w:r>
    </w:p>
    <w:p>
      <w:pPr>
        <w:spacing w:after="80"/>
      </w:pPr>
    </w:p>
    <w:p>
      <w:pPr>
        <w:spacing w:after="80" w:before="280"/>
      </w:pPr>
      <w:r>
        <w:rPr>
          <w:b/>
          <w:bCs/>
          <w:color w:val="2F5496"/>
          <w:sz w:val="32"/>
          <w:szCs w:val="32"/>
        </w:rPr>
        <w:t xml:space="preserve">Document Identification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Field</w:t>
            </w:r>
          </w:p>
        </w:tc>
        <w:tc>
          <w:tcPr>
            <w:tcW w:type="pct" w:w="6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Interface ID</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I&lt;xxx&gt;</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Title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ErrorHandlingUsingAI</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Version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1.0.0</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Level3 ID</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Author</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SAP Version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Interface Pattern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bl>
    <w:p>
      <w:pPr>
        <w:spacing w:after="80"/>
      </w:pPr>
    </w:p>
    <w:p>
      <w:pPr>
        <w:spacing w:after="80" w:before="280"/>
      </w:pPr>
      <w:r>
        <w:rPr>
          <w:b/>
          <w:bCs/>
          <w:color w:val="2F5496"/>
          <w:sz w:val="32"/>
          <w:szCs w:val="32"/>
        </w:rPr>
        <w:t xml:space="preserve">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Version</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Author Of Revision</w:t>
            </w:r>
          </w:p>
        </w:tc>
        <w:tc>
          <w:tcPr>
            <w:tcW w:type="pct" w:w="1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Creation Date</w:t>
            </w:r>
          </w:p>
        </w:tc>
        <w:tc>
          <w:tcPr>
            <w:tcW w:type="pct" w:w="4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Comments</w:t>
            </w:r>
          </w:p>
        </w:tc>
        <w:tc>
          <w:tcPr>
            <w:tcW w:type="pct" w:w="1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Incident/CR Number</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1.0</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CI Pipeline</w:t>
            </w:r>
          </w:p>
        </w:tc>
        <w:tc>
          <w:tcPr>
            <w:tcW w:type="pct" w:w="15%"/>
            <w:tcBorders>
              <w:top w:val="single" w:color="CCCCCC" w:sz="4"/>
              <w:left w:val="single" w:color="CCCCCC" w:sz="4"/>
              <w:bottom w:val="single" w:color="CCCCCC" w:sz="4"/>
              <w:right w:val="single" w:color="CCCCCC" w:sz="4"/>
            </w:tcBorders>
            <w:vAlign w:val="center"/>
          </w:tcPr>
          <w:p>
            <w:r>
              <w:rPr>
                <w:sz w:val="18"/>
                <w:szCs w:val="18"/>
              </w:rPr>
              <w:t xml:space="preserve">2026-07-05</w:t>
            </w:r>
          </w:p>
        </w:tc>
        <w:tc>
          <w:tcPr>
            <w:tcW w:type="pct" w:w="40%"/>
            <w:tcBorders>
              <w:top w:val="single" w:color="CCCCCC" w:sz="4"/>
              <w:left w:val="single" w:color="CCCCCC" w:sz="4"/>
              <w:bottom w:val="single" w:color="CCCCCC" w:sz="4"/>
              <w:right w:val="single" w:color="CCCCCC" w:sz="4"/>
            </w:tcBorders>
            <w:vAlign w:val="center"/>
          </w:tcPr>
          <w:p>
            <w:r>
              <w:rPr>
                <w:sz w:val="18"/>
                <w:szCs w:val="18"/>
              </w:rPr>
              <w:t xml:space="preserve">Auto-generated from iFlow artifact via GitHub Actions</w:t>
            </w:r>
          </w:p>
        </w:tc>
        <w:tc>
          <w:tcPr>
            <w:tcW w:type="pct" w:w="15%"/>
            <w:tcBorders>
              <w:top w:val="single" w:color="CCCCCC" w:sz="4"/>
              <w:left w:val="single" w:color="CCCCCC" w:sz="4"/>
              <w:bottom w:val="single" w:color="CCCCCC" w:sz="4"/>
              <w:right w:val="single" w:color="CCCCCC" w:sz="4"/>
            </w:tcBorders>
            <w:vAlign w:val="center"/>
          </w:tcPr>
          <w:p>
            <w:r>
              <w:rPr>
                <w:sz w:val="18"/>
                <w:szCs w:val="18"/>
              </w:rPr>
              <w:t xml:space="preserve">—</w:t>
            </w:r>
          </w:p>
        </w:tc>
      </w:tr>
    </w:tbl>
    <w:p>
      <w:pPr>
        <w:spacing w:after="80"/>
      </w:pPr>
    </w:p>
    <w:p>
      <w:pPr>
        <w:spacing w:after="80"/>
      </w:pPr>
    </w:p>
    <w:p>
      <w:pPr>
        <w:spacing w:after="80" w:before="280"/>
      </w:pPr>
      <w:r>
        <w:rPr>
          <w:b/>
          <w:bCs/>
          <w:color w:val="2F5496"/>
          <w:sz w:val="32"/>
          <w:szCs w:val="32"/>
        </w:rPr>
        <w:t xml:space="preserve">1. Detailed Functional Design</w:t>
      </w:r>
    </w:p>
    <w:p>
      <w:pPr>
        <w:spacing w:after="120"/>
      </w:pPr>
      <w:r>
        <w:rPr>
          <w:i/>
          <w:iCs/>
          <w:sz w:val="22"/>
          <w:szCs w:val="22"/>
        </w:rPr>
        <w:t xml:space="preserve">This section captures the functional requirements of the interface. It is not derivable from the iFlow export and must be completed manually (link the FSD / mapping sheet).</w:t>
      </w:r>
    </w:p>
    <w:p>
      <w:pPr>
        <w:spacing w:after="80"/>
      </w:pPr>
    </w:p>
    <w:p>
      <w:pPr>
        <w:spacing w:after="80" w:before="280"/>
      </w:pPr>
      <w:r>
        <w:rPr>
          <w:b/>
          <w:bCs/>
          <w:color w:val="2F5496"/>
          <w:sz w:val="32"/>
          <w:szCs w:val="32"/>
        </w:rPr>
        <w:t xml:space="preserve">2. Detailed Technical Design Specifications</w:t>
      </w:r>
    </w:p>
    <w:p>
      <w:pPr>
        <w:spacing w:after="120"/>
      </w:pPr>
      <w:r>
        <w:rPr>
          <w:i/>
          <w:iCs/>
          <w:sz w:val="22"/>
          <w:szCs w:val="22"/>
        </w:rPr>
        <w:t xml:space="preserve">This section covers ABAP-side development (custom objects, enhancements, function modules). It is out of scope for automated generation from an iFlow export — complete manually if this interface includes ABAP-side components.</w:t>
      </w:r>
    </w:p>
    <w:p>
      <w:pPr>
        <w:spacing w:after="80"/>
      </w:pPr>
    </w:p>
    <w:p>
      <w:pPr>
        <w:spacing w:after="80" w:before="280"/>
      </w:pPr>
      <w:r>
        <w:rPr>
          <w:b/>
          <w:bCs/>
          <w:color w:val="2F5496"/>
          <w:sz w:val="32"/>
          <w:szCs w:val="32"/>
        </w:rPr>
        <w:t xml:space="preserve">3. BTP-IS Technical Information</w:t>
      </w:r>
    </w:p>
    <w:p>
      <w:pPr>
        <w:spacing w:after="120"/>
      </w:pPr>
      <w:r>
        <w:rPr>
          <w:i w:val="false"/>
          <w:iCs w:val="false"/>
          <w:sz w:val="22"/>
          <w:szCs w:val="22"/>
        </w:rPr>
        <w:t xml:space="preserve">Covers SAP BTP Integration Suite components, configurations, and security details.</w:t>
      </w:r>
    </w:p>
    <w:p>
      <w:pPr>
        <w:spacing w:after="80"/>
      </w:pPr>
    </w:p>
    <w:p>
      <w:pPr>
        <w:spacing w:after="60" w:before="200"/>
      </w:pPr>
      <w:r>
        <w:rPr>
          <w:b/>
          <w:bCs/>
          <w:color w:val="375623"/>
          <w:sz w:val="26"/>
          <w:szCs w:val="26"/>
        </w:rPr>
        <w:t xml:space="preserve">3.1 Package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Field</w:t>
            </w:r>
          </w:p>
        </w:tc>
        <w:tc>
          <w:tcPr>
            <w:tcW w:type="pct" w:w="6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Package / Bundle Name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ErrorHandlingUsingAI</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Bundle Version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1.0.0</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Bundle SymbolicName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ErrorHandlingUsingAI; singleton:=true</w:t>
            </w:r>
          </w:p>
        </w:tc>
      </w:tr>
    </w:tbl>
    <w:p>
      <w:pPr>
        <w:spacing w:after="80"/>
      </w:pPr>
    </w:p>
    <w:p>
      <w:pPr>
        <w:spacing w:after="50" w:before="160"/>
      </w:pPr>
      <w:r>
        <w:rPr>
          <w:b/>
          <w:bCs/>
          <w:color w:val="1b2130"/>
          <w:sz w:val="22"/>
          <w:szCs w:val="22"/>
        </w:rPr>
        <w:t xml:space="preserve">3.1.1 Integration Flow Details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Field</w:t>
            </w:r>
          </w:p>
        </w:tc>
        <w:tc>
          <w:tcPr>
            <w:tcW w:type="pct" w:w="65%"/>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Name</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ErrorHandlingUsingAI</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ID</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Process_1</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Description</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Namespace Mapping</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Allowed Header(s)</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35%"/>
            <w:tcBorders>
              <w:top w:val="single" w:color="CCCCCC" w:sz="4"/>
              <w:left w:val="single" w:color="CCCCCC" w:sz="4"/>
              <w:bottom w:val="single" w:color="CCCCCC" w:sz="4"/>
              <w:right w:val="single" w:color="CCCCCC" w:sz="4"/>
            </w:tcBorders>
            <w:vAlign w:val="center"/>
          </w:tcPr>
          <w:p>
            <w:r>
              <w:rPr>
                <w:sz w:val="18"/>
                <w:szCs w:val="18"/>
              </w:rPr>
              <w:t xml:space="preserve">Return Exception to Sender</w:t>
            </w:r>
          </w:p>
        </w:tc>
        <w:tc>
          <w:tcPr>
            <w:tcW w:type="pct" w:w="65%"/>
            <w:tcBorders>
              <w:top w:val="single" w:color="CCCCCC" w:sz="4"/>
              <w:left w:val="single" w:color="CCCCCC" w:sz="4"/>
              <w:bottom w:val="single" w:color="CCCCCC" w:sz="4"/>
              <w:right w:val="single" w:color="CCCCCC" w:sz="4"/>
            </w:tcBorders>
            <w:vAlign w:val="center"/>
          </w:tcPr>
          <w:p>
            <w:r>
              <w:rPr>
                <w:sz w:val="18"/>
                <w:szCs w:val="18"/>
              </w:rPr>
              <w:t xml:space="preserve">—</w:t>
            </w:r>
          </w:p>
        </w:tc>
      </w:tr>
    </w:tbl>
    <w:p>
      <w:pPr>
        <w:spacing w:after="80"/>
      </w:pPr>
    </w:p>
    <w:p>
      <w:pPr>
        <w:spacing w:after="50" w:before="160"/>
      </w:pPr>
      <w:r>
        <w:rPr>
          <w:b/>
          <w:bCs/>
          <w:color w:val="1b2130"/>
          <w:sz w:val="22"/>
          <w:szCs w:val="22"/>
        </w:rPr>
        <w:t xml:space="preserve">Resources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Action</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script1.groovy</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Script</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Included in iFlow</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script2.groovy</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Script</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Included in iFlow</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script3.groovy</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Script</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Included in iFlow</w:t>
            </w:r>
          </w:p>
        </w:tc>
      </w:tr>
    </w:tbl>
    <w:p>
      <w:pPr>
        <w:spacing w:after="80"/>
      </w:pPr>
    </w:p>
    <w:p>
      <w:pPr>
        <w:spacing w:after="50" w:before="160"/>
      </w:pPr>
      <w:r>
        <w:rPr>
          <w:b/>
          <w:bCs/>
          <w:color w:val="1b2130"/>
          <w:sz w:val="22"/>
          <w:szCs w:val="22"/>
        </w:rPr>
        <w:t xml:space="preserve">Externalized Parameters</w:t>
      </w:r>
    </w:p>
    <w:p>
      <w:pPr>
        <w:spacing w:after="120"/>
      </w:pPr>
      <w:r>
        <w:rPr>
          <w:i/>
          <w:iCs/>
          <w:sz w:val="22"/>
          <w:szCs w:val="22"/>
        </w:rPr>
        <w:t xml:space="preserve">No externalized parameters are defined in this iFlow.</w:t>
      </w:r>
    </w:p>
    <w:p>
      <w:pPr>
        <w:spacing w:after="80"/>
      </w:pPr>
    </w:p>
    <w:p>
      <w:pPr>
        <w:spacing w:after="80"/>
      </w:pPr>
    </w:p>
    <w:p>
      <w:pPr>
        <w:spacing w:after="60" w:before="200"/>
      </w:pPr>
      <w:r>
        <w:rPr>
          <w:b/>
          <w:bCs/>
          <w:color w:val="375623"/>
          <w:sz w:val="26"/>
          <w:szCs w:val="26"/>
        </w:rPr>
        <w:t xml:space="preserve">3.2 Cloud Connector Configuration</w:t>
      </w:r>
    </w:p>
    <w:p>
      <w:pPr>
        <w:spacing w:after="120"/>
      </w:pPr>
      <w:r>
        <w:rPr>
          <w:i/>
          <w:iCs/>
          <w:sz w:val="22"/>
          <w:szCs w:val="22"/>
        </w:rPr>
        <w:t xml:space="preserve">Details connectivity between on-premise and cloud systems. Not derivable from the iFlow export — complete manually if this interface uses the Cloud Connector (e.g. an On-Premise proxy type appears in Section 3.7).</w:t>
      </w:r>
    </w:p>
    <w:p>
      <w:pPr>
        <w:spacing w:after="80"/>
      </w:pPr>
    </w:p>
    <w:p>
      <w:pPr>
        <w:spacing w:after="60" w:before="200"/>
      </w:pPr>
      <w:r>
        <w:rPr>
          <w:b/>
          <w:bCs/>
          <w:color w:val="375623"/>
          <w:sz w:val="26"/>
          <w:szCs w:val="26"/>
        </w:rPr>
        <w:t xml:space="preserve">3.3 Pallet Functions</w:t>
      </w:r>
    </w:p>
    <w:p>
      <w:pPr>
        <w:spacing w:after="50" w:before="160"/>
      </w:pPr>
      <w:r>
        <w:rPr>
          <w:b/>
          <w:bCs/>
          <w:color w:val="1b2130"/>
          <w:sz w:val="22"/>
          <w:szCs w:val="22"/>
        </w:rPr>
        <w:t xml:space="preserve">Participants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5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Receiver</w:t>
            </w:r>
          </w:p>
        </w:tc>
        <w:tc>
          <w:tcPr>
            <w:tcW w:type="pct" w:w="50%"/>
            <w:tcBorders>
              <w:top w:val="single" w:color="CCCCCC" w:sz="4"/>
              <w:left w:val="single" w:color="CCCCCC" w:sz="4"/>
              <w:bottom w:val="single" w:color="CCCCCC" w:sz="4"/>
              <w:right w:val="single" w:color="CCCCCC" w:sz="4"/>
            </w:tcBorders>
            <w:vAlign w:val="center"/>
          </w:tcPr>
          <w:p>
            <w:r>
              <w:rPr>
                <w:sz w:val="18"/>
                <w:szCs w:val="18"/>
              </w:rPr>
              <w:t xml:space="preserve">EndpointRecevier</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Gemini_3</w:t>
            </w:r>
          </w:p>
        </w:tc>
        <w:tc>
          <w:tcPr>
            <w:tcW w:type="pct" w:w="50%"/>
            <w:tcBorders>
              <w:top w:val="single" w:color="CCCCCC" w:sz="4"/>
              <w:left w:val="single" w:color="CCCCCC" w:sz="4"/>
              <w:bottom w:val="single" w:color="CCCCCC" w:sz="4"/>
              <w:right w:val="single" w:color="CCCCCC" w:sz="4"/>
            </w:tcBorders>
            <w:vAlign w:val="center"/>
          </w:tcPr>
          <w:p>
            <w:r>
              <w:rPr>
                <w:sz w:val="18"/>
                <w:szCs w:val="18"/>
              </w:rPr>
              <w:t xml:space="preserve">EndpointRecevier</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Integration Process</w:t>
            </w:r>
          </w:p>
        </w:tc>
        <w:tc>
          <w:tcPr>
            <w:tcW w:type="pct" w:w="50%"/>
            <w:tcBorders>
              <w:top w:val="single" w:color="CCCCCC" w:sz="4"/>
              <w:left w:val="single" w:color="CCCCCC" w:sz="4"/>
              <w:bottom w:val="single" w:color="CCCCCC" w:sz="4"/>
              <w:right w:val="single" w:color="CCCCCC" w:sz="4"/>
            </w:tcBorders>
            <w:vAlign w:val="center"/>
          </w:tcPr>
          <w:p>
            <w:r>
              <w:rPr>
                <w:sz w:val="18"/>
                <w:szCs w:val="18"/>
              </w:rPr>
              <w:t xml:space="preserve">IntegrationProcess</w:t>
            </w:r>
          </w:p>
        </w:tc>
      </w:tr>
    </w:tbl>
    <w:p>
      <w:pPr>
        <w:spacing w:after="80"/>
      </w:pPr>
    </w:p>
    <w:p>
      <w:pPr>
        <w:spacing w:after="60" w:before="200"/>
      </w:pPr>
      <w:r>
        <w:rPr>
          <w:b/>
          <w:bCs/>
          <w:color w:val="375623"/>
          <w:sz w:val="26"/>
          <w:szCs w:val="26"/>
        </w:rPr>
        <w:t xml:space="preserve">3.3.1 Start Event</w:t>
      </w:r>
    </w:p>
    <w:p>
      <w:pPr>
        <w:spacing w:after="50" w:before="160"/>
      </w:pPr>
      <w:r>
        <w:rPr>
          <w:b/>
          <w:bCs/>
          <w:color w:val="1b2130"/>
          <w:sz w:val="22"/>
          <w:szCs w:val="22"/>
        </w:rPr>
        <w:t xml:space="preserve">Name: Start Timer 1</w:t>
      </w:r>
    </w:p>
    <w:p>
      <w:pPr>
        <w:spacing w:after="120"/>
      </w:pPr>
      <w:r>
        <w:rPr>
          <w:i w:val="false"/>
          <w:iCs w:val="false"/>
          <w:sz w:val="22"/>
          <w:szCs w:val="22"/>
        </w:rPr>
        <w:t xml:space="preserve">This is a placeholder timer start event that initiates the integration process.</w:t>
      </w:r>
    </w:p>
    <w:p>
      <w:pPr>
        <w:spacing w:after="80"/>
      </w:pPr>
    </w:p>
    <w:p>
      <w:pPr>
        <w:spacing w:after="50" w:before="160"/>
      </w:pPr>
      <w:r>
        <w:rPr>
          <w:b/>
          <w:bCs/>
          <w:color w:val="1b2130"/>
          <w:sz w:val="22"/>
          <w:szCs w:val="22"/>
        </w:rPr>
        <w:t xml:space="preserve">Name: Error Start 1</w:t>
      </w:r>
    </w:p>
    <w:p>
      <w:pPr>
        <w:spacing w:after="120"/>
      </w:pPr>
      <w:r>
        <w:rPr>
          <w:i w:val="false"/>
          <w:iCs w:val="false"/>
          <w:sz w:val="22"/>
          <w:szCs w:val="22"/>
        </w:rPr>
        <w:t xml:space="preserve">This is the entry point for the Exception Subprocess, triggered when an error occurs in the main flow.</w:t>
      </w:r>
    </w:p>
    <w:p>
      <w:pPr>
        <w:spacing w:after="80"/>
      </w:pPr>
    </w:p>
    <w:p>
      <w:pPr>
        <w:spacing w:after="60" w:before="200"/>
      </w:pPr>
      <w:r>
        <w:rPr>
          <w:b/>
          <w:bCs/>
          <w:color w:val="375623"/>
          <w:sz w:val="26"/>
          <w:szCs w:val="26"/>
        </w:rPr>
        <w:t xml:space="preserve">3.3.2 End Event</w:t>
      </w:r>
    </w:p>
    <w:p>
      <w:pPr>
        <w:spacing w:after="50" w:before="160"/>
      </w:pPr>
      <w:r>
        <w:rPr>
          <w:b/>
          <w:bCs/>
          <w:color w:val="1b2130"/>
          <w:sz w:val="22"/>
          <w:szCs w:val="22"/>
        </w:rPr>
        <w:t xml:space="preserve">Name: End</w:t>
      </w:r>
    </w:p>
    <w:p>
      <w:pPr>
        <w:spacing w:after="120"/>
      </w:pPr>
      <w:r>
        <w:rPr>
          <w:i w:val="false"/>
          <w:iCs w:val="false"/>
          <w:sz w:val="22"/>
          <w:szCs w:val="22"/>
        </w:rPr>
        <w:t xml:space="preserve">This is a placeholder end event for the main integration process.</w:t>
      </w:r>
    </w:p>
    <w:p>
      <w:pPr>
        <w:spacing w:after="80"/>
      </w:pPr>
    </w:p>
    <w:p>
      <w:pPr>
        <w:spacing w:after="50" w:before="160"/>
      </w:pPr>
      <w:r>
        <w:rPr>
          <w:b/>
          <w:bCs/>
          <w:color w:val="1b2130"/>
          <w:sz w:val="22"/>
          <w:szCs w:val="22"/>
        </w:rPr>
        <w:t xml:space="preserve">Name: End 1</w:t>
      </w:r>
    </w:p>
    <w:p>
      <w:pPr>
        <w:spacing w:after="120"/>
      </w:pPr>
      <w:r>
        <w:rPr>
          <w:i w:val="false"/>
          <w:iCs w:val="false"/>
          <w:sz w:val="22"/>
          <w:szCs w:val="22"/>
        </w:rPr>
        <w:t xml:space="preserve">This is the end event for the Exception Subprocess.</w:t>
      </w:r>
    </w:p>
    <w:p>
      <w:pPr>
        <w:spacing w:after="80"/>
      </w:pPr>
    </w:p>
    <w:p>
      <w:pPr>
        <w:spacing w:after="60" w:before="200"/>
      </w:pPr>
      <w:r>
        <w:rPr>
          <w:b/>
          <w:bCs/>
          <w:color w:val="375623"/>
          <w:sz w:val="26"/>
          <w:szCs w:val="26"/>
        </w:rPr>
        <w:t xml:space="preserve">3.3.3 Content Modifier</w:t>
      </w:r>
    </w:p>
    <w:p>
      <w:pPr>
        <w:spacing w:after="50" w:before="160"/>
      </w:pPr>
      <w:r>
        <w:rPr>
          <w:b/>
          <w:bCs/>
          <w:color w:val="1b2130"/>
          <w:sz w:val="22"/>
          <w:szCs w:val="22"/>
        </w:rPr>
        <w:t xml:space="preserve">Name: cm_setAPIKey_GenAIPrompt</w:t>
      </w:r>
    </w:p>
    <w:p>
      <w:pPr>
        <w:spacing w:after="120"/>
      </w:pPr>
      <w:r>
        <w:rPr>
          <w:i w:val="false"/>
          <w:iCs w:val="false"/>
          <w:sz w:val="22"/>
          <w:szCs w:val="22"/>
        </w:rPr>
        <w:t xml:space="preserve">This Content Modifier initializes the AI prompt, sets the Content-Type header, and includes the hardcoded Google API key.</w:t>
      </w:r>
    </w:p>
    <w:p>
      <w:pPr>
        <w:spacing w:after="50" w:before="160"/>
      </w:pPr>
      <w:r>
        <w:rPr>
          <w:b/>
          <w:bCs/>
          <w:color w:val="1b2130"/>
          <w:sz w:val="22"/>
          <w:szCs w:val="22"/>
        </w:rPr>
        <w:t xml:space="preserve">Message Header — Headers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Action</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Datatype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Default</w:t>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Content-Type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application/json</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X-goog-api-key</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[REDACTED]</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bl>
    <w:p>
      <w:pPr>
        <w:spacing w:after="80"/>
      </w:pPr>
    </w:p>
    <w:p>
      <w:pPr>
        <w:spacing w:after="50" w:before="160"/>
      </w:pPr>
      <w:r>
        <w:rPr>
          <w:b/>
          <w:bCs/>
          <w:color w:val="1b2130"/>
          <w:sz w:val="22"/>
          <w:szCs w:val="22"/>
        </w:rPr>
        <w:t xml:space="preserve">Exchange Property — Properties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Action</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Datatype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Default</w:t>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GenAIPrompt</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     "contents": [         {             "parts": [                 {                     "text": " You are an SAP Integration consultant skilled in troubleshooting in SAP Cloud Integration (CPI). Above error is persisting while sending the message from sender to receiver system. For this error, Please respond using the following format, with each section clearly separated by a single line break in a direct and professional tone: 1. User-Friendly Error Message: A one sentence error that can be easily understood by non-technical stakeholders 2. Possible Reasons for the Error: List common causes for encountering this error in SAP CPI integration scenarios. 3. Possible Steps to Resolve the Error: Provide possible troubleshooting steps to address the issue and potentially resolve it. 4. HTTP Response: Provide appropriate HTTP error code (numerical value only) to be sent to sender system. "                 }             ]         }     ] }</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StartPrompt</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"text": "</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CaptureCustomError</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User-Friendly Error Message: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CapturePossibleSolution</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Possible Steps to Resolve the Error:</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CapturePossibleReason</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Possible Reasons for the Error:</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CaptureHTTPCode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HTTP Response: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bl>
    <w:p>
      <w:pPr>
        <w:spacing w:after="80"/>
      </w:pPr>
    </w:p>
    <w:p>
      <w:pPr>
        <w:spacing w:after="50" w:before="160"/>
      </w:pPr>
      <w:r>
        <w:rPr>
          <w:b/>
          <w:bCs/>
          <w:color w:val="1b2130"/>
          <w:sz w:val="22"/>
          <w:szCs w:val="22"/>
        </w:rPr>
        <w:t xml:space="preserve">Message Body</w:t>
      </w:r>
    </w:p>
    <w:p>
      <w:pPr>
        <w:spacing w:after="120"/>
      </w:pPr>
      <w:r>
        <w:rPr>
          <w:i w:val="false"/>
          <w:iCs w:val="false"/>
          <w:sz w:val="22"/>
          <w:szCs w:val="22"/>
        </w:rPr>
        <w:t xml:space="preserve">Type: constant</w:t>
      </w:r>
    </w:p>
    <w:p>
      <w:pPr>
        <w:spacing w:after="120"/>
      </w:pPr>
      <w:r>
        <w:rPr>
          <w:i w:val="false"/>
          <w:iCs w:val="false"/>
          <w:sz w:val="22"/>
          <w:szCs w:val="22"/>
        </w:rPr>
        <w:t xml:space="preserve">Body: —</w:t>
      </w:r>
    </w:p>
    <w:p>
      <w:pPr>
        <w:spacing w:after="80"/>
      </w:pPr>
    </w:p>
    <w:p>
      <w:pPr>
        <w:spacing w:after="50" w:before="160"/>
      </w:pPr>
      <w:r>
        <w:rPr>
          <w:b/>
          <w:bCs/>
          <w:color w:val="1b2130"/>
          <w:sz w:val="22"/>
          <w:szCs w:val="22"/>
        </w:rPr>
        <w:t xml:space="preserve">Name: cm_setContentTypeErrorResponse</w:t>
      </w:r>
    </w:p>
    <w:p>
      <w:pPr>
        <w:spacing w:after="120"/>
      </w:pPr>
      <w:r>
        <w:rPr>
          <w:i w:val="false"/>
          <w:iCs w:val="false"/>
          <w:sz w:val="22"/>
          <w:szCs w:val="22"/>
        </w:rPr>
        <w:t xml:space="preserve">This Content Modifier sets the Content-Type to application/xml for the final error response.</w:t>
      </w:r>
    </w:p>
    <w:p>
      <w:pPr>
        <w:spacing w:after="50" w:before="160"/>
      </w:pPr>
      <w:r>
        <w:rPr>
          <w:b/>
          <w:bCs/>
          <w:color w:val="1b2130"/>
          <w:sz w:val="22"/>
          <w:szCs w:val="22"/>
        </w:rPr>
        <w:t xml:space="preserve">Message Header — Headers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Action</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Datatype</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c>
          <w:tcPr>
            <w:tcW w:type="pct" w:w="1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Default</w:t>
            </w:r>
          </w:p>
        </w:tc>
      </w:tr>
      <w:tr>
        <w:tc>
          <w:tcPr>
            <w:tcW w:type="pct" w:w="12%"/>
            <w:tcBorders>
              <w:top w:val="single" w:color="CCCCCC" w:sz="4"/>
              <w:left w:val="single" w:color="CCCCCC" w:sz="4"/>
              <w:bottom w:val="single" w:color="CCCCCC" w:sz="4"/>
              <w:right w:val="single" w:color="CCCCCC" w:sz="4"/>
            </w:tcBorders>
            <w:vAlign w:val="center"/>
          </w:tcPr>
          <w:p>
            <w:r>
              <w:rPr>
                <w:sz w:val="18"/>
                <w:szCs w:val="18"/>
              </w:rPr>
              <w:t xml:space="preserve">Create</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Content-Type</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constant</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application/xml</w:t>
            </w:r>
          </w:p>
        </w:tc>
        <w:tc>
          <w:tcPr>
            <w:tcW w:type="pct" w:w="12%"/>
            <w:tcBorders>
              <w:top w:val="single" w:color="CCCCCC" w:sz="4"/>
              <w:left w:val="single" w:color="CCCCCC" w:sz="4"/>
              <w:bottom w:val="single" w:color="CCCCCC" w:sz="4"/>
              <w:right w:val="single" w:color="CCCCCC" w:sz="4"/>
            </w:tcBorders>
            <w:vAlign w:val="center"/>
          </w:tcPr>
          <w:p>
            <w:r>
              <w:rPr>
                <w:sz w:val="18"/>
                <w:szCs w:val="18"/>
              </w:rPr>
              <w:t xml:space="preserve"/>
            </w:r>
          </w:p>
        </w:tc>
      </w:tr>
    </w:tbl>
    <w:p>
      <w:pPr>
        <w:spacing w:after="80"/>
      </w:pPr>
    </w:p>
    <w:p>
      <w:pPr>
        <w:spacing w:after="50" w:before="160"/>
      </w:pPr>
      <w:r>
        <w:rPr>
          <w:b/>
          <w:bCs/>
          <w:color w:val="1b2130"/>
          <w:sz w:val="22"/>
          <w:szCs w:val="22"/>
        </w:rPr>
        <w:t xml:space="preserve">Message Body</w:t>
      </w:r>
    </w:p>
    <w:p>
      <w:pPr>
        <w:spacing w:after="120"/>
      </w:pPr>
      <w:r>
        <w:rPr>
          <w:i w:val="false"/>
          <w:iCs w:val="false"/>
          <w:sz w:val="22"/>
          <w:szCs w:val="22"/>
        </w:rPr>
        <w:t xml:space="preserve">Type: constant</w:t>
      </w:r>
    </w:p>
    <w:p>
      <w:pPr>
        <w:spacing w:after="120"/>
      </w:pPr>
      <w:r>
        <w:rPr>
          <w:i w:val="false"/>
          <w:iCs w:val="false"/>
          <w:sz w:val="22"/>
          <w:szCs w:val="22"/>
        </w:rPr>
        <w:t xml:space="preserve">Body: —</w:t>
      </w:r>
    </w:p>
    <w:p>
      <w:pPr>
        <w:spacing w:after="80"/>
      </w:pPr>
    </w:p>
    <w:p>
      <w:pPr>
        <w:spacing w:after="60" w:before="200"/>
      </w:pPr>
      <w:r>
        <w:rPr>
          <w:b/>
          <w:bCs/>
          <w:color w:val="375623"/>
          <w:sz w:val="26"/>
          <w:szCs w:val="26"/>
        </w:rPr>
        <w:t xml:space="preserve">3.3.4 Groovy Script</w:t>
      </w:r>
    </w:p>
    <w:p>
      <w:pPr>
        <w:spacing w:after="50" w:before="160"/>
      </w:pPr>
      <w:r>
        <w:rPr>
          <w:b/>
          <w:bCs/>
          <w:color w:val="1b2130"/>
          <w:sz w:val="22"/>
          <w:szCs w:val="22"/>
        </w:rPr>
        <w:t xml:space="preserve">Name: cm_setAIPrompt</w:t>
      </w:r>
    </w:p>
    <w:p>
      <w:pPr>
        <w:spacing w:after="120"/>
      </w:pPr>
      <w:r>
        <w:rPr>
          <w:i w:val="false"/>
          <w:iCs w:val="false"/>
          <w:sz w:val="22"/>
          <w:szCs w:val="22"/>
        </w:rPr>
        <w:t xml:space="preserve">This Groovy script injects the caught exception details into the AI prompt template.</w:t>
      </w:r>
    </w:p>
    <w:p>
      <w:pPr>
        <w:spacing w:after="120"/>
      </w:pPr>
      <w:r>
        <w:rPr>
          <w:i w:val="false"/>
          <w:iCs w:val="false"/>
          <w:sz w:val="22"/>
          <w:szCs w:val="22"/>
        </w:rPr>
        <w:t xml:space="preserve">Attachment: attachments/script1.groovy</w:t>
      </w:r>
    </w:p>
    <w:p>
      <w:pPr>
        <w:spacing w:after="80"/>
      </w:pPr>
    </w:p>
    <w:p>
      <w:pPr>
        <w:spacing w:after="50" w:before="160"/>
      </w:pPr>
      <w:r>
        <w:rPr>
          <w:b/>
          <w:bCs/>
          <w:color w:val="1b2130"/>
          <w:sz w:val="22"/>
          <w:szCs w:val="22"/>
        </w:rPr>
        <w:t xml:space="preserve">Name: script_CaptureGenAIResponse</w:t>
      </w:r>
    </w:p>
    <w:p>
      <w:pPr>
        <w:spacing w:after="120"/>
      </w:pPr>
      <w:r>
        <w:rPr>
          <w:i w:val="false"/>
          <w:iCs w:val="false"/>
          <w:sz w:val="22"/>
          <w:szCs w:val="22"/>
        </w:rPr>
        <w:t xml:space="preserve">This Groovy script parses the JSON response from the Gemini API and extracts error details into message properties.</w:t>
      </w:r>
    </w:p>
    <w:p>
      <w:pPr>
        <w:spacing w:after="120"/>
      </w:pPr>
      <w:r>
        <w:rPr>
          <w:i w:val="false"/>
          <w:iCs w:val="false"/>
          <w:sz w:val="22"/>
          <w:szCs w:val="22"/>
        </w:rPr>
        <w:t xml:space="preserve">Attachment: attachments/script2.groovy</w:t>
      </w:r>
    </w:p>
    <w:p>
      <w:pPr>
        <w:spacing w:after="80"/>
      </w:pPr>
    </w:p>
    <w:p>
      <w:pPr>
        <w:spacing w:after="50" w:before="160"/>
      </w:pPr>
      <w:r>
        <w:rPr>
          <w:b/>
          <w:bCs/>
          <w:color w:val="1b2130"/>
          <w:sz w:val="22"/>
          <w:szCs w:val="22"/>
        </w:rPr>
        <w:t xml:space="preserve">Name: script_GenerateErrorResponse</w:t>
      </w:r>
    </w:p>
    <w:p>
      <w:pPr>
        <w:spacing w:after="120"/>
      </w:pPr>
      <w:r>
        <w:rPr>
          <w:i w:val="false"/>
          <w:iCs w:val="false"/>
          <w:sz w:val="22"/>
          <w:szCs w:val="22"/>
        </w:rPr>
        <w:t xml:space="preserve">This Groovy script formats the final XML error response and throws a final exception to ensure the message is marked as failed.</w:t>
      </w:r>
    </w:p>
    <w:p>
      <w:pPr>
        <w:spacing w:after="120"/>
      </w:pPr>
      <w:r>
        <w:rPr>
          <w:i w:val="false"/>
          <w:iCs w:val="false"/>
          <w:sz w:val="22"/>
          <w:szCs w:val="22"/>
        </w:rPr>
        <w:t xml:space="preserve">Attachment: attachments/script3.groovy</w:t>
      </w:r>
    </w:p>
    <w:p>
      <w:pPr>
        <w:spacing w:after="80"/>
      </w:pPr>
    </w:p>
    <w:p>
      <w:pPr>
        <w:spacing w:after="60" w:before="200"/>
      </w:pPr>
      <w:r>
        <w:rPr>
          <w:b/>
          <w:bCs/>
          <w:color w:val="375623"/>
          <w:sz w:val="26"/>
          <w:szCs w:val="26"/>
        </w:rPr>
        <w:t xml:space="preserve">3.3.5 Request-Reply / External Call</w:t>
      </w:r>
    </w:p>
    <w:p>
      <w:pPr>
        <w:spacing w:after="50" w:before="160"/>
      </w:pPr>
      <w:r>
        <w:rPr>
          <w:b/>
          <w:bCs/>
          <w:color w:val="1b2130"/>
          <w:sz w:val="22"/>
          <w:szCs w:val="22"/>
        </w:rPr>
        <w:t xml:space="preserve">Name: RR_GenAI</w:t>
      </w:r>
    </w:p>
    <w:p>
      <w:pPr>
        <w:spacing w:after="120"/>
      </w:pPr>
      <w:r>
        <w:rPr>
          <w:i w:val="false"/>
          <w:iCs w:val="false"/>
          <w:sz w:val="22"/>
          <w:szCs w:val="22"/>
        </w:rPr>
        <w:t xml:space="preserve">This Request-Reply step sends the constructed prompt to the Gemini API and waits for the response.</w:t>
      </w:r>
    </w:p>
    <w:p>
      <w:pPr>
        <w:spacing w:after="120"/>
      </w:pPr>
      <w:r>
        <w:rPr>
          <w:i/>
          <w:iCs/>
          <w:sz w:val="22"/>
          <w:szCs w:val="22"/>
        </w:rPr>
        <w:t xml:space="preserve">See Section 3.7 Connectivity for the adapter/endpoint configuration this call uses.</w:t>
      </w:r>
    </w:p>
    <w:p>
      <w:pPr>
        <w:spacing w:after="80"/>
      </w:pPr>
    </w:p>
    <w:p>
      <w:pPr>
        <w:spacing w:after="50" w:before="160"/>
      </w:pPr>
      <w:r>
        <w:rPr>
          <w:b/>
          <w:bCs/>
          <w:color w:val="1b2130"/>
          <w:sz w:val="22"/>
          <w:szCs w:val="22"/>
        </w:rPr>
        <w:t xml:space="preserve">High-Level Design</w:t>
      </w:r>
    </w:p>
    <w:p>
      <w:r>
        <w:drawing>
          <wp:inline distT="0" distB="0" distL="0" distR="0">
            <wp:extent cx="47625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523875"/>
                    </a:xfrm>
                    <a:prstGeom prst="rect">
                      <a:avLst/>
                    </a:prstGeom>
                  </pic:spPr>
                </pic:pic>
              </a:graphicData>
            </a:graphic>
          </wp:inline>
        </w:drawing>
      </w:r>
    </w:p>
    <w:p>
      <w:pPr>
        <w:spacing w:after="80"/>
      </w:pPr>
    </w:p>
    <w:p>
      <w:pPr>
        <w:spacing w:after="50" w:before="160"/>
      </w:pPr>
      <w:r>
        <w:rPr>
          <w:b/>
          <w:bCs/>
          <w:color w:val="1b2130"/>
          <w:sz w:val="22"/>
          <w:szCs w:val="22"/>
        </w:rPr>
        <w:t xml:space="preserve">Message Flow Diagram</w:t>
      </w:r>
    </w:p>
    <w:p>
      <w:r>
        <w:drawing>
          <wp:inline distT="0" distB="0" distL="0" distR="0">
            <wp:extent cx="476250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1362075"/>
                    </a:xfrm>
                    <a:prstGeom prst="rect">
                      <a:avLst/>
                    </a:prstGeom>
                  </pic:spPr>
                </pic:pic>
              </a:graphicData>
            </a:graphic>
          </wp:inline>
        </w:drawing>
      </w:r>
    </w:p>
    <w:p>
      <w:pPr>
        <w:spacing w:after="80"/>
      </w:pPr>
    </w:p>
    <w:p>
      <w:pPr>
        <w:spacing w:after="120"/>
      </w:pPr>
      <w:r>
        <w:rPr>
          <w:i w:val="false"/>
          <w:iCs w:val="false"/>
          <w:sz w:val="22"/>
          <w:szCs w:val="22"/>
        </w:rPr>
        <w:t xml:space="preserve">The iFlow triggers an Exception Subprocess upon failure, where a Content Modifier constructs a prompt containing the caught exception. This prompt is processed by a Groovy script, sent to the Gemini API via a Request-Reply step, and the response is parsed by a subsequent script. Finally, the error details are formatted into an XML structure and returned to the caller, with a final exception thrown to ensure the transaction status is correctly marked as failed.</w:t>
      </w:r>
    </w:p>
    <w:p>
      <w:pPr>
        <w:spacing w:after="80"/>
      </w:pPr>
    </w:p>
    <w:p>
      <w:pPr>
        <w:spacing w:after="80"/>
      </w:pPr>
    </w:p>
    <w:p>
      <w:pPr>
        <w:spacing w:after="60" w:before="200"/>
      </w:pPr>
      <w:r>
        <w:rPr>
          <w:b/>
          <w:bCs/>
          <w:color w:val="375623"/>
          <w:sz w:val="26"/>
          <w:szCs w:val="26"/>
        </w:rPr>
        <w:t xml:space="preserve">3.4 Security</w:t>
      </w:r>
    </w:p>
    <w:p>
      <w:pPr>
        <w:spacing w:after="120"/>
      </w:pPr>
      <w:r>
        <w:rPr>
          <w:i w:val="false"/>
          <w:iCs w:val="false"/>
          <w:sz w:val="22"/>
          <w:szCs w:val="22"/>
        </w:rPr>
        <w:t xml:space="preserve">Details authentication, encryption, and access controls.</w:t>
      </w:r>
    </w:p>
    <w:p>
      <w:pPr>
        <w:spacing w:after="120"/>
      </w:pPr>
      <w:r>
        <w:rPr>
          <w:i w:val="false"/>
          <w:iCs w:val="false"/>
          <w:sz w:val="22"/>
          <w:szCs w:val="22"/>
        </w:rPr>
        <w:t xml:space="preserve">The iFlow uses Client Certificate authentication for the Gemini API and Public Key authentication for SFTP, but suffers from a critical security vulnerability due to a hardcoded API key.</w:t>
      </w:r>
    </w:p>
    <w:p>
      <w:pPr>
        <w:spacing w:after="80"/>
      </w:pPr>
    </w:p>
    <w:p>
      <w:pPr>
        <w:spacing w:after="50" w:before="160"/>
      </w:pPr>
      <w:r>
        <w:rPr>
          <w:b/>
          <w:bCs/>
          <w:color w:val="1b2130"/>
          <w:sz w:val="22"/>
          <w:szCs w:val="22"/>
        </w:rPr>
        <w:t xml:space="preserve">Security Material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Name</w:t>
            </w:r>
          </w:p>
        </w:tc>
        <w:tc>
          <w:tcPr>
            <w:tcW w:type="pct" w:w="2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Type</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Status</w:t>
            </w:r>
          </w:p>
        </w:tc>
        <w:tc>
          <w:tcPr>
            <w:tcW w:type="pct" w:w="16%"/>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Deployed By</w:t>
            </w:r>
          </w:p>
        </w:tc>
        <w:tc>
          <w:tcPr>
            <w:tcW w:type="pct" w:w="16%"/>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Deployed On</w:t>
            </w:r>
          </w:p>
        </w:tc>
      </w:tr>
      <w:tr>
        <w:tc>
          <w:tcPr>
            <w:tcW w:type="pct" w:w="24%"/>
            <w:tcBorders>
              <w:top w:val="single" w:color="CCCCCC" w:sz="4"/>
              <w:left w:val="single" w:color="CCCCCC" w:sz="4"/>
              <w:bottom w:val="single" w:color="CCCCCC" w:sz="4"/>
              <w:right w:val="single" w:color="CCCCCC" w:sz="4"/>
            </w:tcBorders>
            <w:vAlign w:val="center"/>
          </w:tcPr>
          <w:p>
            <w:r>
              <w:rPr>
                <w:sz w:val="18"/>
                <w:szCs w:val="18"/>
              </w:rPr>
              <w:t xml:space="preserve">sftp_key</w:t>
            </w:r>
          </w:p>
        </w:tc>
        <w:tc>
          <w:tcPr>
            <w:tcW w:type="pct" w:w="24%"/>
            <w:tcBorders>
              <w:top w:val="single" w:color="CCCCCC" w:sz="4"/>
              <w:left w:val="single" w:color="CCCCCC" w:sz="4"/>
              <w:bottom w:val="single" w:color="CCCCCC" w:sz="4"/>
              <w:right w:val="single" w:color="CCCCCC" w:sz="4"/>
            </w:tcBorders>
            <w:vAlign w:val="center"/>
          </w:tcPr>
          <w:p>
            <w:r>
              <w:rPr>
                <w:sz w:val="18"/>
                <w:szCs w:val="18"/>
              </w:rPr>
              <w:t xml:space="preserve">public_key</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 verify at deployment</w:t>
            </w:r>
          </w:p>
        </w:tc>
        <w:tc>
          <w:tcPr>
            <w:tcW w:type="pct" w:w="16%"/>
            <w:tcBorders>
              <w:top w:val="single" w:color="CCCCCC" w:sz="4"/>
              <w:left w:val="single" w:color="CCCCCC" w:sz="4"/>
              <w:bottom w:val="single" w:color="CCCCCC" w:sz="4"/>
              <w:right w:val="single" w:color="CCCCCC" w:sz="4"/>
            </w:tcBorders>
            <w:vAlign w:val="center"/>
          </w:tcPr>
          <w:p>
            <w:r>
              <w:rPr>
                <w:sz w:val="18"/>
                <w:szCs w:val="18"/>
              </w:rPr>
              <w:t xml:space="preserve">—</w:t>
            </w:r>
          </w:p>
        </w:tc>
        <w:tc>
          <w:tcPr>
            <w:tcW w:type="pct" w:w="16%"/>
            <w:tcBorders>
              <w:top w:val="single" w:color="CCCCCC" w:sz="4"/>
              <w:left w:val="single" w:color="CCCCCC" w:sz="4"/>
              <w:bottom w:val="single" w:color="CCCCCC" w:sz="4"/>
              <w:right w:val="single" w:color="CCCCCC" w:sz="4"/>
            </w:tcBorders>
            <w:vAlign w:val="center"/>
          </w:tcPr>
          <w:p>
            <w:r>
              <w:rPr>
                <w:sz w:val="18"/>
                <w:szCs w:val="18"/>
              </w:rPr>
              <w:t xml:space="preserve">—</w:t>
            </w:r>
          </w:p>
        </w:tc>
      </w:tr>
    </w:tbl>
    <w:p>
      <w:pPr>
        <w:spacing w:after="80"/>
      </w:pPr>
    </w:p>
    <w:p>
      <w:pPr>
        <w:spacing w:after="50" w:before="160"/>
      </w:pPr>
      <w:r>
        <w:rPr>
          <w:b/>
          <w:bCs/>
          <w:color w:val="1b2130"/>
          <w:sz w:val="22"/>
          <w:szCs w:val="22"/>
        </w:rPr>
        <w:t xml:space="preserve">Security Observations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Area</w:t>
            </w:r>
          </w:p>
        </w:tc>
        <w:tc>
          <w:tcPr>
            <w:tcW w:type="pct" w:w="3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Configuration</w:t>
            </w:r>
          </w:p>
        </w:tc>
        <w:tc>
          <w:tcPr>
            <w:tcW w:type="pct" w:w="42%"/>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Observation</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Authentication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Client Certificate (Gemini)</w:t>
            </w:r>
          </w:p>
        </w:tc>
        <w:tc>
          <w:tcPr>
            <w:tcW w:type="pct" w:w="42%"/>
            <w:tcBorders>
              <w:top w:val="single" w:color="CCCCCC" w:sz="4"/>
              <w:left w:val="single" w:color="CCCCCC" w:sz="4"/>
              <w:bottom w:val="single" w:color="CCCCCC" w:sz="4"/>
              <w:right w:val="single" w:color="CCCCCC" w:sz="4"/>
            </w:tcBorders>
            <w:vAlign w:val="center"/>
          </w:tcPr>
          <w:p>
            <w:r>
              <w:rPr>
                <w:sz w:val="18"/>
                <w:szCs w:val="18"/>
              </w:rPr>
              <w:t xml:space="preserve">Configured correctly for HTTPS.</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Authentication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Public Key (SFTP)</w:t>
            </w:r>
          </w:p>
        </w:tc>
        <w:tc>
          <w:tcPr>
            <w:tcW w:type="pct" w:w="42%"/>
            <w:tcBorders>
              <w:top w:val="single" w:color="CCCCCC" w:sz="4"/>
              <w:left w:val="single" w:color="CCCCCC" w:sz="4"/>
              <w:bottom w:val="single" w:color="CCCCCC" w:sz="4"/>
              <w:right w:val="single" w:color="CCCCCC" w:sz="4"/>
            </w:tcBorders>
            <w:vAlign w:val="center"/>
          </w:tcPr>
          <w:p>
            <w:r>
              <w:rPr>
                <w:sz w:val="18"/>
                <w:szCs w:val="18"/>
              </w:rPr>
              <w:t xml:space="preserve">Configured correctly for secure file transfer.</w:t>
            </w:r>
          </w:p>
        </w:tc>
      </w:tr>
      <w:tr>
        <w:tc>
          <w:tcPr>
            <w:tcW w:type="pct" w:w="20%"/>
            <w:tcBorders>
              <w:top w:val="single" w:color="CCCCCC" w:sz="4"/>
              <w:left w:val="single" w:color="CCCCCC" w:sz="4"/>
              <w:bottom w:val="single" w:color="CCCCCC" w:sz="4"/>
              <w:right w:val="single" w:color="CCCCCC" w:sz="4"/>
            </w:tcBorders>
            <w:vAlign w:val="center"/>
          </w:tcPr>
          <w:p>
            <w:r>
              <w:rPr>
                <w:sz w:val="18"/>
                <w:szCs w:val="18"/>
              </w:rPr>
              <w:t xml:space="preserve">Sensitive Data</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Hardcoded API Key</w:t>
            </w:r>
          </w:p>
        </w:tc>
        <w:tc>
          <w:tcPr>
            <w:tcW w:type="pct" w:w="42%"/>
            <w:tcBorders>
              <w:top w:val="single" w:color="CCCCCC" w:sz="4"/>
              <w:left w:val="single" w:color="CCCCCC" w:sz="4"/>
              <w:bottom w:val="single" w:color="CCCCCC" w:sz="4"/>
              <w:right w:val="single" w:color="CCCCCC" w:sz="4"/>
            </w:tcBorders>
            <w:vAlign w:val="center"/>
          </w:tcPr>
          <w:p>
            <w:r>
              <w:rPr>
                <w:sz w:val="18"/>
                <w:szCs w:val="18"/>
              </w:rPr>
              <w:t xml:space="preserve">API key is exposed in plain text within the Content Modifier.</w:t>
            </w:r>
          </w:p>
        </w:tc>
      </w:tr>
    </w:tbl>
    <w:p>
      <w:pPr>
        <w:spacing w:after="80"/>
      </w:pPr>
    </w:p>
    <w:p>
      <w:pPr>
        <w:spacing w:after="80"/>
      </w:pPr>
    </w:p>
    <w:p>
      <w:pPr>
        <w:spacing w:after="60" w:before="200"/>
      </w:pPr>
      <w:r>
        <w:rPr>
          <w:b/>
          <w:bCs/>
          <w:color w:val="375623"/>
          <w:sz w:val="26"/>
          <w:szCs w:val="26"/>
        </w:rPr>
        <w:t xml:space="preserve">3.5 Manage Stores</w:t>
      </w:r>
    </w:p>
    <w:p>
      <w:pPr>
        <w:spacing w:after="120"/>
      </w:pPr>
      <w:r>
        <w:rPr>
          <w:i w:val="false"/>
          <w:iCs w:val="false"/>
          <w:sz w:val="22"/>
          <w:szCs w:val="22"/>
        </w:rPr>
        <w:t xml:space="preserve">Describes message persistence mechanisms (Data Store, Variables, Number Ranges).</w:t>
      </w:r>
    </w:p>
    <w:p>
      <w:pPr>
        <w:spacing w:after="120"/>
      </w:pPr>
      <w:r>
        <w:rPr>
          <w:i/>
          <w:iCs/>
          <w:sz w:val="22"/>
          <w:szCs w:val="22"/>
        </w:rPr>
        <w:t xml:space="preserve">No Data Store, Variable, or Number Range operations were found in this iFlow.</w:t>
      </w:r>
    </w:p>
    <w:p>
      <w:pPr>
        <w:spacing w:after="80"/>
      </w:pPr>
    </w:p>
    <w:p>
      <w:pPr>
        <w:spacing w:after="60" w:before="200"/>
      </w:pPr>
      <w:r>
        <w:rPr>
          <w:b/>
          <w:bCs/>
          <w:color w:val="375623"/>
          <w:sz w:val="26"/>
          <w:szCs w:val="26"/>
        </w:rPr>
        <w:t xml:space="preserve">3.6 Monitoring and Error Handling</w:t>
      </w:r>
    </w:p>
    <w:p>
      <w:pPr>
        <w:spacing w:after="120"/>
      </w:pPr>
      <w:r>
        <w:rPr>
          <w:i w:val="false"/>
          <w:iCs w:val="false"/>
          <w:sz w:val="22"/>
          <w:szCs w:val="22"/>
        </w:rPr>
        <w:t xml:space="preserve">Captures error logging and alert mechanisms.</w:t>
      </w:r>
    </w:p>
    <w:p>
      <w:pPr>
        <w:spacing w:after="50" w:before="160"/>
      </w:pPr>
      <w:r>
        <w:rPr>
          <w:b/>
          <w:bCs/>
          <w:color w:val="1b2130"/>
          <w:sz w:val="22"/>
          <w:szCs w:val="22"/>
        </w:rPr>
        <w:t xml:space="preserve">Log Configuration</w:t>
      </w:r>
    </w:p>
    <w:p>
      <w:pPr>
        <w:spacing w:after="120"/>
      </w:pPr>
      <w:r>
        <w:rPr>
          <w:i/>
          <w:iCs/>
          <w:sz w:val="22"/>
          <w:szCs w:val="22"/>
        </w:rPr>
        <w:t xml:space="preserve">Log level is not explicitly configured in the iFlow XML — uses the tenant default; verify in the Monitor before go-live.</w:t>
      </w:r>
    </w:p>
    <w:p>
      <w:pPr>
        <w:spacing w:after="120"/>
      </w:pPr>
      <w:r>
        <w:rPr>
          <w:i w:val="false"/>
          <w:iCs w:val="false"/>
          <w:sz w:val="22"/>
          <w:szCs w:val="22"/>
        </w:rPr>
        <w:t xml:space="preserve">The iFlow utilizes the MessageLogFactory to attach text content and custom header properties to the MPL, providing visibility into the AI's analysis.</w:t>
      </w:r>
    </w:p>
    <w:p>
      <w:pPr>
        <w:spacing w:after="60"/>
        <w:ind w:left="360"/>
      </w:pPr>
      <w:r>
        <w:rPr>
          <w:sz w:val="22"/>
          <w:szCs w:val="22"/>
        </w:rPr>
        <w:t xml:space="preserve">• Exception Subprocess 1: Acts as the global error handler for the integration process.</w:t>
      </w:r>
    </w:p>
    <w:p>
      <w:pPr>
        <w:spacing w:after="60"/>
        <w:ind w:left="360"/>
      </w:pPr>
      <w:r>
        <w:rPr>
          <w:sz w:val="22"/>
          <w:szCs w:val="22"/>
        </w:rPr>
        <w:t xml:space="preserve">• script3.groovy: Explicitly throws an exception at the end of the error flow to ensure the message is marked as 'Failed' in the monitoring dashboard.</w:t>
      </w:r>
    </w:p>
    <w:p>
      <w:pPr>
        <w:spacing w:after="80"/>
      </w:pPr>
    </w:p>
    <w:p>
      <w:pPr>
        <w:spacing w:after="80"/>
      </w:pPr>
    </w:p>
    <w:p>
      <w:pPr>
        <w:spacing w:after="60" w:before="200"/>
      </w:pPr>
      <w:r>
        <w:rPr>
          <w:b/>
          <w:bCs/>
          <w:color w:val="375623"/>
          <w:sz w:val="26"/>
          <w:szCs w:val="26"/>
        </w:rPr>
        <w:t xml:space="preserve">3.7 Connectivity</w:t>
      </w:r>
    </w:p>
    <w:p>
      <w:pPr>
        <w:spacing w:after="120"/>
      </w:pPr>
      <w:r>
        <w:rPr>
          <w:i w:val="false"/>
          <w:iCs w:val="false"/>
          <w:sz w:val="22"/>
          <w:szCs w:val="22"/>
        </w:rPr>
        <w:t xml:space="preserve">Defines network, proxy, and API configurations.</w:t>
      </w:r>
    </w:p>
    <w:p>
      <w:pPr>
        <w:spacing w:after="120"/>
      </w:pPr>
      <w:r>
        <w:rPr>
          <w:i w:val="false"/>
          <w:iCs w:val="false"/>
          <w:sz w:val="22"/>
          <w:szCs w:val="22"/>
        </w:rPr>
        <w:t xml:space="preserve">Connectivity is established via HTTPS to the Google Gemini cloud service and SFTP to a remote cloud host, utilizing a SOCKS5 proxy for the SFTP connection.</w:t>
      </w:r>
    </w:p>
    <w:p>
      <w:pPr>
        <w:spacing w:after="80"/>
      </w:pPr>
    </w:p>
    <w:p>
      <w:pPr>
        <w:spacing w:after="60" w:before="200"/>
      </w:pPr>
      <w:r>
        <w:rPr>
          <w:b/>
          <w:bCs/>
          <w:color w:val="375623"/>
          <w:sz w:val="26"/>
          <w:szCs w:val="26"/>
        </w:rPr>
        <w:t xml:space="preserve">3.7.1 HTTP (HTTP — Receiver)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4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Property</w:t>
            </w:r>
          </w:p>
        </w:tc>
        <w:tc>
          <w:tcPr>
            <w:tcW w:type="pct" w:w="6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Adapter / Component 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HTTP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Transport 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HTTP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Message 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None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Address / Endpoint URL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https://generativelanguage.googleapis.com/v1beta/models/gemini-3.1-flash-lite:generateContent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Direction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Receiver</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apiName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Description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methodSourceExpression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apiArtifactType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providerAuth</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privateKeyAlias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[REDACTED]</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httpMethod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POST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apiprovider_location_id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allowedResponseHeaders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internetProxyType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TransportProtocolVersion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1.19.2</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proxyPort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streaming</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false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enableMPLAttachments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true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httpAddressQuery</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httpRequestTimeout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60000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providerName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allowedRequestHeaders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Content-Type|X-goog-api-key</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httpShouldSendBody</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false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throwExceptionOnFailure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true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default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retryIteration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proxyHost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providerUrl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retryOnConnectionFailure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false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system</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Receiver1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authenticationMethod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Client Certificate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locationID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retryInterval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5</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credentialName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httpErrorResponseCodes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MessageProtocolVersion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1.19.2</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httpAddressWithoutQuery</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https://generativelanguage.googleapis.com/v1beta/models/gemini-3.1-flash-lite:generateContent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providerRelativeUrl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bl>
    <w:p>
      <w:pPr>
        <w:spacing w:after="80"/>
      </w:pPr>
    </w:p>
    <w:p>
      <w:pPr>
        <w:spacing w:after="60" w:before="200"/>
      </w:pPr>
      <w:r>
        <w:rPr>
          <w:b/>
          <w:bCs/>
          <w:color w:val="375623"/>
          <w:sz w:val="26"/>
          <w:szCs w:val="26"/>
        </w:rPr>
        <w:t xml:space="preserve">3.7.2 SFTP (SFTP — Receiver)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4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Property</w:t>
            </w:r>
          </w:p>
        </w:tc>
        <w:tc>
          <w:tcPr>
            <w:tcW w:type="pct" w:w="6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Value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Adapter / Component 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SFTP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Transport 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SFTP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Message 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File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Address / Endpoint URL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eu-central-1.sftpcloud.io/Test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Direction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Receiver</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disconnect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fileName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test.xml</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Description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maximumReconnectAttempts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3</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stepwise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fileExist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Override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autoCreate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privateKeyAlias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[REDACTED]</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location_id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TransportProtocolVersion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1.20.1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flatten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sftpSecEnabled</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useTempFile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path</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/Test</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proxyPort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8080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host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eu-central-1.sftpcloud.io</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connectTimeout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10000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fastExistsCheck</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authentication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public_key</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fileAppendTimeStamp</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credential_name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proxyProtocol</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socks5</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proxyType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none</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proxyAlias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reconnectDelay</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1000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proxyHost</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system</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Receiver</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tempFileName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${file:name}.tmp</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allowDeprecatedAlgorithms</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0</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MessageProtocolVersion</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1.20.1</w:t>
            </w:r>
          </w:p>
        </w:tc>
      </w:tr>
      <w:tr>
        <w:tc>
          <w:tcPr>
            <w:tcW w:type="pct" w:w="40%"/>
            <w:tcBorders>
              <w:top w:val="single" w:color="CCCCCC" w:sz="4"/>
              <w:left w:val="single" w:color="CCCCCC" w:sz="4"/>
              <w:bottom w:val="single" w:color="CCCCCC" w:sz="4"/>
              <w:right w:val="single" w:color="CCCCCC" w:sz="4"/>
            </w:tcBorders>
            <w:vAlign w:val="center"/>
          </w:tcPr>
          <w:p>
            <w:r>
              <w:rPr>
                <w:sz w:val="18"/>
                <w:szCs w:val="18"/>
              </w:rPr>
              <w:t xml:space="preserve">username</w:t>
            </w:r>
          </w:p>
        </w:tc>
        <w:tc>
          <w:tcPr>
            <w:tcW w:type="pct" w:w="60%"/>
            <w:tcBorders>
              <w:top w:val="single" w:color="CCCCCC" w:sz="4"/>
              <w:left w:val="single" w:color="CCCCCC" w:sz="4"/>
              <w:bottom w:val="single" w:color="CCCCCC" w:sz="4"/>
              <w:right w:val="single" w:color="CCCCCC" w:sz="4"/>
            </w:tcBorders>
            <w:vAlign w:val="center"/>
          </w:tcPr>
          <w:p>
            <w:r>
              <w:rPr>
                <w:sz w:val="18"/>
                <w:szCs w:val="18"/>
              </w:rPr>
              <w:t xml:space="preserve">sftp_key</w:t>
            </w:r>
          </w:p>
        </w:tc>
      </w:tr>
    </w:tbl>
    <w:p>
      <w:pPr>
        <w:spacing w:after="80"/>
      </w:pPr>
    </w:p>
    <w:p>
      <w:pPr>
        <w:spacing w:after="80"/>
      </w:pPr>
    </w:p>
    <w:p>
      <w:pPr>
        <w:spacing w:after="80"/>
      </w:pPr>
    </w:p>
    <w:p>
      <w:pPr>
        <w:spacing w:after="80" w:before="280"/>
      </w:pPr>
      <w:r>
        <w:rPr>
          <w:b/>
          <w:bCs/>
          <w:color w:val="2F5496"/>
          <w:sz w:val="32"/>
          <w:szCs w:val="32"/>
        </w:rPr>
        <w:t xml:space="preserve">4. Event Mesh Technical Information</w:t>
      </w:r>
    </w:p>
    <w:p>
      <w:pPr>
        <w:spacing w:after="120"/>
      </w:pPr>
      <w:r>
        <w:rPr>
          <w:i/>
          <w:iCs/>
          <w:sz w:val="22"/>
          <w:szCs w:val="22"/>
        </w:rPr>
        <w:t xml:space="preserve">No Event Mesh components were detected in this iFlow. Section left for manual completion if applicable.</w:t>
      </w:r>
    </w:p>
    <w:p>
      <w:pPr>
        <w:spacing w:after="80"/>
      </w:pPr>
    </w:p>
    <w:p>
      <w:pPr>
        <w:spacing w:after="80" w:before="280"/>
      </w:pPr>
      <w:r>
        <w:rPr>
          <w:b/>
          <w:bCs/>
          <w:color w:val="2F5496"/>
          <w:sz w:val="32"/>
          <w:szCs w:val="32"/>
        </w:rPr>
        <w:t xml:space="preserve">5. APIM Technical Information</w:t>
      </w:r>
    </w:p>
    <w:p>
      <w:pPr>
        <w:spacing w:after="120"/>
      </w:pPr>
      <w:r>
        <w:rPr>
          <w:i/>
          <w:iCs/>
          <w:sz w:val="22"/>
          <w:szCs w:val="22"/>
        </w:rPr>
        <w:t xml:space="preserve">No API Management components were detected in this iFlow. Section left for manual completion if applicable.</w:t>
      </w:r>
    </w:p>
    <w:p>
      <w:pPr>
        <w:spacing w:after="80"/>
      </w:pPr>
    </w:p>
    <w:p>
      <w:pPr>
        <w:spacing w:after="80" w:before="280"/>
      </w:pPr>
      <w:r>
        <w:rPr>
          <w:b/>
          <w:bCs/>
          <w:color w:val="2F5496"/>
          <w:sz w:val="32"/>
          <w:szCs w:val="32"/>
        </w:rPr>
        <w:t xml:space="preserve">6. Test Cases</w:t>
      </w:r>
    </w:p>
    <w:p>
      <w:pPr>
        <w:spacing w:after="120"/>
      </w:pPr>
      <w:r>
        <w:rPr>
          <w:i w:val="false"/>
          <w:iCs w:val="false"/>
          <w:sz w:val="22"/>
          <w:szCs w:val="22"/>
        </w:rPr>
        <w:t xml:space="preserve">Identify the test scenarios to be used to test the development with. (Mandatory)</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5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Test Considerations</w:t>
            </w:r>
          </w:p>
        </w:tc>
        <w:tc>
          <w:tcPr>
            <w:tcW w:type="pct" w:w="3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Scope of Testing (IS / OS / BO)</w:t>
            </w:r>
          </w:p>
        </w:tc>
        <w:tc>
          <w:tcPr>
            <w:tcW w:type="pct" w:w="2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Target Test Date</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Verify error handling triggers when a valid message fails in the main process</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BO</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TBD</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Validate Gemini API response parsing when the AI returns unexpected formats</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OS</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TBD</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Confirm SFTP connectivity and file write operations</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BO</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TBD</w:t>
            </w:r>
          </w:p>
        </w:tc>
      </w:tr>
      <w:tr>
        <w:tc>
          <w:tcPr>
            <w:tcW w:type="pct" w:w="50%"/>
            <w:tcBorders>
              <w:top w:val="single" w:color="CCCCCC" w:sz="4"/>
              <w:left w:val="single" w:color="CCCCCC" w:sz="4"/>
              <w:bottom w:val="single" w:color="CCCCCC" w:sz="4"/>
              <w:right w:val="single" w:color="CCCCCC" w:sz="4"/>
            </w:tcBorders>
            <w:vAlign w:val="center"/>
          </w:tcPr>
          <w:p>
            <w:r>
              <w:rPr>
                <w:sz w:val="18"/>
                <w:szCs w:val="18"/>
              </w:rPr>
              <w:t xml:space="preserve">Test the final XML structure against expected downstream consumer requirements</w:t>
            </w:r>
          </w:p>
        </w:tc>
        <w:tc>
          <w:tcPr>
            <w:tcW w:type="pct" w:w="30%"/>
            <w:tcBorders>
              <w:top w:val="single" w:color="CCCCCC" w:sz="4"/>
              <w:left w:val="single" w:color="CCCCCC" w:sz="4"/>
              <w:bottom w:val="single" w:color="CCCCCC" w:sz="4"/>
              <w:right w:val="single" w:color="CCCCCC" w:sz="4"/>
            </w:tcBorders>
            <w:vAlign w:val="center"/>
          </w:tcPr>
          <w:p>
            <w:r>
              <w:rPr>
                <w:sz w:val="18"/>
                <w:szCs w:val="18"/>
              </w:rPr>
              <w:t xml:space="preserve">IS</w:t>
            </w:r>
          </w:p>
        </w:tc>
        <w:tc>
          <w:tcPr>
            <w:tcW w:type="pct" w:w="20%"/>
            <w:tcBorders>
              <w:top w:val="single" w:color="CCCCCC" w:sz="4"/>
              <w:left w:val="single" w:color="CCCCCC" w:sz="4"/>
              <w:bottom w:val="single" w:color="CCCCCC" w:sz="4"/>
              <w:right w:val="single" w:color="CCCCCC" w:sz="4"/>
            </w:tcBorders>
            <w:vAlign w:val="center"/>
          </w:tcPr>
          <w:p>
            <w:r>
              <w:rPr>
                <w:sz w:val="18"/>
                <w:szCs w:val="18"/>
              </w:rPr>
              <w:t xml:space="preserve">TBD</w:t>
            </w:r>
          </w:p>
        </w:tc>
      </w:tr>
    </w:tbl>
    <w:p>
      <w:pPr>
        <w:spacing w:after="80"/>
      </w:pPr>
    </w:p>
    <w:p>
      <w:pPr>
        <w:spacing w:after="80"/>
      </w:pPr>
    </w:p>
    <w:p>
      <w:pPr>
        <w:spacing w:after="80" w:before="280"/>
      </w:pPr>
      <w:r>
        <w:rPr>
          <w:b/>
          <w:bCs/>
          <w:color w:val="2F5496"/>
          <w:sz w:val="32"/>
          <w:szCs w:val="32"/>
        </w:rPr>
        <w:t xml:space="preserve">Appendix A: Automated Review Findings</w:t>
      </w:r>
    </w:p>
    <w:p>
      <w:pPr>
        <w:spacing w:after="120"/>
      </w:pPr>
      <w:r>
        <w:rPr>
          <w:i/>
          <w:iCs/>
          <w:sz w:val="22"/>
          <w:szCs w:val="22"/>
        </w:rPr>
        <w:t xml:space="preserve">Supplementary AI-generated review — not part of the standard TSD template, kept for convenience.</w:t>
      </w:r>
    </w:p>
    <w:p>
      <w:pPr>
        <w:spacing w:after="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Severity</w:t>
            </w:r>
          </w:p>
        </w:tc>
        <w:tc>
          <w:tcPr>
            <w:tcW w:type="pct" w:w="14%"/>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Area</w:t>
            </w:r>
          </w:p>
        </w:tc>
        <w:tc>
          <w:tcPr>
            <w:tcW w:type="pct" w:w="3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Finding</w:t>
            </w:r>
          </w:p>
        </w:tc>
        <w:tc>
          <w:tcPr>
            <w:tcW w:type="pct" w:w="38%"/>
            <w:tcBorders>
              <w:top w:val="single" w:color="CCCCCC" w:sz="4"/>
              <w:left w:val="single" w:color="CCCCCC" w:sz="4"/>
              <w:bottom w:val="single" w:color="CCCCCC" w:sz="4"/>
              <w:right w:val="single" w:color="CCCCCC" w:sz="4"/>
            </w:tcBorders>
            <w:shd w:fill="1F3864" w:color="auto" w:val="clear"/>
            <w:vAlign w:val="center"/>
          </w:tcPr>
          <w:p>
            <w:r>
              <w:rPr>
                <w:b/>
                <w:bCs/>
                <w:color w:val="FFFFFF"/>
                <w:sz w:val="18"/>
                <w:szCs w:val="18"/>
              </w:rPr>
              <w:t xml:space="preserve">Recommendation</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High</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Security</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Hardcoded API Key</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Move the Google API key to a secure 'Secure Parameter' or 'User Credentials' artifact.</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Medium</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Error Handling</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Forced Exception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The script throws an exception at the end of the error handler; ensure this does not cause infinite loops or unintended retry behavior.</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Low</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Maintainability</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Hardcoded Prompts</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The AI prompt is hardcoded in a Content Modifier; consider moving this to an externalized property or a resource file for easier updates.</w:t>
            </w:r>
          </w:p>
        </w:tc>
      </w:tr>
      <w:tr>
        <w:tc>
          <w:tcPr>
            <w:tcW w:type="pct" w:w="10%"/>
            <w:tcBorders>
              <w:top w:val="single" w:color="CCCCCC" w:sz="4"/>
              <w:left w:val="single" w:color="CCCCCC" w:sz="4"/>
              <w:bottom w:val="single" w:color="CCCCCC" w:sz="4"/>
              <w:right w:val="single" w:color="CCCCCC" w:sz="4"/>
            </w:tcBorders>
            <w:vAlign w:val="center"/>
          </w:tcPr>
          <w:p>
            <w:r>
              <w:rPr>
                <w:sz w:val="18"/>
                <w:szCs w:val="18"/>
              </w:rPr>
              <w:t xml:space="preserve">🟡 Low</w:t>
            </w:r>
          </w:p>
        </w:tc>
        <w:tc>
          <w:tcPr>
            <w:tcW w:type="pct" w:w="14%"/>
            <w:tcBorders>
              <w:top w:val="single" w:color="CCCCCC" w:sz="4"/>
              <w:left w:val="single" w:color="CCCCCC" w:sz="4"/>
              <w:bottom w:val="single" w:color="CCCCCC" w:sz="4"/>
              <w:right w:val="single" w:color="CCCCCC" w:sz="4"/>
            </w:tcBorders>
            <w:vAlign w:val="center"/>
          </w:tcPr>
          <w:p>
            <w:r>
              <w:rPr>
                <w:sz w:val="18"/>
                <w:szCs w:val="18"/>
              </w:rPr>
              <w:t xml:space="preserve">Design</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Unused Steps</w:t>
            </w:r>
          </w:p>
        </w:tc>
        <w:tc>
          <w:tcPr>
            <w:tcW w:type="pct" w:w="38%"/>
            <w:tcBorders>
              <w:top w:val="single" w:color="CCCCCC" w:sz="4"/>
              <w:left w:val="single" w:color="CCCCCC" w:sz="4"/>
              <w:bottom w:val="single" w:color="CCCCCC" w:sz="4"/>
              <w:right w:val="single" w:color="CCCCCC" w:sz="4"/>
            </w:tcBorders>
            <w:vAlign w:val="center"/>
          </w:tcPr>
          <w:p>
            <w:r>
              <w:rPr>
                <w:sz w:val="18"/>
                <w:szCs w:val="18"/>
              </w:rPr>
              <w:t xml:space="preserve">The Start Timer and End event in the main process are placeholders and do not perform any business logic.</w:t>
            </w:r>
          </w:p>
        </w:tc>
      </w:tr>
    </w:tbl>
    <w:p>
      <w:pPr>
        <w:spacing w:after="80"/>
      </w:pPr>
    </w:p>
    <w:p>
      <w:pPr>
        <w:spacing w:after="60"/>
        <w:ind w:left="360"/>
      </w:pPr>
      <w:r>
        <w:rPr>
          <w:sz w:val="22"/>
          <w:szCs w:val="22"/>
        </w:rPr>
        <w:t xml:space="preserve">• Verify if the Gemini API model 'gemini-3.1-flash-lite' is the correct version for the production environment.</w:t>
      </w:r>
    </w:p>
    <w:p>
      <w:pPr>
        <w:spacing w:after="60"/>
        <w:ind w:left="360"/>
      </w:pPr>
      <w:r>
        <w:rPr>
          <w:sz w:val="22"/>
          <w:szCs w:val="22"/>
        </w:rPr>
        <w:t xml:space="preserve">• Confirm if the SOCKS5 proxy configuration for SFTP is required for the specific network topology.</w:t>
      </w:r>
    </w:p>
    <w:p>
      <w:pPr>
        <w:spacing w:after="60"/>
        <w:ind w:left="360"/>
      </w:pPr>
      <w:r>
        <w:rPr>
          <w:sz w:val="22"/>
          <w:szCs w:val="22"/>
        </w:rPr>
        <w:t xml:space="preserve">• Ensure the 'CamelExceptionCaught' property contains sufficient information for the AI to provide meaningful analysis.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d4e1424869c332916d9de4cb2c0500eb89a3df.png"/><Relationship Id="rId8" Type="http://schemas.openxmlformats.org/officeDocument/2006/relationships/image" Target="media/5c00a811cf94d62526e1aff37edfad67d6a830b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2026-07-05T20:57:42.185Z</dcterms:created>
  <dcterms:modified xsi:type="dcterms:W3CDTF">2026-07-05T20:57:42.185Z</dcterms:modified>
</cp:coreProperties>
</file>

<file path=docProps/custom.xml><?xml version="1.0" encoding="utf-8"?>
<Properties xmlns="http://schemas.openxmlformats.org/officeDocument/2006/custom-properties" xmlns:vt="http://schemas.openxmlformats.org/officeDocument/2006/docPropsVTypes"/>
</file>