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Technical Specification</w:t>
      </w:r>
    </w:p>
    <w:p>
      <w:pPr>
        <w:spacing w:after="360" w:before="0"/>
        <w:jc w:val="center"/>
      </w:pPr>
      <w:r>
        <w:rPr>
          <w:b/>
          <w:bCs/>
          <w:color w:val="2F5496"/>
          <w:sz w:val="30"/>
          <w:szCs w:val="30"/>
        </w:rPr>
        <w:t xml:space="preserve">Interface INT_XXXXI&lt;xxx&gt;_TEST_I044_Timesheet_ZALARIS_TO_FICOPROC_TBD</w:t>
      </w:r>
    </w:p>
    <w:p>
      <w:pPr>
        <w:spacing w:after="80"/>
      </w:pPr>
    </w:p>
    <w:p>
      <w:pPr>
        <w:spacing w:after="80" w:before="280"/>
      </w:pPr>
      <w:r>
        <w:rPr>
          <w:b/>
          <w:bCs/>
          <w:color w:val="2F5496"/>
          <w:sz w:val="32"/>
          <w:szCs w:val="32"/>
        </w:rPr>
        <w:t xml:space="preserve">Document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I&lt;xxx&gt;</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Title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TEST_I044_Timesheet_ZALARIS_TO_FICOPROC_TBD</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1.0.7</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Level3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Author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SAP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Pattern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before="280"/>
      </w:pPr>
      <w:r>
        <w:rPr>
          <w:b/>
          <w:bCs/>
          <w:color w:val="2F5496"/>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Version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Author Of Revision</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Creation Date</w:t>
            </w:r>
          </w:p>
        </w:tc>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Comments</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Incident/CR Number</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1.0</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CI Pipeline</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2026-07-05</w:t>
            </w:r>
          </w:p>
        </w:tc>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Auto-generated from iFlow artifact via GitHub Actions</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pPr>
    </w:p>
    <w:p>
      <w:pPr>
        <w:spacing w:after="80" w:before="280"/>
      </w:pPr>
      <w:r>
        <w:rPr>
          <w:b/>
          <w:bCs/>
          <w:color w:val="2F5496"/>
          <w:sz w:val="32"/>
          <w:szCs w:val="32"/>
        </w:rPr>
        <w:t xml:space="preserve">1. Detailed Functional Design</w:t>
      </w:r>
    </w:p>
    <w:p>
      <w:pPr>
        <w:spacing w:after="120"/>
      </w:pPr>
      <w:r>
        <w:rPr>
          <w:i/>
          <w:iCs/>
          <w:sz w:val="22"/>
          <w:szCs w:val="22"/>
        </w:rPr>
        <w:t xml:space="preserve">This section captures the functional requirements of the interface. It is not derivable from the iFlow export and must be completed manually (link the FSD / mapping sheet).</w:t>
      </w:r>
    </w:p>
    <w:p>
      <w:pPr>
        <w:spacing w:after="80"/>
      </w:pPr>
    </w:p>
    <w:p>
      <w:pPr>
        <w:spacing w:after="80" w:before="280"/>
      </w:pPr>
      <w:r>
        <w:rPr>
          <w:b/>
          <w:bCs/>
          <w:color w:val="2F5496"/>
          <w:sz w:val="32"/>
          <w:szCs w:val="32"/>
        </w:rPr>
        <w:t xml:space="preserve">2. Detailed Technical Design Specifications</w:t>
      </w:r>
    </w:p>
    <w:p>
      <w:pPr>
        <w:spacing w:after="120"/>
      </w:pPr>
      <w:r>
        <w:rPr>
          <w:i/>
          <w:iCs/>
          <w:sz w:val="22"/>
          <w:szCs w:val="22"/>
        </w:rPr>
        <w:t xml:space="preserve">This section covers ABAP-side development (custom objects, enhancements, function modules). It is out of scope for automated generation from an iFlow export — complete manually if this interface includes ABAP-side components.</w:t>
      </w:r>
    </w:p>
    <w:p>
      <w:pPr>
        <w:spacing w:after="80"/>
      </w:pPr>
    </w:p>
    <w:p>
      <w:pPr>
        <w:spacing w:after="80" w:before="280"/>
      </w:pPr>
      <w:r>
        <w:rPr>
          <w:b/>
          <w:bCs/>
          <w:color w:val="2F5496"/>
          <w:sz w:val="32"/>
          <w:szCs w:val="32"/>
        </w:rPr>
        <w:t xml:space="preserve">3. BTP-IS Technical Information</w:t>
      </w:r>
    </w:p>
    <w:p>
      <w:pPr>
        <w:spacing w:after="120"/>
      </w:pPr>
      <w:r>
        <w:rPr>
          <w:i w:val="false"/>
          <w:iCs w:val="false"/>
          <w:sz w:val="22"/>
          <w:szCs w:val="22"/>
        </w:rPr>
        <w:t xml:space="preserve">Covers SAP BTP Integration Suite components, configurations, and security details.</w:t>
      </w:r>
    </w:p>
    <w:p>
      <w:pPr>
        <w:spacing w:after="80"/>
      </w:pPr>
    </w:p>
    <w:p>
      <w:pPr>
        <w:spacing w:after="60" w:before="200"/>
      </w:pPr>
      <w:r>
        <w:rPr>
          <w:b/>
          <w:bCs/>
          <w:color w:val="375623"/>
          <w:sz w:val="26"/>
          <w:szCs w:val="26"/>
        </w:rPr>
        <w:t xml:space="preserve">3.1 Package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Package / Bundle 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TEST_I044_Timesheet_ZALARIS_TO_FICOPROC_TBD</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1.0.7</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SymbolicName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TEST_I044_Timesheet_ZALARIS_TO_FICOPROC_TBD</w:t>
            </w:r>
          </w:p>
        </w:tc>
      </w:tr>
    </w:tbl>
    <w:p>
      <w:pPr>
        <w:spacing w:after="80"/>
      </w:pPr>
    </w:p>
    <w:p>
      <w:pPr>
        <w:spacing w:after="50" w:before="160"/>
      </w:pPr>
      <w:r>
        <w:rPr>
          <w:b/>
          <w:bCs/>
          <w:color w:val="1b2130"/>
          <w:sz w:val="22"/>
          <w:szCs w:val="22"/>
        </w:rPr>
        <w:t xml:space="preserve">3.1.1 Integration Flow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TEST_I044_Timesheet_ZALARIS_TO_FICOPROC_TBD</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Process_23456695</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Namespace Mapping</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Allowed Header(s)</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Return Exception to Sender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script1.groovy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script2.groovy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bl>
    <w:p>
      <w:pPr>
        <w:spacing w:after="80"/>
      </w:pPr>
    </w:p>
    <w:p>
      <w:pPr>
        <w:spacing w:after="50" w:before="160"/>
      </w:pPr>
      <w:r>
        <w:rPr>
          <w:b/>
          <w:bCs/>
          <w:color w:val="1b2130"/>
          <w:sz w:val="22"/>
          <w:szCs w:val="22"/>
        </w:rPr>
        <w:t xml:space="preserve">Externalized Parameters</w:t>
      </w:r>
    </w:p>
    <w:p>
      <w:pPr>
        <w:spacing w:after="120"/>
      </w:pPr>
      <w:r>
        <w:rPr>
          <w:i/>
          <w:iCs/>
          <w:sz w:val="22"/>
          <w:szCs w:val="22"/>
        </w:rPr>
        <w:t xml:space="preserve">No externalized parameters are defined in this iFlow.</w:t>
      </w:r>
    </w:p>
    <w:p>
      <w:pPr>
        <w:spacing w:after="80"/>
      </w:pPr>
    </w:p>
    <w:p>
      <w:pPr>
        <w:spacing w:after="80"/>
      </w:pPr>
    </w:p>
    <w:p>
      <w:pPr>
        <w:spacing w:after="60" w:before="200"/>
      </w:pPr>
      <w:r>
        <w:rPr>
          <w:b/>
          <w:bCs/>
          <w:color w:val="375623"/>
          <w:sz w:val="26"/>
          <w:szCs w:val="26"/>
        </w:rPr>
        <w:t xml:space="preserve">3.2 Cloud Connector Configuration</w:t>
      </w:r>
    </w:p>
    <w:p>
      <w:pPr>
        <w:spacing w:after="120"/>
      </w:pPr>
      <w:r>
        <w:rPr>
          <w:i/>
          <w:iCs/>
          <w:sz w:val="22"/>
          <w:szCs w:val="22"/>
        </w:rPr>
        <w:t xml:space="preserve">Details connectivity between on-premise and cloud systems. Not derivable from the iFlow export — complete manually if this interface uses the Cloud Connector (e.g. an On-Premise proxy type appears in Section 3.7).</w:t>
      </w:r>
    </w:p>
    <w:p>
      <w:pPr>
        <w:spacing w:after="80"/>
      </w:pPr>
    </w:p>
    <w:p>
      <w:pPr>
        <w:spacing w:after="60" w:before="200"/>
      </w:pPr>
      <w:r>
        <w:rPr>
          <w:b/>
          <w:bCs/>
          <w:color w:val="375623"/>
          <w:sz w:val="26"/>
          <w:szCs w:val="26"/>
        </w:rPr>
        <w:t xml:space="preserve">3.3 Pallet Functions</w:t>
      </w:r>
    </w:p>
    <w:p>
      <w:pPr>
        <w:spacing w:after="50" w:before="160"/>
      </w:pPr>
      <w:r>
        <w:rPr>
          <w:b/>
          <w:bCs/>
          <w:color w:val="1b2130"/>
          <w:sz w:val="22"/>
          <w:szCs w:val="22"/>
        </w:rPr>
        <w:t xml:space="preserve">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EndpointSender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BB_FICOPROC_1</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SAPCI_1</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BB_FICOPROC_2</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SAPCI_2</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BB_FICOPROC_4</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BB_FICOPROC_5</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SAPCI_4</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Local Integration Process - Change Timesheet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 Process - Timesheet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Local Integration Process - RetryCount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Local Integration Process - Create Timesheet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bl>
    <w:p>
      <w:pPr>
        <w:spacing w:after="80"/>
      </w:pPr>
    </w:p>
    <w:p>
      <w:pPr>
        <w:spacing w:after="60" w:before="200"/>
      </w:pPr>
      <w:r>
        <w:rPr>
          <w:b/>
          <w:bCs/>
          <w:color w:val="375623"/>
          <w:sz w:val="26"/>
          <w:szCs w:val="26"/>
        </w:rPr>
        <w:t xml:space="preserve">3.3.1 Start Event</w:t>
      </w:r>
    </w:p>
    <w:p>
      <w:pPr>
        <w:spacing w:after="50" w:before="160"/>
      </w:pPr>
      <w:r>
        <w:rPr>
          <w:b/>
          <w:bCs/>
          <w:color w:val="1b2130"/>
          <w:sz w:val="22"/>
          <w:szCs w:val="22"/>
        </w:rPr>
        <w:t xml:space="preserve">Name: Start 2</w:t>
      </w:r>
    </w:p>
    <w:p>
      <w:pPr>
        <w:spacing w:after="120"/>
      </w:pPr>
      <w:r>
        <w:rPr>
          <w:i w:val="false"/>
          <w:iCs w:val="false"/>
          <w:sz w:val="22"/>
          <w:szCs w:val="22"/>
        </w:rPr>
        <w:t xml:space="preserve">Initializes the Change Timesheet local process.</w:t>
      </w:r>
    </w:p>
    <w:p>
      <w:pPr>
        <w:spacing w:after="80"/>
      </w:pPr>
    </w:p>
    <w:p>
      <w:pPr>
        <w:spacing w:after="60" w:before="200"/>
      </w:pPr>
      <w:r>
        <w:rPr>
          <w:b/>
          <w:bCs/>
          <w:color w:val="375623"/>
          <w:sz w:val="26"/>
          <w:szCs w:val="26"/>
        </w:rPr>
        <w:t xml:space="preserve">3.3.2 Groovy Script</w:t>
      </w:r>
    </w:p>
    <w:p>
      <w:pPr>
        <w:spacing w:after="50" w:before="160"/>
      </w:pPr>
      <w:r>
        <w:rPr>
          <w:b/>
          <w:bCs/>
          <w:color w:val="1b2130"/>
          <w:sz w:val="22"/>
          <w:szCs w:val="22"/>
        </w:rPr>
        <w:t xml:space="preserve">Name: Set_Soap_header</w:t>
      </w:r>
    </w:p>
    <w:p>
      <w:pPr>
        <w:spacing w:after="120"/>
      </w:pPr>
      <w:r>
        <w:rPr>
          <w:i w:val="false"/>
          <w:iCs w:val="false"/>
          <w:sz w:val="22"/>
          <w:szCs w:val="22"/>
        </w:rPr>
        <w:t xml:space="preserve">Executes a common script to set the SOAP message ID header.</w:t>
      </w:r>
    </w:p>
    <w:p>
      <w:pPr>
        <w:spacing w:after="120"/>
      </w:pPr>
      <w:r>
        <w:rPr>
          <w:i w:val="false"/>
          <w:iCs w:val="false"/>
          <w:sz w:val="22"/>
          <w:szCs w:val="22"/>
        </w:rPr>
        <w:t xml:space="preserve">Attachment: attachments/GET_SOAP_MESSAGE_ID_COMMON.groovy</w:t>
      </w:r>
    </w:p>
    <w:p>
      <w:pPr>
        <w:spacing w:after="80"/>
      </w:pPr>
    </w:p>
    <w:p>
      <w:pPr>
        <w:spacing w:after="50" w:before="160"/>
      </w:pPr>
      <w:r>
        <w:rPr>
          <w:b/>
          <w:bCs/>
          <w:color w:val="1b2130"/>
          <w:sz w:val="22"/>
          <w:szCs w:val="22"/>
        </w:rPr>
        <w:t xml:space="preserve">Name: Remove_XML_Declaration</w:t>
      </w:r>
    </w:p>
    <w:p>
      <w:pPr>
        <w:spacing w:after="120"/>
      </w:pPr>
      <w:r>
        <w:rPr>
          <w:i w:val="false"/>
          <w:iCs w:val="false"/>
          <w:sz w:val="22"/>
          <w:szCs w:val="22"/>
        </w:rPr>
        <w:t xml:space="preserve">Executes a common script to strip the XML declaration from the payload.</w:t>
      </w:r>
    </w:p>
    <w:p>
      <w:pPr>
        <w:spacing w:after="120"/>
      </w:pPr>
      <w:r>
        <w:rPr>
          <w:i w:val="false"/>
          <w:iCs w:val="false"/>
          <w:sz w:val="22"/>
          <w:szCs w:val="22"/>
        </w:rPr>
        <w:t xml:space="preserve">Attachment: attachments/REMOVE_FIRST_LINE_WITHTAGXML.groovy</w:t>
      </w:r>
    </w:p>
    <w:p>
      <w:pPr>
        <w:spacing w:after="80"/>
      </w:pPr>
    </w:p>
    <w:p>
      <w:pPr>
        <w:spacing w:after="50" w:before="160"/>
      </w:pPr>
      <w:r>
        <w:rPr>
          <w:b/>
          <w:bCs/>
          <w:color w:val="1b2130"/>
          <w:sz w:val="22"/>
          <w:szCs w:val="22"/>
        </w:rPr>
        <w:t xml:space="preserve">Name: check_UpdateAPI_Response</w:t>
      </w:r>
    </w:p>
    <w:p>
      <w:pPr>
        <w:spacing w:after="120"/>
      </w:pPr>
      <w:r>
        <w:rPr>
          <w:i w:val="false"/>
          <w:iCs w:val="false"/>
          <w:sz w:val="22"/>
          <w:szCs w:val="22"/>
        </w:rPr>
        <w:t xml:space="preserve">Parses the API response to detect errors and set status properties.</w:t>
      </w:r>
    </w:p>
    <w:p>
      <w:pPr>
        <w:spacing w:after="120"/>
      </w:pPr>
      <w:r>
        <w:rPr>
          <w:i w:val="false"/>
          <w:iCs w:val="false"/>
          <w:sz w:val="22"/>
          <w:szCs w:val="22"/>
        </w:rPr>
        <w:t xml:space="preserve">Attachment: attachments/script2.groovy</w:t>
      </w:r>
    </w:p>
    <w:p>
      <w:pPr>
        <w:spacing w:after="80"/>
      </w:pPr>
    </w:p>
    <w:p>
      <w:pPr>
        <w:spacing w:after="60" w:before="200"/>
      </w:pPr>
      <w:r>
        <w:rPr>
          <w:b/>
          <w:bCs/>
          <w:color w:val="375623"/>
          <w:sz w:val="26"/>
          <w:szCs w:val="26"/>
        </w:rPr>
        <w:t xml:space="preserve">3.3.3 Content Modifier</w:t>
      </w:r>
    </w:p>
    <w:p>
      <w:pPr>
        <w:spacing w:after="50" w:before="160"/>
      </w:pPr>
      <w:r>
        <w:rPr>
          <w:b/>
          <w:bCs/>
          <w:color w:val="1b2130"/>
          <w:sz w:val="22"/>
          <w:szCs w:val="22"/>
        </w:rPr>
        <w:t xml:space="preserve">Name: cm_Set_SOAPEnvelope</w:t>
      </w:r>
    </w:p>
    <w:p>
      <w:pPr>
        <w:spacing w:after="120"/>
      </w:pPr>
      <w:r>
        <w:rPr>
          <w:i w:val="false"/>
          <w:iCs w:val="false"/>
          <w:sz w:val="22"/>
          <w:szCs w:val="22"/>
        </w:rPr>
        <w:t xml:space="preserve">Wraps the payload in a SOAP envelope and sets necessary HTTP headers.</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zfm_mm_7908_catimesheet_change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text/xml</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expression</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cm_set_MappedPayload</w:t>
      </w:r>
    </w:p>
    <w:p>
      <w:pPr>
        <w:spacing w:after="120"/>
      </w:pPr>
      <w:r>
        <w:rPr>
          <w:i w:val="false"/>
          <w:iCs w:val="false"/>
          <w:sz w:val="22"/>
          <w:szCs w:val="22"/>
        </w:rPr>
        <w:t xml:space="preserve">Stores the mapped payload in a property for potential error logging.</w:t>
      </w:r>
    </w:p>
    <w:p>
      <w:pPr>
        <w:spacing w:after="50" w:before="160"/>
      </w:pPr>
      <w:r>
        <w:rPr>
          <w:b/>
          <w:bCs/>
          <w:color w:val="1b2130"/>
          <w:sz w:val="22"/>
          <w:szCs w:val="22"/>
        </w:rPr>
        <w:t xml:space="preserve">Exchange Property —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ChangeTimesheetMappedPayload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expression</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${in.body}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constant</w:t>
      </w:r>
    </w:p>
    <w:p>
      <w:pPr>
        <w:spacing w:after="120"/>
      </w:pPr>
      <w:r>
        <w:rPr>
          <w:i w:val="false"/>
          <w:iCs w:val="false"/>
          <w:sz w:val="22"/>
          <w:szCs w:val="22"/>
        </w:rPr>
        <w:t xml:space="preserve">Body: —</w:t>
      </w:r>
    </w:p>
    <w:p>
      <w:pPr>
        <w:spacing w:after="80"/>
      </w:pPr>
    </w:p>
    <w:p>
      <w:pPr>
        <w:spacing w:after="60" w:before="200"/>
      </w:pPr>
      <w:r>
        <w:rPr>
          <w:b/>
          <w:bCs/>
          <w:color w:val="375623"/>
          <w:sz w:val="26"/>
          <w:szCs w:val="26"/>
        </w:rPr>
        <w:t xml:space="preserve">3.3.4 Request-Reply / External Call</w:t>
      </w:r>
    </w:p>
    <w:p>
      <w:pPr>
        <w:spacing w:after="50" w:before="160"/>
      </w:pPr>
      <w:r>
        <w:rPr>
          <w:b/>
          <w:bCs/>
          <w:color w:val="1b2130"/>
          <w:sz w:val="22"/>
          <w:szCs w:val="22"/>
        </w:rPr>
        <w:t xml:space="preserve">Name: ReqRep_FICOPROC_ChangeTimesheet</w:t>
      </w:r>
    </w:p>
    <w:p>
      <w:pPr>
        <w:spacing w:after="120"/>
      </w:pPr>
      <w:r>
        <w:rPr>
          <w:i w:val="false"/>
          <w:iCs w:val="false"/>
          <w:sz w:val="22"/>
          <w:szCs w:val="22"/>
        </w:rPr>
        <w:t xml:space="preserve">Invokes the external FICOPROC system to change the timesheet.</w:t>
      </w:r>
    </w:p>
    <w:p>
      <w:pPr>
        <w:spacing w:after="120"/>
      </w:pPr>
      <w:r>
        <w:rPr>
          <w:i/>
          <w:iCs/>
          <w:sz w:val="22"/>
          <w:szCs w:val="22"/>
        </w:rPr>
        <w:t xml:space="preserve">See Section 3.7 Connectivity for the adapter/endpoint configuration this call uses.</w:t>
      </w:r>
    </w:p>
    <w:p>
      <w:pPr>
        <w:spacing w:after="80"/>
      </w:pPr>
    </w:p>
    <w:p>
      <w:pPr>
        <w:spacing w:after="60" w:before="200"/>
      </w:pPr>
      <w:r>
        <w:rPr>
          <w:b/>
          <w:bCs/>
          <w:color w:val="375623"/>
          <w:sz w:val="26"/>
          <w:szCs w:val="26"/>
        </w:rPr>
        <w:t xml:space="preserve">3.3.5 ExclusiveGateway</w:t>
      </w:r>
    </w:p>
    <w:p>
      <w:pPr>
        <w:spacing w:after="50" w:before="160"/>
      </w:pPr>
      <w:r>
        <w:rPr>
          <w:b/>
          <w:bCs/>
          <w:color w:val="1b2130"/>
          <w:sz w:val="22"/>
          <w:szCs w:val="22"/>
        </w:rPr>
        <w:t xml:space="preserve">Name: route_CheckError</w:t>
      </w:r>
    </w:p>
    <w:p>
      <w:pPr>
        <w:spacing w:after="120"/>
      </w:pPr>
      <w:r>
        <w:rPr>
          <w:i w:val="false"/>
          <w:iCs w:val="false"/>
          <w:sz w:val="22"/>
          <w:szCs w:val="22"/>
        </w:rPr>
        <w:t xml:space="preserve">Routes the process based on the presence of errors in the API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bl>
    <w:p>
      <w:pPr>
        <w:spacing w:after="80"/>
      </w:pPr>
    </w:p>
    <w:p>
      <w:pPr>
        <w:spacing w:after="60" w:before="200"/>
      </w:pPr>
      <w:r>
        <w:rPr>
          <w:b/>
          <w:bCs/>
          <w:color w:val="375623"/>
          <w:sz w:val="26"/>
          <w:szCs w:val="26"/>
        </w:rPr>
        <w:t xml:space="preserve">3.3.6 End Event</w:t>
      </w:r>
    </w:p>
    <w:p>
      <w:pPr>
        <w:spacing w:after="50" w:before="160"/>
      </w:pPr>
      <w:r>
        <w:rPr>
          <w:b/>
          <w:bCs/>
          <w:color w:val="1b2130"/>
          <w:sz w:val="22"/>
          <w:szCs w:val="22"/>
        </w:rPr>
        <w:t xml:space="preserve">Name: Escalation End - Change Timesheet</w:t>
      </w:r>
    </w:p>
    <w:p>
      <w:pPr>
        <w:spacing w:after="120"/>
      </w:pPr>
      <w:r>
        <w:rPr>
          <w:i w:val="false"/>
          <w:iCs w:val="false"/>
          <w:sz w:val="22"/>
          <w:szCs w:val="22"/>
        </w:rPr>
        <w:t xml:space="preserve">Terminates the process in an error state.</w:t>
      </w:r>
    </w:p>
    <w:p>
      <w:pPr>
        <w:spacing w:after="80"/>
      </w:pPr>
    </w:p>
    <w:p>
      <w:pPr>
        <w:spacing w:after="50" w:before="160"/>
      </w:pPr>
      <w:r>
        <w:rPr>
          <w:b/>
          <w:bCs/>
          <w:color w:val="1b2130"/>
          <w:sz w:val="22"/>
          <w:szCs w:val="22"/>
        </w:rPr>
        <w:t xml:space="preserve">Name: End - Change Timesheet</w:t>
      </w:r>
    </w:p>
    <w:p>
      <w:pPr>
        <w:spacing w:after="120"/>
      </w:pPr>
      <w:r>
        <w:rPr>
          <w:i w:val="false"/>
          <w:iCs w:val="false"/>
          <w:sz w:val="22"/>
          <w:szCs w:val="22"/>
        </w:rPr>
        <w:t xml:space="preserve">Successfully terminates the Change Timesheet process.</w:t>
      </w:r>
    </w:p>
    <w:p>
      <w:pPr>
        <w:spacing w:after="80"/>
      </w:pPr>
    </w:p>
    <w:p>
      <w:pPr>
        <w:spacing w:after="50" w:before="160"/>
      </w:pPr>
      <w:r>
        <w:rPr>
          <w:b/>
          <w:bCs/>
          <w:color w:val="1b2130"/>
          <w:sz w:val="22"/>
          <w:szCs w:val="22"/>
        </w:rPr>
        <w:t xml:space="preserve">High-Level Design</w:t>
      </w:r>
    </w:p>
    <w:p>
      <w:r>
        <w:drawing>
          <wp:inline distT="0" distB="0" distL="0" distR="0">
            <wp:extent cx="4762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4325"/>
                    </a:xfrm>
                    <a:prstGeom prst="rect">
                      <a:avLst/>
                    </a:prstGeom>
                  </pic:spPr>
                </pic:pic>
              </a:graphicData>
            </a:graphic>
          </wp:inline>
        </w:drawing>
      </w:r>
    </w:p>
    <w:p>
      <w:pPr>
        <w:spacing w:after="80"/>
      </w:pPr>
    </w:p>
    <w:p>
      <w:pPr>
        <w:spacing w:after="50" w:before="160"/>
      </w:pPr>
      <w:r>
        <w:rPr>
          <w:b/>
          <w:bCs/>
          <w:color w:val="1b2130"/>
          <w:sz w:val="22"/>
          <w:szCs w:val="22"/>
        </w:rPr>
        <w:t xml:space="preserve">Message Flow Diagram</w:t>
      </w:r>
    </w:p>
    <w:p>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790575"/>
                    </a:xfrm>
                    <a:prstGeom prst="rect">
                      <a:avLst/>
                    </a:prstGeom>
                  </pic:spPr>
                </pic:pic>
              </a:graphicData>
            </a:graphic>
          </wp:inline>
        </w:drawing>
      </w:r>
    </w:p>
    <w:p>
      <w:pPr>
        <w:spacing w:after="80"/>
      </w:pPr>
    </w:p>
    <w:p>
      <w:pPr>
        <w:spacing w:after="120"/>
      </w:pPr>
      <w:r>
        <w:rPr>
          <w:i w:val="false"/>
          <w:iCs w:val="false"/>
          <w:sz w:val="22"/>
          <w:szCs w:val="22"/>
        </w:rPr>
        <w:t xml:space="preserve">The process begins with a timer-triggered integration flow that converts CSV input to XML and routes records based on mapping logic. It invokes two local processes, 'Create Timesheet' and 'Change Timesheet', which both perform SOAP envelope wrapping and external HTTP calls to the FICOPROC system. Response handling is managed by Groovy scripts that inspect the BAPI return structures for error flags, with an exception subprocess and a retry-count process available to handle failures.</w:t>
      </w:r>
    </w:p>
    <w:p>
      <w:pPr>
        <w:spacing w:after="80"/>
      </w:pPr>
    </w:p>
    <w:p>
      <w:pPr>
        <w:spacing w:after="80"/>
      </w:pPr>
    </w:p>
    <w:p>
      <w:pPr>
        <w:spacing w:after="60" w:before="200"/>
      </w:pPr>
      <w:r>
        <w:rPr>
          <w:b/>
          <w:bCs/>
          <w:color w:val="375623"/>
          <w:sz w:val="26"/>
          <w:szCs w:val="26"/>
        </w:rPr>
        <w:t xml:space="preserve">3.4 Security</w:t>
      </w:r>
    </w:p>
    <w:p>
      <w:pPr>
        <w:spacing w:after="120"/>
      </w:pPr>
      <w:r>
        <w:rPr>
          <w:i w:val="false"/>
          <w:iCs w:val="false"/>
          <w:sz w:val="22"/>
          <w:szCs w:val="22"/>
        </w:rPr>
        <w:t xml:space="preserve">Details authentication, encryption, and access controls.</w:t>
      </w:r>
    </w:p>
    <w:p>
      <w:pPr>
        <w:spacing w:after="120"/>
      </w:pPr>
      <w:r>
        <w:rPr>
          <w:i w:val="false"/>
          <w:iCs w:val="false"/>
          <w:sz w:val="22"/>
          <w:szCs w:val="22"/>
        </w:rPr>
        <w:t xml:space="preserve">The iFlow uses Basic Authentication for external HTTP calls and includes encrypted JMS messaging for retries, though it relies on externalized credentials which must be managed securely in the SAP BTP Keystore/Credential store.</w:t>
      </w:r>
    </w:p>
    <w:p>
      <w:pPr>
        <w:spacing w:after="80"/>
      </w:pPr>
    </w:p>
    <w:p>
      <w:pPr>
        <w:spacing w:after="50" w:before="160"/>
      </w:pPr>
      <w:r>
        <w:rPr>
          <w:b/>
          <w:bCs/>
          <w:color w:val="1b2130"/>
          <w:sz w:val="22"/>
          <w:szCs w:val="22"/>
        </w:rPr>
        <w:t xml:space="preserve">Security Material</w:t>
      </w:r>
    </w:p>
    <w:p>
      <w:pPr>
        <w:spacing w:after="120"/>
      </w:pPr>
      <w:r>
        <w:rPr>
          <w:i/>
          <w:iCs/>
          <w:sz w:val="22"/>
          <w:szCs w:val="22"/>
        </w:rPr>
        <w:t xml:space="preserve">No named credentials/keystore aliases were found in this iFlow's adapter configuration.</w:t>
      </w:r>
    </w:p>
    <w:p>
      <w:pPr>
        <w:spacing w:after="80"/>
      </w:pPr>
    </w:p>
    <w:p>
      <w:pPr>
        <w:spacing w:after="50" w:before="160"/>
      </w:pPr>
      <w:r>
        <w:rPr>
          <w:b/>
          <w:bCs/>
          <w:color w:val="1b2130"/>
          <w:sz w:val="22"/>
          <w:szCs w:val="22"/>
        </w:rPr>
        <w:t xml:space="preserve">Security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Configuration</w:t>
            </w:r>
          </w:p>
        </w:tc>
        <w:tc>
          <w:tcPr>
            <w:tcW w:type="pct" w:w="4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Observation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Basic Auth</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Credentials are externalized via {{CredentialName}}.</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Connectivity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SAP Cloud Connector</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Used for secure on-premise connectivity to FICOPROC.</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Data Protection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JMS Encryption</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JMS queues are configured with message encryption enabled.</w:t>
            </w:r>
          </w:p>
        </w:tc>
      </w:tr>
    </w:tbl>
    <w:p>
      <w:pPr>
        <w:spacing w:after="80"/>
      </w:pPr>
    </w:p>
    <w:p>
      <w:pPr>
        <w:spacing w:after="80"/>
      </w:pPr>
    </w:p>
    <w:p>
      <w:pPr>
        <w:spacing w:after="60" w:before="200"/>
      </w:pPr>
      <w:r>
        <w:rPr>
          <w:b/>
          <w:bCs/>
          <w:color w:val="375623"/>
          <w:sz w:val="26"/>
          <w:szCs w:val="26"/>
        </w:rPr>
        <w:t xml:space="preserve">3.5 Manage Stores</w:t>
      </w:r>
    </w:p>
    <w:p>
      <w:pPr>
        <w:spacing w:after="120"/>
      </w:pPr>
      <w:r>
        <w:rPr>
          <w:i w:val="false"/>
          <w:iCs w:val="false"/>
          <w:sz w:val="22"/>
          <w:szCs w:val="22"/>
        </w:rPr>
        <w:t xml:space="preserve">Describes message persistence mechanisms (Data Store, Variables, Number Ranges).</w:t>
      </w:r>
    </w:p>
    <w:p>
      <w:pPr>
        <w:spacing w:after="120"/>
      </w:pPr>
      <w:r>
        <w:rPr>
          <w:i/>
          <w:iCs/>
          <w:sz w:val="22"/>
          <w:szCs w:val="22"/>
        </w:rPr>
        <w:t xml:space="preserve">No Data Store, Variable, or Number Range operations were found in this iFlow.</w:t>
      </w:r>
    </w:p>
    <w:p>
      <w:pPr>
        <w:spacing w:after="80"/>
      </w:pPr>
    </w:p>
    <w:p>
      <w:pPr>
        <w:spacing w:after="60" w:before="200"/>
      </w:pPr>
      <w:r>
        <w:rPr>
          <w:b/>
          <w:bCs/>
          <w:color w:val="375623"/>
          <w:sz w:val="26"/>
          <w:szCs w:val="26"/>
        </w:rPr>
        <w:t xml:space="preserve">3.6 Monitoring and Error Handling</w:t>
      </w:r>
    </w:p>
    <w:p>
      <w:pPr>
        <w:spacing w:after="120"/>
      </w:pPr>
      <w:r>
        <w:rPr>
          <w:i w:val="false"/>
          <w:iCs w:val="false"/>
          <w:sz w:val="22"/>
          <w:szCs w:val="22"/>
        </w:rPr>
        <w:t xml:space="preserve">Captures error logging and alert mechanisms.</w:t>
      </w:r>
    </w:p>
    <w:p>
      <w:pPr>
        <w:spacing w:after="50" w:before="160"/>
      </w:pPr>
      <w:r>
        <w:rPr>
          <w:b/>
          <w:bCs/>
          <w:color w:val="1b2130"/>
          <w:sz w:val="22"/>
          <w:szCs w:val="22"/>
        </w:rPr>
        <w:t xml:space="preserve">Log Configuration</w:t>
      </w:r>
    </w:p>
    <w:p>
      <w:pPr>
        <w:spacing w:after="120"/>
      </w:pPr>
      <w:r>
        <w:rPr>
          <w:i/>
          <w:iCs/>
          <w:sz w:val="22"/>
          <w:szCs w:val="22"/>
        </w:rPr>
        <w:t xml:space="preserve">Log level is not explicitly configured in the iFlow XML — uses the tenant default; verify in the Monitor before go-live.</w:t>
      </w:r>
    </w:p>
    <w:p>
      <w:pPr>
        <w:spacing w:after="120"/>
      </w:pPr>
      <w:r>
        <w:rPr>
          <w:i w:val="false"/>
          <w:iCs w:val="false"/>
          <w:sz w:val="22"/>
          <w:szCs w:val="22"/>
        </w:rPr>
        <w:t xml:space="preserve">The iFlow utilizes the Message Log factory within Groovy scripts to attach error and warning payloads to the MPL, providing visibility into BAPI response failures.</w:t>
      </w:r>
    </w:p>
    <w:p>
      <w:pPr>
        <w:spacing w:after="60"/>
        <w:ind w:left="360"/>
      </w:pPr>
      <w:r>
        <w:rPr>
          <w:sz w:val="22"/>
          <w:szCs w:val="22"/>
        </w:rPr>
        <w:t xml:space="preserve">• Exception Subprocess - Main: Captures errors and sets custom headers for downstream logging.</w:t>
      </w:r>
    </w:p>
    <w:p>
      <w:pPr>
        <w:spacing w:after="60"/>
        <w:ind w:left="360"/>
      </w:pPr>
      <w:r>
        <w:rPr>
          <w:sz w:val="22"/>
          <w:szCs w:val="22"/>
        </w:rPr>
        <w:t xml:space="preserve">• Local Integration Process - RetryCount: Manages retry logic by checking counts and routing to a JMS queue.</w:t>
      </w:r>
    </w:p>
    <w:p>
      <w:pPr>
        <w:spacing w:after="60"/>
        <w:ind w:left="360"/>
      </w:pPr>
      <w:r>
        <w:rPr>
          <w:sz w:val="22"/>
          <w:szCs w:val="22"/>
        </w:rPr>
        <w:t xml:space="preserve">• check_CreateAPI_Response / check_UpdateAPI_Response: Groovy scripts inspect BAPI return structures and set properties (ErrorInCreate/ErrorInUpdate) to trigger error routing.</w:t>
      </w:r>
    </w:p>
    <w:p>
      <w:pPr>
        <w:spacing w:after="80"/>
      </w:pPr>
    </w:p>
    <w:p>
      <w:pPr>
        <w:spacing w:after="80"/>
      </w:pPr>
    </w:p>
    <w:p>
      <w:pPr>
        <w:spacing w:after="60" w:before="200"/>
      </w:pPr>
      <w:r>
        <w:rPr>
          <w:b/>
          <w:bCs/>
          <w:color w:val="375623"/>
          <w:sz w:val="26"/>
          <w:szCs w:val="26"/>
        </w:rPr>
        <w:t xml:space="preserve">3.7 Connectivity</w:t>
      </w:r>
    </w:p>
    <w:p>
      <w:pPr>
        <w:spacing w:after="120"/>
      </w:pPr>
      <w:r>
        <w:rPr>
          <w:i w:val="false"/>
          <w:iCs w:val="false"/>
          <w:sz w:val="22"/>
          <w:szCs w:val="22"/>
        </w:rPr>
        <w:t xml:space="preserve">Defines network, proxy, and API configurations.</w:t>
      </w:r>
    </w:p>
    <w:p>
      <w:pPr>
        <w:spacing w:after="120"/>
      </w:pPr>
      <w:r>
        <w:rPr>
          <w:i w:val="false"/>
          <w:iCs w:val="false"/>
          <w:sz w:val="22"/>
          <w:szCs w:val="22"/>
        </w:rPr>
        <w:t xml:space="preserve">Connectivity is established via HTTP adapters configured for the SAP Cloud Connector, with a 60-second timeout and retry iterations defined to handle transient network issues.</w:t>
      </w:r>
    </w:p>
    <w:p>
      <w:pPr>
        <w:spacing w:after="80"/>
      </w:pPr>
    </w:p>
    <w:p>
      <w:pPr>
        <w:spacing w:after="60" w:before="200"/>
      </w:pPr>
      <w:r>
        <w:rPr>
          <w:b/>
          <w:bCs/>
          <w:color w:val="375623"/>
          <w:sz w:val="26"/>
          <w:szCs w:val="26"/>
        </w:rPr>
        <w:t xml:space="preserve">3.7.1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{{Host_Ficoproc}}/sap/bc/srt/scs/sap/zbapi_catimesheetmgr_insert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{{sap-client}}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60000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BB_FICOPROC_3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Basic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{{CredentialName}}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{{Host_Ficoproc}}/sap/bc/srt/scs/sap/zbapi_catimesheetmgr_insert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3.7.2 JMS (JMS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JMS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UseMessageCompression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QueueName_outbound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{{ResendQueue}}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SAPCI_4</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EncryptMessage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RetentionThresholdAlerting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ExpirationPeriod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30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TransferExchangeProperties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AccessType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Non-Exclusive</w:t>
            </w:r>
          </w:p>
        </w:tc>
      </w:tr>
    </w:tbl>
    <w:p>
      <w:pPr>
        <w:spacing w:after="80"/>
      </w:pPr>
    </w:p>
    <w:p>
      <w:pPr>
        <w:spacing w:after="60" w:before="200"/>
      </w:pPr>
      <w:r>
        <w:rPr>
          <w:b/>
          <w:bCs/>
          <w:color w:val="375623"/>
          <w:sz w:val="26"/>
          <w:szCs w:val="26"/>
        </w:rPr>
        <w:t xml:space="preserve">3.7.3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{{Host_Ficoproc}}/sap/bc/srt/scs/sap/zfm_mm_7908_catimesheet_change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{{sap-client}}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60000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BB_FICOPROC_2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Basic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{{CredentialName}}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{{Host_Ficoproc}}/sap/bc/srt/scs/sap/zfm_mm_7908_catimesheet_change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80"/>
      </w:pPr>
    </w:p>
    <w:p>
      <w:pPr>
        <w:spacing w:after="80"/>
      </w:pPr>
    </w:p>
    <w:p>
      <w:pPr>
        <w:spacing w:after="80" w:before="280"/>
      </w:pPr>
      <w:r>
        <w:rPr>
          <w:b/>
          <w:bCs/>
          <w:color w:val="2F5496"/>
          <w:sz w:val="32"/>
          <w:szCs w:val="32"/>
        </w:rPr>
        <w:t xml:space="preserve">4. Event Mesh Technical Information</w:t>
      </w:r>
    </w:p>
    <w:p>
      <w:pPr>
        <w:spacing w:after="120"/>
      </w:pPr>
      <w:r>
        <w:rPr>
          <w:i/>
          <w:iCs/>
          <w:sz w:val="22"/>
          <w:szCs w:val="22"/>
        </w:rPr>
        <w:t xml:space="preserve">No Event Mesh components were detected in this iFlow. Section left for manual completion if applicable.</w:t>
      </w:r>
    </w:p>
    <w:p>
      <w:pPr>
        <w:spacing w:after="80"/>
      </w:pPr>
    </w:p>
    <w:p>
      <w:pPr>
        <w:spacing w:after="80" w:before="280"/>
      </w:pPr>
      <w:r>
        <w:rPr>
          <w:b/>
          <w:bCs/>
          <w:color w:val="2F5496"/>
          <w:sz w:val="32"/>
          <w:szCs w:val="32"/>
        </w:rPr>
        <w:t xml:space="preserve">5. APIM Technical Information</w:t>
      </w:r>
    </w:p>
    <w:p>
      <w:pPr>
        <w:spacing w:after="120"/>
      </w:pPr>
      <w:r>
        <w:rPr>
          <w:i/>
          <w:iCs/>
          <w:sz w:val="22"/>
          <w:szCs w:val="22"/>
        </w:rPr>
        <w:t xml:space="preserve">No API Management components were detected in this iFlow. Section left for manual completion if applicable.</w:t>
      </w:r>
    </w:p>
    <w:p>
      <w:pPr>
        <w:spacing w:after="80"/>
      </w:pPr>
    </w:p>
    <w:p>
      <w:pPr>
        <w:spacing w:after="80" w:before="280"/>
      </w:pPr>
      <w:r>
        <w:rPr>
          <w:b/>
          <w:bCs/>
          <w:color w:val="2F5496"/>
          <w:sz w:val="32"/>
          <w:szCs w:val="32"/>
        </w:rPr>
        <w:t xml:space="preserve">6. Test Cases</w:t>
      </w:r>
    </w:p>
    <w:p>
      <w:pPr>
        <w:spacing w:after="120"/>
      </w:pPr>
      <w:r>
        <w:rPr>
          <w:i w:val="false"/>
          <w:iCs w:val="false"/>
          <w:sz w:val="22"/>
          <w:szCs w:val="22"/>
        </w:rPr>
        <w:t xml:space="preserve">Identify the test scenarios to be used to test the development with. (Mandatory)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Test Considerations</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Scope of Testing (IS / OS / BO)</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Target Test Date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successful creation of a new timesheet record</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successful update of an existing timesheet record</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Test error handling when BAPI returns 'E' or 'A' type messages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retry logic by simulating a connection failure to FICOPROC</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Validate CSV to XML conversion with malformed input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bl>
    <w:p>
      <w:pPr>
        <w:spacing w:after="80"/>
      </w:pPr>
    </w:p>
    <w:p>
      <w:pPr>
        <w:spacing w:after="80"/>
      </w:pPr>
    </w:p>
    <w:p>
      <w:pPr>
        <w:spacing w:after="80" w:before="280"/>
      </w:pPr>
      <w:r>
        <w:rPr>
          <w:b/>
          <w:bCs/>
          <w:color w:val="2F5496"/>
          <w:sz w:val="32"/>
          <w:szCs w:val="32"/>
        </w:rPr>
        <w:t xml:space="preserve">Appendix A: Automated Review Findings</w:t>
      </w:r>
    </w:p>
    <w:p>
      <w:pPr>
        <w:spacing w:after="120"/>
      </w:pPr>
      <w:r>
        <w:rPr>
          <w:i/>
          <w:iCs/>
          <w:sz w:val="22"/>
          <w:szCs w:val="22"/>
        </w:rPr>
        <w:t xml:space="preserve">Supplementary AI-generated review — not part of the standard TSD template, kept for convenience.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Severity</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Finding</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Recommendation</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High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Error Handling</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Missing explicit 'Throw Exception' on error gateways</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Ensure gateways are configured to throw exceptions to trigger the Exception Subprocess properly.</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Medium</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Hardcoded Data</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SenderPayload Content Modifier contains hardcoded sample data</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Remove hardcoded sample data from the Content Modifier before production deployment.</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Low</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Naming Convention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Inconsistent naming in Exception Subprocess headers</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Correct the typo in 'SAP_MessageTyoe' to 'SAP_MessageType'.</w:t>
            </w:r>
          </w:p>
        </w:tc>
      </w:tr>
    </w:tbl>
    <w:p>
      <w:pPr>
        <w:spacing w:after="80"/>
      </w:pPr>
    </w:p>
    <w:p>
      <w:pPr>
        <w:spacing w:after="60"/>
        <w:ind w:left="360"/>
      </w:pPr>
      <w:r>
        <w:rPr>
          <w:sz w:val="22"/>
          <w:szCs w:val="22"/>
        </w:rPr>
        <w:t xml:space="preserve">• Verify that the 'ResendQueue' is correctly provisioned in the JMS broker.</w:t>
      </w:r>
    </w:p>
    <w:p>
      <w:pPr>
        <w:spacing w:after="60"/>
        <w:ind w:left="360"/>
      </w:pPr>
      <w:r>
        <w:rPr>
          <w:sz w:val="22"/>
          <w:szCs w:val="22"/>
        </w:rPr>
        <w:t xml:space="preserve">• Confirm that the user defined in {{CredentialName}} has sufficient BAPI execution permissions in the target SAP system.</w:t>
      </w:r>
    </w:p>
    <w:p>
      <w:pPr>
        <w:spacing w:after="60"/>
        <w:ind w:left="360"/>
      </w:pPr>
      <w:r>
        <w:rPr>
          <w:sz w:val="22"/>
          <w:szCs w:val="22"/>
        </w:rPr>
        <w:t xml:space="preserve">• Ensure the XSD referenced in the CSV converter is compatible with the incoming Zalaris file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9dadd30523289801c2e2d082af52c74395c8c4.png"/><Relationship Id="rId8" Type="http://schemas.openxmlformats.org/officeDocument/2006/relationships/image" Target="media/f6f608e25ff2202ec005e1518c203f9285f269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2026-07-05T21:01:13.431Z</dcterms:created>
  <dcterms:modified xsi:type="dcterms:W3CDTF">2026-07-05T21:01:13.431Z</dcterms:modified>
</cp:coreProperties>
</file>

<file path=docProps/custom.xml><?xml version="1.0" encoding="utf-8"?>
<Properties xmlns="http://schemas.openxmlformats.org/officeDocument/2006/custom-properties" xmlns:vt="http://schemas.openxmlformats.org/officeDocument/2006/docPropsVTypes"/>
</file>