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color w:val="1F3864"/>
          <w:sz w:val="44"/>
          <w:szCs w:val="44"/>
        </w:rPr>
        <w:t xml:space="preserve">Technical Specification</w:t>
      </w:r>
    </w:p>
    <w:p>
      <w:pPr>
        <w:spacing w:after="360" w:before="0"/>
        <w:jc w:val="center"/>
      </w:pPr>
      <w:r>
        <w:rPr>
          <w:b/>
          <w:bCs/>
          <w:color w:val="2F5496"/>
          <w:sz w:val="30"/>
          <w:szCs w:val="30"/>
        </w:rPr>
        <w:t xml:space="preserve">Interface INT_XXXXI&lt;xxx&gt;_ErrorHandlingUsingAI</w:t>
      </w:r>
    </w:p>
    <w:p>
      <w:pPr>
        <w:spacing w:after="80"/>
      </w:pPr>
    </w:p>
    <w:p>
      <w:pPr>
        <w:spacing w:after="80" w:before="280"/>
      </w:pPr>
      <w:r>
        <w:rPr>
          <w:b/>
          <w:bCs/>
          <w:color w:val="2F5496"/>
          <w:sz w:val="32"/>
          <w:szCs w:val="32"/>
        </w:rPr>
        <w:t xml:space="preserve">Document Identification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Interface 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I&lt;xxx&gt;</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Title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1.0.0</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Level3 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Author</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SAP 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Interface Pattern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80" w:before="280"/>
      </w:pPr>
      <w:r>
        <w:rPr>
          <w:b/>
          <w:bCs/>
          <w:color w:val="2F5496"/>
          <w:sz w:val="32"/>
          <w:szCs w:val="32"/>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Version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Author Of Revision</w:t>
            </w:r>
          </w:p>
        </w:tc>
        <w:tc>
          <w:tcPr>
            <w:tcW w:type="pct" w:w="1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Creation Date</w:t>
            </w:r>
          </w:p>
        </w:tc>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Comments</w:t>
            </w:r>
          </w:p>
        </w:tc>
        <w:tc>
          <w:tcPr>
            <w:tcW w:type="pct" w:w="1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Incident/CR Number</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1.0</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CI Pipeline</w:t>
            </w:r>
          </w:p>
        </w:tc>
        <w:tc>
          <w:tcPr>
            <w:tcW w:type="pct" w:w="15%"/>
            <w:tcBorders>
              <w:top w:val="single" w:color="CCCCCC" w:sz="4"/>
              <w:left w:val="single" w:color="CCCCCC" w:sz="4"/>
              <w:bottom w:val="single" w:color="CCCCCC" w:sz="4"/>
              <w:right w:val="single" w:color="CCCCCC" w:sz="4"/>
            </w:tcBorders>
            <w:vAlign w:val="center"/>
          </w:tcPr>
          <w:p>
            <w:r>
              <w:rPr>
                <w:sz w:val="18"/>
                <w:szCs w:val="18"/>
              </w:rPr>
              <w:t xml:space="preserve">2026-07-14</w:t>
            </w:r>
          </w:p>
        </w:tc>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Auto-generated from iFlow artifact via GitHub Actions</w:t>
            </w:r>
          </w:p>
        </w:tc>
        <w:tc>
          <w:tcPr>
            <w:tcW w:type="pct" w:w="1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80"/>
      </w:pPr>
    </w:p>
    <w:p>
      <w:pPr>
        <w:spacing w:after="80" w:before="280"/>
      </w:pPr>
      <w:r>
        <w:rPr>
          <w:b/>
          <w:bCs/>
          <w:color w:val="2F5496"/>
          <w:sz w:val="32"/>
          <w:szCs w:val="32"/>
        </w:rPr>
        <w:t xml:space="preserve">1. Detailed Functional Design</w:t>
      </w:r>
    </w:p>
    <w:p>
      <w:pPr>
        <w:spacing w:after="120"/>
      </w:pPr>
      <w:r>
        <w:rPr>
          <w:i/>
          <w:iCs/>
          <w:sz w:val="22"/>
          <w:szCs w:val="22"/>
        </w:rPr>
        <w:t xml:space="preserve">This section captures the functional requirements of the interface. It is not derivable from the iFlow export and must be completed manually (link the FSD / mapping sheet).</w:t>
      </w:r>
    </w:p>
    <w:p>
      <w:pPr>
        <w:spacing w:after="80"/>
      </w:pPr>
    </w:p>
    <w:p>
      <w:pPr>
        <w:spacing w:after="80" w:before="280"/>
      </w:pPr>
      <w:r>
        <w:rPr>
          <w:b/>
          <w:bCs/>
          <w:color w:val="2F5496"/>
          <w:sz w:val="32"/>
          <w:szCs w:val="32"/>
        </w:rPr>
        <w:t xml:space="preserve">2. Detailed Technical Design Specifications</w:t>
      </w:r>
    </w:p>
    <w:p>
      <w:pPr>
        <w:spacing w:after="120"/>
      </w:pPr>
      <w:r>
        <w:rPr>
          <w:i/>
          <w:iCs/>
          <w:sz w:val="22"/>
          <w:szCs w:val="22"/>
        </w:rPr>
        <w:t xml:space="preserve">This section covers ABAP-side development (custom objects, enhancements, function modules). It is out of scope for automated generation from an iFlow export — complete manually if this interface includes ABAP-side components.</w:t>
      </w:r>
    </w:p>
    <w:p>
      <w:pPr>
        <w:spacing w:after="80"/>
      </w:pPr>
    </w:p>
    <w:p>
      <w:pPr>
        <w:spacing w:after="80" w:before="280"/>
      </w:pPr>
      <w:r>
        <w:rPr>
          <w:b/>
          <w:bCs/>
          <w:color w:val="2F5496"/>
          <w:sz w:val="32"/>
          <w:szCs w:val="32"/>
        </w:rPr>
        <w:t xml:space="preserve">3. BTP-IS Technical Information</w:t>
      </w:r>
    </w:p>
    <w:p>
      <w:pPr>
        <w:spacing w:after="120"/>
      </w:pPr>
      <w:r>
        <w:rPr>
          <w:i w:val="false"/>
          <w:iCs w:val="false"/>
          <w:sz w:val="22"/>
          <w:szCs w:val="22"/>
        </w:rPr>
        <w:t xml:space="preserve">Covers SAP BTP Integration Suite components, configurations, and security details.</w:t>
      </w:r>
    </w:p>
    <w:p>
      <w:pPr>
        <w:spacing w:after="80"/>
      </w:pPr>
    </w:p>
    <w:p>
      <w:pPr>
        <w:spacing w:after="60" w:before="200"/>
      </w:pPr>
      <w:r>
        <w:rPr>
          <w:b/>
          <w:bCs/>
          <w:color w:val="375623"/>
          <w:sz w:val="26"/>
          <w:szCs w:val="26"/>
        </w:rPr>
        <w:t xml:space="preserve">3.1 Package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Package / Bundle 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Bundle 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1.0.0</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Bundle SymbolicName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 singleton:=true</w:t>
            </w:r>
          </w:p>
        </w:tc>
      </w:tr>
    </w:tbl>
    <w:p>
      <w:pPr>
        <w:spacing w:after="80"/>
      </w:pPr>
    </w:p>
    <w:p>
      <w:pPr>
        <w:spacing w:after="50" w:before="160"/>
      </w:pPr>
      <w:r>
        <w:rPr>
          <w:b/>
          <w:bCs/>
          <w:color w:val="1b2130"/>
          <w:sz w:val="22"/>
          <w:szCs w:val="22"/>
        </w:rPr>
        <w:t xml:space="preserve">3.1.1 Integration Flow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Process_1</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Namespace Mapping</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Allowed Header(s)</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Return Exception to Sender</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50" w:before="160"/>
      </w:pPr>
      <w:r>
        <w:rPr>
          <w:b/>
          <w:bCs/>
          <w:color w:val="1b2130"/>
          <w:sz w:val="22"/>
          <w:szCs w:val="22"/>
        </w:rPr>
        <w:t xml:space="preserve">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script1.groovy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script2.groovy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script3.groovy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bl>
    <w:p>
      <w:pPr>
        <w:spacing w:after="80"/>
      </w:pPr>
    </w:p>
    <w:p>
      <w:pPr>
        <w:spacing w:after="50" w:before="160"/>
      </w:pPr>
      <w:r>
        <w:rPr>
          <w:b/>
          <w:bCs/>
          <w:color w:val="1b2130"/>
          <w:sz w:val="22"/>
          <w:szCs w:val="22"/>
        </w:rPr>
        <w:t xml:space="preserve">Externalized Parameters</w:t>
      </w:r>
    </w:p>
    <w:p>
      <w:pPr>
        <w:spacing w:after="120"/>
      </w:pPr>
      <w:r>
        <w:rPr>
          <w:i/>
          <w:iCs/>
          <w:sz w:val="22"/>
          <w:szCs w:val="22"/>
        </w:rPr>
        <w:t xml:space="preserve">No externalized parameters are defined in this iFlow.</w:t>
      </w:r>
    </w:p>
    <w:p>
      <w:pPr>
        <w:spacing w:after="80"/>
      </w:pPr>
    </w:p>
    <w:p>
      <w:pPr>
        <w:spacing w:after="80"/>
      </w:pPr>
    </w:p>
    <w:p>
      <w:pPr>
        <w:spacing w:after="60" w:before="200"/>
      </w:pPr>
      <w:r>
        <w:rPr>
          <w:b/>
          <w:bCs/>
          <w:color w:val="375623"/>
          <w:sz w:val="26"/>
          <w:szCs w:val="26"/>
        </w:rPr>
        <w:t xml:space="preserve">3.2 Cloud Connector Configuration</w:t>
      </w:r>
    </w:p>
    <w:p>
      <w:pPr>
        <w:spacing w:after="120"/>
      </w:pPr>
      <w:r>
        <w:rPr>
          <w:i/>
          <w:iCs/>
          <w:sz w:val="22"/>
          <w:szCs w:val="22"/>
        </w:rPr>
        <w:t xml:space="preserve">Details connectivity between on-premise and cloud systems. Not derivable from the iFlow export — complete manually if this interface uses the Cloud Connector (e.g. an On-Premise proxy type appears in Section 3.7).</w:t>
      </w:r>
    </w:p>
    <w:p>
      <w:pPr>
        <w:spacing w:after="80"/>
      </w:pPr>
    </w:p>
    <w:p>
      <w:pPr>
        <w:spacing w:after="60" w:before="200"/>
      </w:pPr>
      <w:r>
        <w:rPr>
          <w:b/>
          <w:bCs/>
          <w:color w:val="375623"/>
          <w:sz w:val="26"/>
          <w:szCs w:val="26"/>
        </w:rPr>
        <w:t xml:space="preserve">3.3 Pallet Functions</w:t>
      </w:r>
    </w:p>
    <w:p>
      <w:pPr>
        <w:spacing w:after="50" w:before="160"/>
      </w:pPr>
      <w:r>
        <w:rPr>
          <w:b/>
          <w:bCs/>
          <w:color w:val="1b2130"/>
          <w:sz w:val="22"/>
          <w:szCs w:val="22"/>
        </w:rPr>
        <w:t xml:space="preserve">Participants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EndpointRecevier</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Gemini_3</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EndpointRecevier</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Integration Process</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IntegrationProcess</w:t>
            </w:r>
          </w:p>
        </w:tc>
      </w:tr>
    </w:tbl>
    <w:p>
      <w:pPr>
        <w:spacing w:after="80"/>
      </w:pPr>
    </w:p>
    <w:p>
      <w:pPr>
        <w:spacing w:after="60" w:before="200"/>
      </w:pPr>
      <w:r>
        <w:rPr>
          <w:b/>
          <w:bCs/>
          <w:color w:val="375623"/>
          <w:sz w:val="26"/>
          <w:szCs w:val="26"/>
        </w:rPr>
        <w:t xml:space="preserve">3.3.1 Start Event</w:t>
      </w:r>
    </w:p>
    <w:p>
      <w:pPr>
        <w:spacing w:after="50" w:before="160"/>
      </w:pPr>
      <w:r>
        <w:rPr>
          <w:b/>
          <w:bCs/>
          <w:color w:val="1b2130"/>
          <w:sz w:val="22"/>
          <w:szCs w:val="22"/>
        </w:rPr>
        <w:t xml:space="preserve">Name: Start Timer 1</w:t>
      </w:r>
    </w:p>
    <w:p>
      <w:pPr>
        <w:spacing w:after="120"/>
      </w:pPr>
      <w:r>
        <w:rPr>
          <w:i w:val="false"/>
          <w:iCs w:val="false"/>
          <w:sz w:val="22"/>
          <w:szCs w:val="22"/>
        </w:rPr>
        <w:t xml:space="preserve">The process is initiated by a timer, though the logic is primarily driven by the Exception Subprocess.</w:t>
      </w:r>
    </w:p>
    <w:p>
      <w:pPr>
        <w:spacing w:after="80"/>
      </w:pPr>
    </w:p>
    <w:p>
      <w:pPr>
        <w:spacing w:after="50" w:before="160"/>
      </w:pPr>
      <w:r>
        <w:rPr>
          <w:b/>
          <w:bCs/>
          <w:color w:val="1b2130"/>
          <w:sz w:val="22"/>
          <w:szCs w:val="22"/>
        </w:rPr>
        <w:t xml:space="preserve">Name: Error Start 1</w:t>
      </w:r>
    </w:p>
    <w:p>
      <w:pPr>
        <w:spacing w:after="120"/>
      </w:pPr>
      <w:r>
        <w:rPr>
          <w:i w:val="false"/>
          <w:iCs w:val="false"/>
          <w:sz w:val="22"/>
          <w:szCs w:val="22"/>
        </w:rPr>
        <w:t xml:space="preserve">The entry point for the Exception Subprocess triggered by any error in the main flow.</w:t>
      </w:r>
    </w:p>
    <w:p>
      <w:pPr>
        <w:spacing w:after="80"/>
      </w:pPr>
    </w:p>
    <w:p>
      <w:pPr>
        <w:spacing w:after="60" w:before="200"/>
      </w:pPr>
      <w:r>
        <w:rPr>
          <w:b/>
          <w:bCs/>
          <w:color w:val="375623"/>
          <w:sz w:val="26"/>
          <w:szCs w:val="26"/>
        </w:rPr>
        <w:t xml:space="preserve">3.3.2 End Event</w:t>
      </w:r>
    </w:p>
    <w:p>
      <w:pPr>
        <w:spacing w:after="50" w:before="160"/>
      </w:pPr>
      <w:r>
        <w:rPr>
          <w:b/>
          <w:bCs/>
          <w:color w:val="1b2130"/>
          <w:sz w:val="22"/>
          <w:szCs w:val="22"/>
        </w:rPr>
        <w:t xml:space="preserve">Name: End</w:t>
      </w:r>
    </w:p>
    <w:p>
      <w:pPr>
        <w:spacing w:after="120"/>
      </w:pPr>
      <w:r>
        <w:rPr>
          <w:i w:val="false"/>
          <w:iCs w:val="false"/>
          <w:sz w:val="22"/>
          <w:szCs w:val="22"/>
        </w:rPr>
        <w:t xml:space="preserve">The standard end event for the main integration process.</w:t>
      </w:r>
    </w:p>
    <w:p>
      <w:pPr>
        <w:spacing w:after="80"/>
      </w:pPr>
    </w:p>
    <w:p>
      <w:pPr>
        <w:spacing w:after="50" w:before="160"/>
      </w:pPr>
      <w:r>
        <w:rPr>
          <w:b/>
          <w:bCs/>
          <w:color w:val="1b2130"/>
          <w:sz w:val="22"/>
          <w:szCs w:val="22"/>
        </w:rPr>
        <w:t xml:space="preserve">Name: End 1</w:t>
      </w:r>
    </w:p>
    <w:p>
      <w:pPr>
        <w:spacing w:after="120"/>
      </w:pPr>
      <w:r>
        <w:rPr>
          <w:i w:val="false"/>
          <w:iCs w:val="false"/>
          <w:sz w:val="22"/>
          <w:szCs w:val="22"/>
        </w:rPr>
        <w:t xml:space="preserve">The termination point of the Exception Subprocess.</w:t>
      </w:r>
    </w:p>
    <w:p>
      <w:pPr>
        <w:spacing w:after="80"/>
      </w:pPr>
    </w:p>
    <w:p>
      <w:pPr>
        <w:spacing w:after="60" w:before="200"/>
      </w:pPr>
      <w:r>
        <w:rPr>
          <w:b/>
          <w:bCs/>
          <w:color w:val="375623"/>
          <w:sz w:val="26"/>
          <w:szCs w:val="26"/>
        </w:rPr>
        <w:t xml:space="preserve">3.3.3 Content Modifier</w:t>
      </w:r>
    </w:p>
    <w:p>
      <w:pPr>
        <w:spacing w:after="50" w:before="160"/>
      </w:pPr>
      <w:r>
        <w:rPr>
          <w:b/>
          <w:bCs/>
          <w:color w:val="1b2130"/>
          <w:sz w:val="22"/>
          <w:szCs w:val="22"/>
        </w:rPr>
        <w:t xml:space="preserve">Name: cm_setAPIKey_GenAIPrompt</w:t>
      </w:r>
    </w:p>
    <w:p>
      <w:pPr>
        <w:spacing w:after="120"/>
      </w:pPr>
      <w:r>
        <w:rPr>
          <w:i w:val="false"/>
          <w:iCs w:val="false"/>
          <w:sz w:val="22"/>
          <w:szCs w:val="22"/>
        </w:rPr>
        <w:t xml:space="preserve">Sets the initial prompt structure and headers, including the sensitive Google API key.</w:t>
      </w:r>
    </w:p>
    <w:p>
      <w:pPr>
        <w:spacing w:after="50" w:before="160"/>
      </w:pPr>
      <w:r>
        <w:rPr>
          <w:b/>
          <w:bCs/>
          <w:color w:val="1b2130"/>
          <w:sz w:val="22"/>
          <w:szCs w:val="22"/>
        </w:rPr>
        <w:t xml:space="preserve">Message Header — Headers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Content-Type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application/json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X-goog-api-key</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[REDACTED]</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Exchange Property —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GenAIPrompt</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     "contents": [         {             "parts": [                 {                     "text": " You are an SAP Integration consultant skilled in troubleshooting in SAP Cloud Integration (CPI). Above error is persisting while sending the message from sender to receiver system. For this error, Please respond using the following format, with each section clearly separated by a single line break in a direct and professional tone: 1. User-Friendly Error Message: A one sentence error that can be easily understood by non-technical stakeholders 2. Possible Reasons for the Error: List common causes for encountering this error in SAP CPI integration scenarios. 3. Possible Steps to Resolve the Error: Provide possible troubleshooting steps to address the issue and potentially resolve it. 4. HTTP Response: Provide appropriate HTTP error code (numerical value only) to be sent to sender system. "                 }             ]         }     ] }</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StartPrompt</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"text": "</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CaptureCustomError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User-Friendly Error Message: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CapturePossibleSolution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Possible Steps to Resolve the 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CapturePossibleReason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Possible Reasons for the 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CaptureHTTPCode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HTTP Response: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Message Body</w:t>
      </w:r>
    </w:p>
    <w:p>
      <w:pPr>
        <w:spacing w:after="120"/>
      </w:pPr>
      <w:r>
        <w:rPr>
          <w:i w:val="false"/>
          <w:iCs w:val="false"/>
          <w:sz w:val="22"/>
          <w:szCs w:val="22"/>
        </w:rPr>
        <w:t xml:space="preserve">Type: constant</w:t>
      </w:r>
    </w:p>
    <w:p>
      <w:pPr>
        <w:spacing w:after="120"/>
      </w:pPr>
      <w:r>
        <w:rPr>
          <w:i w:val="false"/>
          <w:iCs w:val="false"/>
          <w:sz w:val="22"/>
          <w:szCs w:val="22"/>
        </w:rPr>
        <w:t xml:space="preserve">Body: —</w:t>
      </w:r>
    </w:p>
    <w:p>
      <w:pPr>
        <w:spacing w:after="80"/>
      </w:pPr>
    </w:p>
    <w:p>
      <w:pPr>
        <w:spacing w:after="50" w:before="160"/>
      </w:pPr>
      <w:r>
        <w:rPr>
          <w:b/>
          <w:bCs/>
          <w:color w:val="1b2130"/>
          <w:sz w:val="22"/>
          <w:szCs w:val="22"/>
        </w:rPr>
        <w:t xml:space="preserve">Name: cm_setContentTypeErrorResponse</w:t>
      </w:r>
    </w:p>
    <w:p>
      <w:pPr>
        <w:spacing w:after="120"/>
      </w:pPr>
      <w:r>
        <w:rPr>
          <w:i w:val="false"/>
          <w:iCs w:val="false"/>
          <w:sz w:val="22"/>
          <w:szCs w:val="22"/>
        </w:rPr>
        <w:t xml:space="preserve">Sets the Content-Type header to application/xml for the final response.</w:t>
      </w:r>
    </w:p>
    <w:p>
      <w:pPr>
        <w:spacing w:after="50" w:before="160"/>
      </w:pPr>
      <w:r>
        <w:rPr>
          <w:b/>
          <w:bCs/>
          <w:color w:val="1b2130"/>
          <w:sz w:val="22"/>
          <w:szCs w:val="22"/>
        </w:rPr>
        <w:t xml:space="preserve">Message Header — Headers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Content-Type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application/xml</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Message Body</w:t>
      </w:r>
    </w:p>
    <w:p>
      <w:pPr>
        <w:spacing w:after="120"/>
      </w:pPr>
      <w:r>
        <w:rPr>
          <w:i w:val="false"/>
          <w:iCs w:val="false"/>
          <w:sz w:val="22"/>
          <w:szCs w:val="22"/>
        </w:rPr>
        <w:t xml:space="preserve">Type: constant</w:t>
      </w:r>
    </w:p>
    <w:p>
      <w:pPr>
        <w:spacing w:after="120"/>
      </w:pPr>
      <w:r>
        <w:rPr>
          <w:i w:val="false"/>
          <w:iCs w:val="false"/>
          <w:sz w:val="22"/>
          <w:szCs w:val="22"/>
        </w:rPr>
        <w:t xml:space="preserve">Body: —</w:t>
      </w:r>
    </w:p>
    <w:p>
      <w:pPr>
        <w:spacing w:after="80"/>
      </w:pPr>
    </w:p>
    <w:p>
      <w:pPr>
        <w:spacing w:after="60" w:before="200"/>
      </w:pPr>
      <w:r>
        <w:rPr>
          <w:b/>
          <w:bCs/>
          <w:color w:val="375623"/>
          <w:sz w:val="26"/>
          <w:szCs w:val="26"/>
        </w:rPr>
        <w:t xml:space="preserve">3.3.4 Groovy Script</w:t>
      </w:r>
    </w:p>
    <w:p>
      <w:pPr>
        <w:spacing w:after="50" w:before="160"/>
      </w:pPr>
      <w:r>
        <w:rPr>
          <w:b/>
          <w:bCs/>
          <w:color w:val="1b2130"/>
          <w:sz w:val="22"/>
          <w:szCs w:val="22"/>
        </w:rPr>
        <w:t xml:space="preserve">Name: cm_setAIPrompt</w:t>
      </w:r>
    </w:p>
    <w:p>
      <w:pPr>
        <w:spacing w:after="120"/>
      </w:pPr>
      <w:r>
        <w:rPr>
          <w:i w:val="false"/>
          <w:iCs w:val="false"/>
          <w:sz w:val="22"/>
          <w:szCs w:val="22"/>
        </w:rPr>
        <w:t xml:space="preserve">Executes script1.groovy to inject the caught exception into the AI prompt.</w:t>
      </w:r>
    </w:p>
    <w:p>
      <w:pPr>
        <w:spacing w:after="120"/>
      </w:pPr>
      <w:r>
        <w:rPr>
          <w:i w:val="false"/>
          <w:iCs w:val="false"/>
          <w:sz w:val="22"/>
          <w:szCs w:val="22"/>
        </w:rPr>
        <w:t xml:space="preserve">Attachment: attachments/script1.groovy</w:t>
      </w:r>
    </w:p>
    <w:p>
      <w:pPr>
        <w:spacing w:after="80"/>
      </w:pPr>
    </w:p>
    <w:p>
      <w:pPr>
        <w:spacing w:after="50" w:before="160"/>
      </w:pPr>
      <w:r>
        <w:rPr>
          <w:b/>
          <w:bCs/>
          <w:color w:val="1b2130"/>
          <w:sz w:val="22"/>
          <w:szCs w:val="22"/>
        </w:rPr>
        <w:t xml:space="preserve">Name: script_CaptureGenAIResponse</w:t>
      </w:r>
    </w:p>
    <w:p>
      <w:pPr>
        <w:spacing w:after="120"/>
      </w:pPr>
      <w:r>
        <w:rPr>
          <w:i w:val="false"/>
          <w:iCs w:val="false"/>
          <w:sz w:val="22"/>
          <w:szCs w:val="22"/>
        </w:rPr>
        <w:t xml:space="preserve">Executes script2.groovy to parse the AI response and extract troubleshooting data.</w:t>
      </w:r>
    </w:p>
    <w:p>
      <w:pPr>
        <w:spacing w:after="120"/>
      </w:pPr>
      <w:r>
        <w:rPr>
          <w:i w:val="false"/>
          <w:iCs w:val="false"/>
          <w:sz w:val="22"/>
          <w:szCs w:val="22"/>
        </w:rPr>
        <w:t xml:space="preserve">Attachment: attachments/script2.groovy</w:t>
      </w:r>
    </w:p>
    <w:p>
      <w:pPr>
        <w:spacing w:after="80"/>
      </w:pPr>
    </w:p>
    <w:p>
      <w:pPr>
        <w:spacing w:after="50" w:before="160"/>
      </w:pPr>
      <w:r>
        <w:rPr>
          <w:b/>
          <w:bCs/>
          <w:color w:val="1b2130"/>
          <w:sz w:val="22"/>
          <w:szCs w:val="22"/>
        </w:rPr>
        <w:t xml:space="preserve">Name: script_GenerateErrorResponse</w:t>
      </w:r>
    </w:p>
    <w:p>
      <w:pPr>
        <w:spacing w:after="120"/>
      </w:pPr>
      <w:r>
        <w:rPr>
          <w:i w:val="false"/>
          <w:iCs w:val="false"/>
          <w:sz w:val="22"/>
          <w:szCs w:val="22"/>
        </w:rPr>
        <w:t xml:space="preserve">Executes script3.groovy to build the XML body and log the final error details.</w:t>
      </w:r>
    </w:p>
    <w:p>
      <w:pPr>
        <w:spacing w:after="120"/>
      </w:pPr>
      <w:r>
        <w:rPr>
          <w:i w:val="false"/>
          <w:iCs w:val="false"/>
          <w:sz w:val="22"/>
          <w:szCs w:val="22"/>
        </w:rPr>
        <w:t xml:space="preserve">Attachment: attachments/script3.groovy</w:t>
      </w:r>
    </w:p>
    <w:p>
      <w:pPr>
        <w:spacing w:after="80"/>
      </w:pPr>
    </w:p>
    <w:p>
      <w:pPr>
        <w:spacing w:after="60" w:before="200"/>
      </w:pPr>
      <w:r>
        <w:rPr>
          <w:b/>
          <w:bCs/>
          <w:color w:val="375623"/>
          <w:sz w:val="26"/>
          <w:szCs w:val="26"/>
        </w:rPr>
        <w:t xml:space="preserve">3.3.5 Request-Reply / External Call</w:t>
      </w:r>
    </w:p>
    <w:p>
      <w:pPr>
        <w:spacing w:after="50" w:before="160"/>
      </w:pPr>
      <w:r>
        <w:rPr>
          <w:b/>
          <w:bCs/>
          <w:color w:val="1b2130"/>
          <w:sz w:val="22"/>
          <w:szCs w:val="22"/>
        </w:rPr>
        <w:t xml:space="preserve">Name: RR_GenAI</w:t>
      </w:r>
    </w:p>
    <w:p>
      <w:pPr>
        <w:spacing w:after="120"/>
      </w:pPr>
      <w:r>
        <w:rPr>
          <w:i w:val="false"/>
          <w:iCs w:val="false"/>
          <w:sz w:val="22"/>
          <w:szCs w:val="22"/>
        </w:rPr>
        <w:t xml:space="preserve">Performs the external HTTP call to the Gemini API.</w:t>
      </w:r>
    </w:p>
    <w:p>
      <w:pPr>
        <w:spacing w:after="120"/>
      </w:pPr>
      <w:r>
        <w:rPr>
          <w:i/>
          <w:iCs/>
          <w:sz w:val="22"/>
          <w:szCs w:val="22"/>
        </w:rPr>
        <w:t xml:space="preserve">See Section 3.7 Connectivity for the adapter/endpoint configuration this call uses.</w:t>
      </w:r>
    </w:p>
    <w:p>
      <w:pPr>
        <w:spacing w:after="80"/>
      </w:pPr>
    </w:p>
    <w:p>
      <w:pPr>
        <w:spacing w:after="50" w:before="160"/>
      </w:pPr>
      <w:r>
        <w:rPr>
          <w:b/>
          <w:bCs/>
          <w:color w:val="1b2130"/>
          <w:sz w:val="22"/>
          <w:szCs w:val="22"/>
        </w:rPr>
        <w:t xml:space="preserve">High-Level Design</w:t>
      </w:r>
    </w:p>
    <w:p>
      <w:r>
        <w:drawing>
          <wp:inline distT="0" distB="0" distL="0" distR="0">
            <wp:extent cx="4762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523875"/>
                    </a:xfrm>
                    <a:prstGeom prst="rect">
                      <a:avLst/>
                    </a:prstGeom>
                  </pic:spPr>
                </pic:pic>
              </a:graphicData>
            </a:graphic>
          </wp:inline>
        </w:drawing>
      </w:r>
    </w:p>
    <w:p>
      <w:pPr>
        <w:spacing w:after="80"/>
      </w:pPr>
    </w:p>
    <w:p>
      <w:pPr>
        <w:spacing w:after="50" w:before="160"/>
      </w:pPr>
      <w:r>
        <w:rPr>
          <w:b/>
          <w:bCs/>
          <w:color w:val="1b2130"/>
          <w:sz w:val="22"/>
          <w:szCs w:val="22"/>
        </w:rPr>
        <w:t xml:space="preserve">Message Flow Diagram</w:t>
      </w:r>
    </w:p>
    <w:p>
      <w:r>
        <w:drawing>
          <wp:inline distT="0" distB="0" distL="0" distR="0">
            <wp:extent cx="4762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362075"/>
                    </a:xfrm>
                    <a:prstGeom prst="rect">
                      <a:avLst/>
                    </a:prstGeom>
                  </pic:spPr>
                </pic:pic>
              </a:graphicData>
            </a:graphic>
          </wp:inline>
        </w:drawing>
      </w:r>
    </w:p>
    <w:p>
      <w:pPr>
        <w:spacing w:after="80"/>
      </w:pPr>
    </w:p>
    <w:p>
      <w:pPr>
        <w:spacing w:after="120"/>
      </w:pPr>
      <w:r>
        <w:rPr>
          <w:i w:val="false"/>
          <w:iCs w:val="false"/>
          <w:sz w:val="22"/>
          <w:szCs w:val="22"/>
        </w:rPr>
        <w:t xml:space="preserve">The iFlow utilizes an Exception Subprocess to catch runtime errors. Upon failure, it constructs a prompt containing the exception details, sends a request to the Gemini API via an HTTP adapter, parses the AI-generated response, and maps the findings into a custom XML error structure. The process concludes by throwing an exception to propagate the error back to the sender while logging the AI analysis to the MPL.</w:t>
      </w:r>
    </w:p>
    <w:p>
      <w:pPr>
        <w:spacing w:after="80"/>
      </w:pPr>
    </w:p>
    <w:p>
      <w:pPr>
        <w:spacing w:after="80"/>
      </w:pPr>
    </w:p>
    <w:p>
      <w:pPr>
        <w:spacing w:after="60" w:before="200"/>
      </w:pPr>
      <w:r>
        <w:rPr>
          <w:b/>
          <w:bCs/>
          <w:color w:val="375623"/>
          <w:sz w:val="26"/>
          <w:szCs w:val="26"/>
        </w:rPr>
        <w:t xml:space="preserve">3.4 Security</w:t>
      </w:r>
    </w:p>
    <w:p>
      <w:pPr>
        <w:spacing w:after="120"/>
      </w:pPr>
      <w:r>
        <w:rPr>
          <w:i w:val="false"/>
          <w:iCs w:val="false"/>
          <w:sz w:val="22"/>
          <w:szCs w:val="22"/>
        </w:rPr>
        <w:t xml:space="preserve">Details authentication, encryption, and access controls.</w:t>
      </w:r>
    </w:p>
    <w:p>
      <w:pPr>
        <w:spacing w:after="120"/>
      </w:pPr>
      <w:r>
        <w:rPr>
          <w:i w:val="false"/>
          <w:iCs w:val="false"/>
          <w:sz w:val="22"/>
          <w:szCs w:val="22"/>
        </w:rPr>
        <w:t xml:space="preserve">The iFlow uses Client Certificate authentication for the HTTP receiver and public key authentication for SFTP. However, the Google API key is currently hardcoded in the Content Modifier, which is a significant security risk.</w:t>
      </w:r>
    </w:p>
    <w:p>
      <w:pPr>
        <w:spacing w:after="80"/>
      </w:pPr>
    </w:p>
    <w:p>
      <w:pPr>
        <w:spacing w:after="50" w:before="160"/>
      </w:pPr>
      <w:r>
        <w:rPr>
          <w:b/>
          <w:bCs/>
          <w:color w:val="1b2130"/>
          <w:sz w:val="22"/>
          <w:szCs w:val="22"/>
        </w:rPr>
        <w:t xml:space="preserve">Security Material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Status</w:t>
            </w:r>
          </w:p>
        </w:tc>
        <w:tc>
          <w:tcPr>
            <w:tcW w:type="pct" w:w="1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Deployed By</w:t>
            </w:r>
          </w:p>
        </w:tc>
        <w:tc>
          <w:tcPr>
            <w:tcW w:type="pct" w:w="1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Deployed On</w:t>
            </w:r>
          </w:p>
        </w:tc>
      </w:tr>
      <w:tr>
        <w:tc>
          <w:tcPr>
            <w:tcW w:type="pct" w:w="24%"/>
            <w:tcBorders>
              <w:top w:val="single" w:color="CCCCCC" w:sz="4"/>
              <w:left w:val="single" w:color="CCCCCC" w:sz="4"/>
              <w:bottom w:val="single" w:color="CCCCCC" w:sz="4"/>
              <w:right w:val="single" w:color="CCCCCC" w:sz="4"/>
            </w:tcBorders>
            <w:vAlign w:val="center"/>
          </w:tcPr>
          <w:p>
            <w:r>
              <w:rPr>
                <w:sz w:val="18"/>
                <w:szCs w:val="18"/>
              </w:rPr>
              <w:t xml:space="preserve">sftp_key</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public_key</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 verify at deployment</w:t>
            </w:r>
          </w:p>
        </w:tc>
        <w:tc>
          <w:tcPr>
            <w:tcW w:type="pct" w:w="16%"/>
            <w:tcBorders>
              <w:top w:val="single" w:color="CCCCCC" w:sz="4"/>
              <w:left w:val="single" w:color="CCCCCC" w:sz="4"/>
              <w:bottom w:val="single" w:color="CCCCCC" w:sz="4"/>
              <w:right w:val="single" w:color="CCCCCC" w:sz="4"/>
            </w:tcBorders>
            <w:vAlign w:val="center"/>
          </w:tcPr>
          <w:p>
            <w:r>
              <w:rPr>
                <w:sz w:val="18"/>
                <w:szCs w:val="18"/>
              </w:rPr>
              <w:t xml:space="preserve">—</w:t>
            </w:r>
          </w:p>
        </w:tc>
        <w:tc>
          <w:tcPr>
            <w:tcW w:type="pct" w:w="16%"/>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50" w:before="160"/>
      </w:pPr>
      <w:r>
        <w:rPr>
          <w:b/>
          <w:bCs/>
          <w:color w:val="1b2130"/>
          <w:sz w:val="22"/>
          <w:szCs w:val="22"/>
        </w:rPr>
        <w:t xml:space="preserve">Security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Configuration</w:t>
            </w:r>
          </w:p>
        </w:tc>
        <w:tc>
          <w:tcPr>
            <w:tcW w:type="pct" w:w="4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Observation</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Client Certificate (HTTP)</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Standard secure practice for receiver connectivity.</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Public Key (SFTP)</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Standard secure practice for file transfer.</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Secrets Management</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API Key</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The Google API key is exposed in the Content Modifier header table.</w:t>
            </w:r>
          </w:p>
        </w:tc>
      </w:tr>
    </w:tbl>
    <w:p>
      <w:pPr>
        <w:spacing w:after="80"/>
      </w:pPr>
    </w:p>
    <w:p>
      <w:pPr>
        <w:spacing w:after="80"/>
      </w:pPr>
    </w:p>
    <w:p>
      <w:pPr>
        <w:spacing w:after="60" w:before="200"/>
      </w:pPr>
      <w:r>
        <w:rPr>
          <w:b/>
          <w:bCs/>
          <w:color w:val="375623"/>
          <w:sz w:val="26"/>
          <w:szCs w:val="26"/>
        </w:rPr>
        <w:t xml:space="preserve">3.5 Manage Stores</w:t>
      </w:r>
    </w:p>
    <w:p>
      <w:pPr>
        <w:spacing w:after="120"/>
      </w:pPr>
      <w:r>
        <w:rPr>
          <w:i w:val="false"/>
          <w:iCs w:val="false"/>
          <w:sz w:val="22"/>
          <w:szCs w:val="22"/>
        </w:rPr>
        <w:t xml:space="preserve">Describes message persistence mechanisms (Data Store, Variables, Number Ranges).</w:t>
      </w:r>
    </w:p>
    <w:p>
      <w:pPr>
        <w:spacing w:after="120"/>
      </w:pPr>
      <w:r>
        <w:rPr>
          <w:i/>
          <w:iCs/>
          <w:sz w:val="22"/>
          <w:szCs w:val="22"/>
        </w:rPr>
        <w:t xml:space="preserve">No Data Store, Variable, or Number Range operations were found in this iFlow.</w:t>
      </w:r>
    </w:p>
    <w:p>
      <w:pPr>
        <w:spacing w:after="80"/>
      </w:pPr>
    </w:p>
    <w:p>
      <w:pPr>
        <w:spacing w:after="60" w:before="200"/>
      </w:pPr>
      <w:r>
        <w:rPr>
          <w:b/>
          <w:bCs/>
          <w:color w:val="375623"/>
          <w:sz w:val="26"/>
          <w:szCs w:val="26"/>
        </w:rPr>
        <w:t xml:space="preserve">3.6 Monitoring and Error Handling</w:t>
      </w:r>
    </w:p>
    <w:p>
      <w:pPr>
        <w:spacing w:after="120"/>
      </w:pPr>
      <w:r>
        <w:rPr>
          <w:i w:val="false"/>
          <w:iCs w:val="false"/>
          <w:sz w:val="22"/>
          <w:szCs w:val="22"/>
        </w:rPr>
        <w:t xml:space="preserve">Captures error logging and alert mechanisms.</w:t>
      </w:r>
    </w:p>
    <w:p>
      <w:pPr>
        <w:spacing w:after="50" w:before="160"/>
      </w:pPr>
      <w:r>
        <w:rPr>
          <w:b/>
          <w:bCs/>
          <w:color w:val="1b2130"/>
          <w:sz w:val="22"/>
          <w:szCs w:val="22"/>
        </w:rPr>
        <w:t xml:space="preserve">Log Configuration</w:t>
      </w:r>
    </w:p>
    <w:p>
      <w:pPr>
        <w:spacing w:after="120"/>
      </w:pPr>
      <w:r>
        <w:rPr>
          <w:i/>
          <w:iCs/>
          <w:sz w:val="22"/>
          <w:szCs w:val="22"/>
        </w:rPr>
        <w:t xml:space="preserve">Log level is not explicitly configured in the iFlow XML — uses the tenant default; verify in the Monitor before go-live.</w:t>
      </w:r>
    </w:p>
    <w:p>
      <w:pPr>
        <w:spacing w:after="120"/>
      </w:pPr>
      <w:r>
        <w:rPr>
          <w:i w:val="false"/>
          <w:iCs w:val="false"/>
          <w:sz w:val="22"/>
          <w:szCs w:val="22"/>
        </w:rPr>
        <w:t xml:space="preserve">The iFlow makes extensive use of the MessageLogFactory to attach AI-generated analysis and exceptions to the MPL, providing good visibility into the AI troubleshooting process.</w:t>
      </w:r>
    </w:p>
    <w:p>
      <w:pPr>
        <w:spacing w:after="60"/>
        <w:ind w:left="360"/>
      </w:pPr>
      <w:r>
        <w:rPr>
          <w:sz w:val="22"/>
          <w:szCs w:val="22"/>
        </w:rPr>
        <w:t xml:space="preserve">• The entire logic is encapsulated within an Exception Subprocess, ensuring it only triggers on failure.</w:t>
      </w:r>
    </w:p>
    <w:p>
      <w:pPr>
        <w:spacing w:after="60"/>
        <w:ind w:left="360"/>
      </w:pPr>
      <w:r>
        <w:rPr>
          <w:sz w:val="22"/>
          <w:szCs w:val="22"/>
        </w:rPr>
        <w:t xml:space="preserve">• script3.groovy explicitly throws a new Exception at the end of the process to ensure the calling system receives a failure signal.</w:t>
      </w:r>
    </w:p>
    <w:p>
      <w:pPr>
        <w:spacing w:after="60"/>
        <w:ind w:left="360"/>
      </w:pPr>
      <w:r>
        <w:rPr>
          <w:sz w:val="22"/>
          <w:szCs w:val="22"/>
        </w:rPr>
        <w:t xml:space="preserve">• The HTTP adapter is configured with 'throwExceptionOnFailure' set to true, ensuring connectivity issues with the AI provider are caught.</w:t>
      </w:r>
    </w:p>
    <w:p>
      <w:pPr>
        <w:spacing w:after="80"/>
      </w:pPr>
    </w:p>
    <w:p>
      <w:pPr>
        <w:spacing w:after="80"/>
      </w:pPr>
    </w:p>
    <w:p>
      <w:pPr>
        <w:spacing w:after="60" w:before="200"/>
      </w:pPr>
      <w:r>
        <w:rPr>
          <w:b/>
          <w:bCs/>
          <w:color w:val="375623"/>
          <w:sz w:val="26"/>
          <w:szCs w:val="26"/>
        </w:rPr>
        <w:t xml:space="preserve">3.7 Connectivity</w:t>
      </w:r>
    </w:p>
    <w:p>
      <w:pPr>
        <w:spacing w:after="120"/>
      </w:pPr>
      <w:r>
        <w:rPr>
          <w:i w:val="false"/>
          <w:iCs w:val="false"/>
          <w:sz w:val="22"/>
          <w:szCs w:val="22"/>
        </w:rPr>
        <w:t xml:space="preserve">Defines network, proxy, and API configurations.</w:t>
      </w:r>
    </w:p>
    <w:p>
      <w:pPr>
        <w:spacing w:after="120"/>
      </w:pPr>
      <w:r>
        <w:rPr>
          <w:i w:val="false"/>
          <w:iCs w:val="false"/>
          <w:sz w:val="22"/>
          <w:szCs w:val="22"/>
        </w:rPr>
        <w:t xml:space="preserve">The iFlow connects to an external cloud-based AI service via HTTPS and an external SFTP server, with a 60-second timeout configured for the HTTP call.</w:t>
      </w:r>
    </w:p>
    <w:p>
      <w:pPr>
        <w:spacing w:after="80"/>
      </w:pPr>
    </w:p>
    <w:p>
      <w:pPr>
        <w:spacing w:after="60" w:before="200"/>
      </w:pPr>
      <w:r>
        <w:rPr>
          <w:b/>
          <w:bCs/>
          <w:color w:val="375623"/>
          <w:sz w:val="26"/>
          <w:szCs w:val="26"/>
        </w:rPr>
        <w:t xml:space="preserve">3.7.1 HTTP (HTTP — Receiver)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Property</w:t>
            </w:r>
          </w:p>
        </w:tc>
        <w:tc>
          <w:tcPr>
            <w:tcW w:type="pct" w:w="6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Adapter / Component 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None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Address / Endpoint 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https://generativelanguage.googleapis.com/v1beta/models/gemini-3.1-flash-lite:generateContent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Direction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methodSourceExpression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apiArtifactType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providerAuth</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privateKeyAlias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[REDACTED]</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httpMethod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POST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apiprovider_location_id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allowedResponseHeaders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internetProxyType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1.19.2</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proxyPort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streaming</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enableMPLAttachments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true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httpAddressQuery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httpRequestTimeout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60000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allowedRequestHeaders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Content-Type|X-goog-api-key</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httpShouldSendBody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throwExceptionOnFailure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true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default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retryIteration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retryOnConnectionFailure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system</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authenticationMethod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Client Certificate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locationID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retryInterval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5</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credentialName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httpErrorResponseCodes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1.19.2</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httpAddressWithoutQuery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https://generativelanguage.googleapis.com/v1beta/models/gemini-3.1-flash-lite:generateContent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providerRelativeUrl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60" w:before="200"/>
      </w:pPr>
      <w:r>
        <w:rPr>
          <w:b/>
          <w:bCs/>
          <w:color w:val="375623"/>
          <w:sz w:val="26"/>
          <w:szCs w:val="26"/>
        </w:rPr>
        <w:t xml:space="preserve">3.7.2 SFTP (SFTP — Receiver)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Property</w:t>
            </w:r>
          </w:p>
        </w:tc>
        <w:tc>
          <w:tcPr>
            <w:tcW w:type="pct" w:w="6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Adapter / Component 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File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Address / Endpoint 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eu-central-1.sftpcloud.io/Test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Direction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disconnect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test.xml</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maximumReconnectAttempts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3</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stepwise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fileExist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Override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autoCreate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privateKeyAlias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[REDACTED]</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location_id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1.20.1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flatten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sftpSecEnabled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useTempFile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path</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/Test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proxyPort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8080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eu-central-1.sftpcloud.io</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connectTimeout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10000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fastExistsCheck</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public_key</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fileAppendTimeStamp</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credential_name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socks5</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none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reconnectDelay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system</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tempFileName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${file:name}.tmp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allowDeprecatedAlgorithms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1.20.1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username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sftp_key</w:t>
            </w:r>
          </w:p>
        </w:tc>
      </w:tr>
    </w:tbl>
    <w:p>
      <w:pPr>
        <w:spacing w:after="80"/>
      </w:pPr>
    </w:p>
    <w:p>
      <w:pPr>
        <w:spacing w:after="80"/>
      </w:pPr>
    </w:p>
    <w:p>
      <w:pPr>
        <w:spacing w:after="80"/>
      </w:pPr>
    </w:p>
    <w:p>
      <w:pPr>
        <w:spacing w:after="80" w:before="280"/>
      </w:pPr>
      <w:r>
        <w:rPr>
          <w:b/>
          <w:bCs/>
          <w:color w:val="2F5496"/>
          <w:sz w:val="32"/>
          <w:szCs w:val="32"/>
        </w:rPr>
        <w:t xml:space="preserve">4. Event Mesh Technical Information</w:t>
      </w:r>
    </w:p>
    <w:p>
      <w:pPr>
        <w:spacing w:after="120"/>
      </w:pPr>
      <w:r>
        <w:rPr>
          <w:i/>
          <w:iCs/>
          <w:sz w:val="22"/>
          <w:szCs w:val="22"/>
        </w:rPr>
        <w:t xml:space="preserve">No Event Mesh components were detected in this iFlow. Section left for manual completion if applicable.</w:t>
      </w:r>
    </w:p>
    <w:p>
      <w:pPr>
        <w:spacing w:after="80"/>
      </w:pPr>
    </w:p>
    <w:p>
      <w:pPr>
        <w:spacing w:after="80" w:before="280"/>
      </w:pPr>
      <w:r>
        <w:rPr>
          <w:b/>
          <w:bCs/>
          <w:color w:val="2F5496"/>
          <w:sz w:val="32"/>
          <w:szCs w:val="32"/>
        </w:rPr>
        <w:t xml:space="preserve">5. APIM Technical Information</w:t>
      </w:r>
    </w:p>
    <w:p>
      <w:pPr>
        <w:spacing w:after="120"/>
      </w:pPr>
      <w:r>
        <w:rPr>
          <w:i/>
          <w:iCs/>
          <w:sz w:val="22"/>
          <w:szCs w:val="22"/>
        </w:rPr>
        <w:t xml:space="preserve">No API Management components were detected in this iFlow. Section left for manual completion if applicable.</w:t>
      </w:r>
    </w:p>
    <w:p>
      <w:pPr>
        <w:spacing w:after="80"/>
      </w:pPr>
    </w:p>
    <w:p>
      <w:pPr>
        <w:spacing w:after="80" w:before="280"/>
      </w:pPr>
      <w:r>
        <w:rPr>
          <w:b/>
          <w:bCs/>
          <w:color w:val="2F5496"/>
          <w:sz w:val="32"/>
          <w:szCs w:val="32"/>
        </w:rPr>
        <w:t xml:space="preserve">6. Test Cases</w:t>
      </w:r>
    </w:p>
    <w:p>
      <w:pPr>
        <w:spacing w:after="120"/>
      </w:pPr>
      <w:r>
        <w:rPr>
          <w:i w:val="false"/>
          <w:iCs w:val="false"/>
          <w:sz w:val="22"/>
          <w:szCs w:val="22"/>
        </w:rPr>
        <w:t xml:space="preserve">Identify the test scenarios to be used to test the development with. (Mandatory)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Test Considerations</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Scope of Testing (IS / OS / BO)</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Target Test Date</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Simulate a connectivity error to trigger the Exception Subprocess</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BO</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Verify the AI correctly identifies a common CPI error (e.g., Mapping error)</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OS</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Test SFTP connectivity with the provided private key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BO</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Validate the XML structure of the final error response</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IS</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bl>
    <w:p>
      <w:pPr>
        <w:spacing w:after="80"/>
      </w:pPr>
    </w:p>
    <w:p>
      <w:pPr>
        <w:spacing w:after="80"/>
      </w:pPr>
    </w:p>
    <w:p>
      <w:pPr>
        <w:spacing w:after="80" w:before="280"/>
      </w:pPr>
      <w:r>
        <w:rPr>
          <w:b/>
          <w:bCs/>
          <w:color w:val="2F5496"/>
          <w:sz w:val="32"/>
          <w:szCs w:val="32"/>
        </w:rPr>
        <w:t xml:space="preserve">Appendix A: Automated Review Findings</w:t>
      </w:r>
    </w:p>
    <w:p>
      <w:pPr>
        <w:spacing w:after="120"/>
      </w:pPr>
      <w:r>
        <w:rPr>
          <w:i/>
          <w:iCs/>
          <w:sz w:val="22"/>
          <w:szCs w:val="22"/>
        </w:rPr>
        <w:t xml:space="preserve">Supplementary AI-generated review — not part of the standard TSD template, kept for convenience.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Severity</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Finding</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Recommendation</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High</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Security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API Key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Move the Google API key to a Secure Parameter or Credential artifact.</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Medium</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Error Handling</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Forced Exception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final throw in script3.groovy may cause the message to be marked as 'Failed' in monitoring, which is intended, but ensure it doesn't cause infinite retry loops.</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Low</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Design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String Manipulation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Using string index/substring for JSON parsing in script2.groovy is fragile; consider using a proper JSON library if the AI response format changes.</w:t>
            </w:r>
          </w:p>
        </w:tc>
      </w:tr>
    </w:tbl>
    <w:p>
      <w:pPr>
        <w:spacing w:after="80"/>
      </w:pPr>
    </w:p>
    <w:p>
      <w:pPr>
        <w:spacing w:after="60"/>
        <w:ind w:left="360"/>
      </w:pPr>
      <w:r>
        <w:rPr>
          <w:sz w:val="22"/>
          <w:szCs w:val="22"/>
        </w:rPr>
        <w:t xml:space="preserve">• Verify if the Gemini API model 'gemini-3.1-flash-lite' is the correct and supported version for the environment.</w:t>
      </w:r>
    </w:p>
    <w:p>
      <w:pPr>
        <w:spacing w:after="60"/>
        <w:ind w:left="360"/>
      </w:pPr>
      <w:r>
        <w:rPr>
          <w:sz w:val="22"/>
          <w:szCs w:val="22"/>
        </w:rPr>
        <w:t xml:space="preserve">• Confirm the SFTP path '/Test' exists on the target server.</w:t>
      </w:r>
    </w:p>
    <w:p>
      <w:pPr>
        <w:spacing w:after="60"/>
        <w:ind w:left="360"/>
      </w:pPr>
      <w:r>
        <w:rPr>
          <w:sz w:val="22"/>
          <w:szCs w:val="22"/>
        </w:rPr>
        <w:t xml:space="preserve">• Ensure the sender system is configured to parse the custom XML error response.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d4e1424869c332916d9de4cb2c0500eb89a3df.png"/><Relationship Id="rId8" Type="http://schemas.openxmlformats.org/officeDocument/2006/relationships/image" Target="media/5c00a811cf94d62526e1aff37edfad67d6a830b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2026-07-14T14:38:38.039Z</dcterms:created>
  <dcterms:modified xsi:type="dcterms:W3CDTF">2026-07-14T14:38:38.039Z</dcterms:modified>
</cp:coreProperties>
</file>

<file path=docProps/custom.xml><?xml version="1.0" encoding="utf-8"?>
<Properties xmlns="http://schemas.openxmlformats.org/officeDocument/2006/custom-properties" xmlns:vt="http://schemas.openxmlformats.org/officeDocument/2006/docPropsVTypes"/>
</file>