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F3864"/>
          <w:sz w:val="44"/>
          <w:szCs w:val="44"/>
        </w:rPr>
        <w:t xml:space="preserve">Technical Specification</w:t>
      </w:r>
    </w:p>
    <w:p>
      <w:pPr>
        <w:spacing w:after="360" w:before="0"/>
        <w:jc w:val="center"/>
      </w:pPr>
      <w:r>
        <w:rPr>
          <w:b/>
          <w:bCs/>
          <w:color w:val="2F5496"/>
          <w:sz w:val="30"/>
          <w:szCs w:val="30"/>
        </w:rPr>
        <w:t xml:space="preserve">Interface INT_XXXXI&lt;xxx&gt;_TEST_I044_Timesheet_ZALARIS_TO_FICOPROC_TBD</w:t>
      </w:r>
    </w:p>
    <w:p>
      <w:pPr>
        <w:spacing w:after="80"/>
      </w:pPr>
    </w:p>
    <w:p>
      <w:pPr>
        <w:spacing w:after="80" w:before="280"/>
      </w:pPr>
      <w:r>
        <w:rPr>
          <w:b/>
          <w:bCs/>
          <w:color w:val="2F5496"/>
          <w:sz w:val="32"/>
          <w:szCs w:val="32"/>
        </w:rPr>
        <w:t xml:space="preserve">Document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Field</w:t>
            </w:r>
          </w:p>
        </w:tc>
        <w:tc>
          <w:tcPr>
            <w:tcW w:type="pct" w:w="6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Interface ID</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I&lt;xxx&gt;</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Title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TEST_I044_Timesheet_ZALARIS_TO_FICOPROC_TBD</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Version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1.0.7</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Level3 ID</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Author</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SAP Version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Interface Pattern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80" w:before="280"/>
      </w:pPr>
      <w:r>
        <w:rPr>
          <w:b/>
          <w:bCs/>
          <w:color w:val="2F5496"/>
          <w:sz w:val="32"/>
          <w:szCs w:val="32"/>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Version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Author Of Revision</w:t>
            </w:r>
          </w:p>
        </w:tc>
        <w:tc>
          <w:tcPr>
            <w:tcW w:type="pct" w:w="1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Creation Date</w:t>
            </w:r>
          </w:p>
        </w:tc>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Comments</w:t>
            </w:r>
          </w:p>
        </w:tc>
        <w:tc>
          <w:tcPr>
            <w:tcW w:type="pct" w:w="1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Incident/CR Number</w:t>
            </w:r>
          </w:p>
        </w:tc>
      </w:tr>
      <w:tr>
        <w:tc>
          <w:tcPr>
            <w:tcW w:type="pct" w:w="10%"/>
            <w:tcBorders>
              <w:top w:val="single" w:color="CCCCCC" w:sz="4"/>
              <w:left w:val="single" w:color="CCCCCC" w:sz="4"/>
              <w:bottom w:val="single" w:color="CCCCCC" w:sz="4"/>
              <w:right w:val="single" w:color="CCCCCC" w:sz="4"/>
            </w:tcBorders>
            <w:vAlign w:val="center"/>
          </w:tcPr>
          <w:p>
            <w:r>
              <w:rPr>
                <w:sz w:val="18"/>
                <w:szCs w:val="18"/>
              </w:rPr>
              <w:t xml:space="preserve">1.0</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CI Pipeline</w:t>
            </w:r>
          </w:p>
        </w:tc>
        <w:tc>
          <w:tcPr>
            <w:tcW w:type="pct" w:w="15%"/>
            <w:tcBorders>
              <w:top w:val="single" w:color="CCCCCC" w:sz="4"/>
              <w:left w:val="single" w:color="CCCCCC" w:sz="4"/>
              <w:bottom w:val="single" w:color="CCCCCC" w:sz="4"/>
              <w:right w:val="single" w:color="CCCCCC" w:sz="4"/>
            </w:tcBorders>
            <w:vAlign w:val="center"/>
          </w:tcPr>
          <w:p>
            <w:r>
              <w:rPr>
                <w:sz w:val="18"/>
                <w:szCs w:val="18"/>
              </w:rPr>
              <w:t xml:space="preserve">2026-07-05</w:t>
            </w:r>
          </w:p>
        </w:tc>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Auto-generated from iFlow artifact via GitHub Actions</w:t>
            </w:r>
          </w:p>
        </w:tc>
        <w:tc>
          <w:tcPr>
            <w:tcW w:type="pct" w:w="15%"/>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80"/>
      </w:pPr>
    </w:p>
    <w:p>
      <w:pPr>
        <w:spacing w:after="80" w:before="280"/>
      </w:pPr>
      <w:r>
        <w:rPr>
          <w:b/>
          <w:bCs/>
          <w:color w:val="2F5496"/>
          <w:sz w:val="32"/>
          <w:szCs w:val="32"/>
        </w:rPr>
        <w:t xml:space="preserve">1. Detailed Functional Design</w:t>
      </w:r>
    </w:p>
    <w:p>
      <w:pPr>
        <w:spacing w:after="120"/>
      </w:pPr>
      <w:r>
        <w:rPr>
          <w:i/>
          <w:iCs/>
          <w:sz w:val="22"/>
          <w:szCs w:val="22"/>
        </w:rPr>
        <w:t xml:space="preserve">This section captures the functional requirements of the interface. It is not derivable from the iFlow export and must be completed manually (link the FSD / mapping sheet).</w:t>
      </w:r>
    </w:p>
    <w:p>
      <w:pPr>
        <w:spacing w:after="80"/>
      </w:pPr>
    </w:p>
    <w:p>
      <w:pPr>
        <w:spacing w:after="80" w:before="280"/>
      </w:pPr>
      <w:r>
        <w:rPr>
          <w:b/>
          <w:bCs/>
          <w:color w:val="2F5496"/>
          <w:sz w:val="32"/>
          <w:szCs w:val="32"/>
        </w:rPr>
        <w:t xml:space="preserve">2. Detailed Technical Design Specifications</w:t>
      </w:r>
    </w:p>
    <w:p>
      <w:pPr>
        <w:spacing w:after="120"/>
      </w:pPr>
      <w:r>
        <w:rPr>
          <w:i/>
          <w:iCs/>
          <w:sz w:val="22"/>
          <w:szCs w:val="22"/>
        </w:rPr>
        <w:t xml:space="preserve">This section covers ABAP-side development (custom objects, enhancements, function modules). It is out of scope for automated generation from an iFlow export — complete manually if this interface includes ABAP-side components.</w:t>
      </w:r>
    </w:p>
    <w:p>
      <w:pPr>
        <w:spacing w:after="80"/>
      </w:pPr>
    </w:p>
    <w:p>
      <w:pPr>
        <w:spacing w:after="80" w:before="280"/>
      </w:pPr>
      <w:r>
        <w:rPr>
          <w:b/>
          <w:bCs/>
          <w:color w:val="2F5496"/>
          <w:sz w:val="32"/>
          <w:szCs w:val="32"/>
        </w:rPr>
        <w:t xml:space="preserve">3. BTP-IS Technical Information</w:t>
      </w:r>
    </w:p>
    <w:p>
      <w:pPr>
        <w:spacing w:after="120"/>
      </w:pPr>
      <w:r>
        <w:rPr>
          <w:i w:val="false"/>
          <w:iCs w:val="false"/>
          <w:sz w:val="22"/>
          <w:szCs w:val="22"/>
        </w:rPr>
        <w:t xml:space="preserve">Covers SAP BTP Integration Suite components, configurations, and security details.</w:t>
      </w:r>
    </w:p>
    <w:p>
      <w:pPr>
        <w:spacing w:after="80"/>
      </w:pPr>
    </w:p>
    <w:p>
      <w:pPr>
        <w:spacing w:after="60" w:before="200"/>
      </w:pPr>
      <w:r>
        <w:rPr>
          <w:b/>
          <w:bCs/>
          <w:color w:val="375623"/>
          <w:sz w:val="26"/>
          <w:szCs w:val="26"/>
        </w:rPr>
        <w:t xml:space="preserve">3.1 Package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Field</w:t>
            </w:r>
          </w:p>
        </w:tc>
        <w:tc>
          <w:tcPr>
            <w:tcW w:type="pct" w:w="6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Package / Bundle Name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TEST_I044_Timesheet_ZALARIS_TO_FICOPROC_TBD</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Bundle Version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1.0.7</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Bundle SymbolicName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TEST_I044_Timesheet_ZALARIS_TO_FICOPROC_TBD</w:t>
            </w:r>
          </w:p>
        </w:tc>
      </w:tr>
    </w:tbl>
    <w:p>
      <w:pPr>
        <w:spacing w:after="80"/>
      </w:pPr>
    </w:p>
    <w:p>
      <w:pPr>
        <w:spacing w:after="50" w:before="160"/>
      </w:pPr>
      <w:r>
        <w:rPr>
          <w:b/>
          <w:bCs/>
          <w:color w:val="1b2130"/>
          <w:sz w:val="22"/>
          <w:szCs w:val="22"/>
        </w:rPr>
        <w:t xml:space="preserve">3.1.1 Integration Flow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Field</w:t>
            </w:r>
          </w:p>
        </w:tc>
        <w:tc>
          <w:tcPr>
            <w:tcW w:type="pct" w:w="6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Name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TEST_I044_Timesheet_ZALARIS_TO_FICOPROC_TBD</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ID</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Process_23456695</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Namespace Mapping</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Allowed Header(s)</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Return Exception to Sender</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50" w:before="160"/>
      </w:pPr>
      <w:r>
        <w:rPr>
          <w:b/>
          <w:bCs/>
          <w:color w:val="1b2130"/>
          <w:sz w:val="22"/>
          <w:szCs w:val="22"/>
        </w:rPr>
        <w:t xml:space="preserve">Resources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script1.groovy</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Script</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Included in iFlow</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script2.groovy</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Script</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Included in iFlow</w:t>
            </w:r>
          </w:p>
        </w:tc>
      </w:tr>
    </w:tbl>
    <w:p>
      <w:pPr>
        <w:spacing w:after="80"/>
      </w:pPr>
    </w:p>
    <w:p>
      <w:pPr>
        <w:spacing w:after="50" w:before="160"/>
      </w:pPr>
      <w:r>
        <w:rPr>
          <w:b/>
          <w:bCs/>
          <w:color w:val="1b2130"/>
          <w:sz w:val="22"/>
          <w:szCs w:val="22"/>
        </w:rPr>
        <w:t xml:space="preserve">Externalized Parameters</w:t>
      </w:r>
    </w:p>
    <w:p>
      <w:pPr>
        <w:spacing w:after="120"/>
      </w:pPr>
      <w:r>
        <w:rPr>
          <w:i/>
          <w:iCs/>
          <w:sz w:val="22"/>
          <w:szCs w:val="22"/>
        </w:rPr>
        <w:t xml:space="preserve">No externalized parameters are defined in this iFlow.</w:t>
      </w:r>
    </w:p>
    <w:p>
      <w:pPr>
        <w:spacing w:after="80"/>
      </w:pPr>
    </w:p>
    <w:p>
      <w:pPr>
        <w:spacing w:after="80"/>
      </w:pPr>
    </w:p>
    <w:p>
      <w:pPr>
        <w:spacing w:after="60" w:before="200"/>
      </w:pPr>
      <w:r>
        <w:rPr>
          <w:b/>
          <w:bCs/>
          <w:color w:val="375623"/>
          <w:sz w:val="26"/>
          <w:szCs w:val="26"/>
        </w:rPr>
        <w:t xml:space="preserve">3.2 Cloud Connector Configuration</w:t>
      </w:r>
    </w:p>
    <w:p>
      <w:pPr>
        <w:spacing w:after="120"/>
      </w:pPr>
      <w:r>
        <w:rPr>
          <w:i/>
          <w:iCs/>
          <w:sz w:val="22"/>
          <w:szCs w:val="22"/>
        </w:rPr>
        <w:t xml:space="preserve">Details connectivity between on-premise and cloud systems. Not derivable from the iFlow export — complete manually if this interface uses the Cloud Connector (e.g. an On-Premise proxy type appears in Section 3.7).</w:t>
      </w:r>
    </w:p>
    <w:p>
      <w:pPr>
        <w:spacing w:after="80"/>
      </w:pPr>
    </w:p>
    <w:p>
      <w:pPr>
        <w:spacing w:after="60" w:before="200"/>
      </w:pPr>
      <w:r>
        <w:rPr>
          <w:b/>
          <w:bCs/>
          <w:color w:val="375623"/>
          <w:sz w:val="26"/>
          <w:szCs w:val="26"/>
        </w:rPr>
        <w:t xml:space="preserve">3.3 Pallet Functions</w:t>
      </w:r>
    </w:p>
    <w:p>
      <w:pPr>
        <w:spacing w:after="50" w:before="160"/>
      </w:pPr>
      <w:r>
        <w:rPr>
          <w:b/>
          <w:bCs/>
          <w:color w:val="1b2130"/>
          <w:sz w:val="22"/>
          <w:szCs w:val="22"/>
        </w:rPr>
        <w:t xml:space="preserve">Participants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5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SAPCI_3</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EndpointSender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BB_FICOPROC_1</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BB_FICOPROC_3</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SAPCI_1</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BB_FICOPROC_2</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SAPCI_2</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BB_FICOPROC_4</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BB_FICOPROC_5</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SAPCI_4</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Local Integration Process - Change Timesheet</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IntegrationProcess</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Integration Process - Timesheet</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IntegrationProcess</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Local Integration Process - RetryCount</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IntegrationProcess</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Local Integration Process - Create Timesheet</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IntegrationProcess</w:t>
            </w:r>
          </w:p>
        </w:tc>
      </w:tr>
    </w:tbl>
    <w:p>
      <w:pPr>
        <w:spacing w:after="80"/>
      </w:pPr>
    </w:p>
    <w:p>
      <w:pPr>
        <w:spacing w:after="60" w:before="200"/>
      </w:pPr>
      <w:r>
        <w:rPr>
          <w:b/>
          <w:bCs/>
          <w:color w:val="375623"/>
          <w:sz w:val="26"/>
          <w:szCs w:val="26"/>
        </w:rPr>
        <w:t xml:space="preserve">3.3.1 Start 2 (Process — Start Event)</w:t>
      </w:r>
    </w:p>
    <w:p>
      <w:pPr>
        <w:spacing w:after="120"/>
      </w:pPr>
      <w:r>
        <w:rPr>
          <w:i w:val="false"/>
          <w:iCs w:val="false"/>
          <w:sz w:val="22"/>
          <w:szCs w:val="22"/>
        </w:rPr>
        <w:t xml:space="preserve">Initializes the local process for changing timesheet records.</w:t>
      </w:r>
    </w:p>
    <w:p>
      <w:pPr>
        <w:spacing w:after="50" w:before="160"/>
      </w:pPr>
      <w:r>
        <w:rPr>
          <w:b/>
          <w:bCs/>
          <w:color w:val="1b2130"/>
          <w:sz w:val="22"/>
          <w:szCs w:val="22"/>
        </w:rPr>
        <w:t xml:space="preserve">Configuration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cmdVariantUri</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ctype::FlowstepVariant/cname::StartEvent</w:t>
            </w:r>
          </w:p>
        </w:tc>
      </w:tr>
    </w:tbl>
    <w:p>
      <w:pPr>
        <w:spacing w:after="80"/>
      </w:pPr>
    </w:p>
    <w:p>
      <w:pPr>
        <w:spacing w:after="80"/>
      </w:pPr>
    </w:p>
    <w:p>
      <w:pPr>
        <w:spacing w:after="60" w:before="200"/>
      </w:pPr>
      <w:r>
        <w:rPr>
          <w:b/>
          <w:bCs/>
          <w:color w:val="375623"/>
          <w:sz w:val="26"/>
          <w:szCs w:val="26"/>
        </w:rPr>
        <w:t xml:space="preserve">3.3.2 Set_Soap_header (Script)</w:t>
      </w:r>
    </w:p>
    <w:p>
      <w:pPr>
        <w:spacing w:after="120"/>
      </w:pPr>
      <w:r>
        <w:rPr>
          <w:i w:val="false"/>
          <w:iCs w:val="false"/>
          <w:sz w:val="22"/>
          <w:szCs w:val="22"/>
        </w:rPr>
        <w:t xml:space="preserve">Executes a common script to set the SOAP message ID header.</w:t>
      </w:r>
    </w:p>
    <w:p>
      <w:pPr>
        <w:spacing w:after="50" w:before="160"/>
      </w:pPr>
      <w:r>
        <w:rPr>
          <w:b/>
          <w:bCs/>
          <w:color w:val="1b2130"/>
          <w:sz w:val="22"/>
          <w:szCs w:val="22"/>
        </w:rPr>
        <w:t xml:space="preserve">Configuration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scriptFunction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scriptBundleId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SC_COMMON_LoggingAndErrorHandling_V1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cmdVariantUri</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ctype::FlowstepVariant/cname::GroovyScript/version::1.1.2</w:t>
            </w:r>
          </w:p>
        </w:tc>
      </w:tr>
    </w:tbl>
    <w:p>
      <w:pPr>
        <w:spacing w:after="80"/>
      </w:pPr>
    </w:p>
    <w:p>
      <w:pPr>
        <w:spacing w:after="80"/>
      </w:pPr>
    </w:p>
    <w:p>
      <w:pPr>
        <w:spacing w:after="60" w:before="200"/>
      </w:pPr>
      <w:r>
        <w:rPr>
          <w:b/>
          <w:bCs/>
          <w:color w:val="375623"/>
          <w:sz w:val="26"/>
          <w:szCs w:val="26"/>
        </w:rPr>
        <w:t xml:space="preserve">3.3.3 Remove_XML_Declaration (Script)</w:t>
      </w:r>
    </w:p>
    <w:p>
      <w:pPr>
        <w:spacing w:after="120"/>
      </w:pPr>
      <w:r>
        <w:rPr>
          <w:i w:val="false"/>
          <w:iCs w:val="false"/>
          <w:sz w:val="22"/>
          <w:szCs w:val="22"/>
        </w:rPr>
        <w:t xml:space="preserve">Executes a common script to strip the XML declaration from the payload.</w:t>
      </w:r>
    </w:p>
    <w:p>
      <w:pPr>
        <w:spacing w:after="50" w:before="160"/>
      </w:pPr>
      <w:r>
        <w:rPr>
          <w:b/>
          <w:bCs/>
          <w:color w:val="1b2130"/>
          <w:sz w:val="22"/>
          <w:szCs w:val="22"/>
        </w:rPr>
        <w:t xml:space="preserve">Configuration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scriptFunction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scriptBundleId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SC_COMMON_LoggingAndErrorHandling_V1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cmdVariantUri</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ctype::FlowstepVariant/cname::GroovyScript/version::1.1.2</w:t>
            </w:r>
          </w:p>
        </w:tc>
      </w:tr>
    </w:tbl>
    <w:p>
      <w:pPr>
        <w:spacing w:after="80"/>
      </w:pPr>
    </w:p>
    <w:p>
      <w:pPr>
        <w:spacing w:after="80"/>
      </w:pPr>
    </w:p>
    <w:p>
      <w:pPr>
        <w:spacing w:after="60" w:before="200"/>
      </w:pPr>
      <w:r>
        <w:rPr>
          <w:b/>
          <w:bCs/>
          <w:color w:val="375623"/>
          <w:sz w:val="26"/>
          <w:szCs w:val="26"/>
        </w:rPr>
        <w:t xml:space="preserve">3.3.4 cm_Set_SOAPEnvelope (Transformation — Content Modifier)</w:t>
      </w:r>
    </w:p>
    <w:p>
      <w:pPr>
        <w:spacing w:after="120"/>
      </w:pPr>
      <w:r>
        <w:rPr>
          <w:i w:val="false"/>
          <w:iCs w:val="false"/>
          <w:sz w:val="22"/>
          <w:szCs w:val="22"/>
        </w:rPr>
        <w:t xml:space="preserve">Wraps the payload in a SOAP envelope and sets required HTTP headers.</w:t>
      </w:r>
    </w:p>
    <w:p>
      <w:pPr>
        <w:spacing w:after="50" w:before="160"/>
      </w:pPr>
      <w:r>
        <w:rPr>
          <w:b/>
          <w:bCs/>
          <w:color w:val="1b2130"/>
          <w:sz w:val="22"/>
          <w:szCs w:val="22"/>
        </w:rPr>
        <w:t xml:space="preserve">Headers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Datatype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Default</w:t>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APIName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zfm_mm_7908_catimesheet_change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Content-Type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text/xml</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50" w:before="160"/>
      </w:pPr>
      <w:r>
        <w:rPr>
          <w:b/>
          <w:bCs/>
          <w:color w:val="1b2130"/>
          <w:sz w:val="22"/>
          <w:szCs w:val="22"/>
        </w:rPr>
        <w:t xml:space="preserve">Configuration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bodyType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expression</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wrapContent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&lt;soap:Envelope xmlns:soap="http://schemas.xmlsoap.org/soap/envelope/" xmlns:wsa="http://www.w3.org/2005/08/addressing"&gt;
    &lt;soap:Header&gt;
    &lt;wsa:messageId&gt;urn:uuid:${property.SOAP_Header_MessageId}&lt;/wsa:messageId&gt;
    &lt;/soap:Header&gt;
    &lt;soap:Body&gt;
   ${in.body}
&lt;/soap:Body&gt;
&lt;/soap:Envelope&gt;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1.6</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cmdVariantUri</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ctype::FlowstepVariant/cname::Enricher/version::1.6.2</w:t>
            </w:r>
          </w:p>
        </w:tc>
      </w:tr>
    </w:tbl>
    <w:p>
      <w:pPr>
        <w:spacing w:after="80"/>
      </w:pPr>
    </w:p>
    <w:p>
      <w:pPr>
        <w:spacing w:after="80"/>
      </w:pPr>
    </w:p>
    <w:p>
      <w:pPr>
        <w:spacing w:after="60" w:before="200"/>
      </w:pPr>
      <w:r>
        <w:rPr>
          <w:b/>
          <w:bCs/>
          <w:color w:val="375623"/>
          <w:sz w:val="26"/>
          <w:szCs w:val="26"/>
        </w:rPr>
        <w:t xml:space="preserve">3.3.5 cm_set_MappedPayload (Transformation — Content Modifier)</w:t>
      </w:r>
    </w:p>
    <w:p>
      <w:pPr>
        <w:spacing w:after="120"/>
      </w:pPr>
      <w:r>
        <w:rPr>
          <w:i w:val="false"/>
          <w:iCs w:val="false"/>
          <w:sz w:val="22"/>
          <w:szCs w:val="22"/>
        </w:rPr>
        <w:t xml:space="preserve">Stores the mapped payload in a property for later reference.</w:t>
      </w:r>
    </w:p>
    <w:p>
      <w:pPr>
        <w:spacing w:after="50" w:before="160"/>
      </w:pPr>
      <w:r>
        <w:rPr>
          <w:b/>
          <w:bCs/>
          <w:color w:val="1b2130"/>
          <w:sz w:val="22"/>
          <w:szCs w:val="22"/>
        </w:rPr>
        <w:t xml:space="preserve">Exchange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Datatype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Default</w:t>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ChangeTimesheetMappedPayload</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expression</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java.lang.String</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${in.body}</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50" w:before="160"/>
      </w:pPr>
      <w:r>
        <w:rPr>
          <w:b/>
          <w:bCs/>
          <w:color w:val="1b2130"/>
          <w:sz w:val="22"/>
          <w:szCs w:val="22"/>
        </w:rPr>
        <w:t xml:space="preserve">Configuration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bodyType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constant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wrapContent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1.6</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cmdVariantUri</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ctype::FlowstepVariant/cname::Enricher/version::1.6.3</w:t>
            </w:r>
          </w:p>
        </w:tc>
      </w:tr>
    </w:tbl>
    <w:p>
      <w:pPr>
        <w:spacing w:after="80"/>
      </w:pPr>
    </w:p>
    <w:p>
      <w:pPr>
        <w:spacing w:after="80"/>
      </w:pPr>
    </w:p>
    <w:p>
      <w:pPr>
        <w:spacing w:after="60" w:before="200"/>
      </w:pPr>
      <w:r>
        <w:rPr>
          <w:b/>
          <w:bCs/>
          <w:color w:val="375623"/>
          <w:sz w:val="26"/>
          <w:szCs w:val="26"/>
        </w:rPr>
        <w:t xml:space="preserve">3.3.6 ReqRep_FICOPROC_ChangeTimesheet (Call — External Call)</w:t>
      </w:r>
    </w:p>
    <w:p>
      <w:pPr>
        <w:spacing w:after="120"/>
      </w:pPr>
      <w:r>
        <w:rPr>
          <w:i w:val="false"/>
          <w:iCs w:val="false"/>
          <w:sz w:val="22"/>
          <w:szCs w:val="22"/>
        </w:rPr>
        <w:t xml:space="preserve">Performs the synchronous HTTP request to the FICOPROC change timesheet API.</w:t>
      </w:r>
    </w:p>
    <w:p>
      <w:pPr>
        <w:spacing w:after="50" w:before="160"/>
      </w:pPr>
      <w:r>
        <w:rPr>
          <w:b/>
          <w:bCs/>
          <w:color w:val="1b2130"/>
          <w:sz w:val="22"/>
          <w:szCs w:val="22"/>
        </w:rPr>
        <w:t xml:space="preserve">Configuration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cmdVariantUri</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ctype::FlowstepVariant/cname::ExternalCall/version::1.0.4</w:t>
            </w:r>
          </w:p>
        </w:tc>
      </w:tr>
    </w:tbl>
    <w:p>
      <w:pPr>
        <w:spacing w:after="80"/>
      </w:pPr>
    </w:p>
    <w:p>
      <w:pPr>
        <w:spacing w:after="80"/>
      </w:pPr>
    </w:p>
    <w:p>
      <w:pPr>
        <w:spacing w:after="60" w:before="200"/>
      </w:pPr>
      <w:r>
        <w:rPr>
          <w:b/>
          <w:bCs/>
          <w:color w:val="375623"/>
          <w:sz w:val="26"/>
          <w:szCs w:val="26"/>
        </w:rPr>
        <w:t xml:space="preserve">3.3.7 check_UpdateAPI_Response (Script)</w:t>
      </w:r>
    </w:p>
    <w:p>
      <w:pPr>
        <w:spacing w:after="120"/>
      </w:pPr>
      <w:r>
        <w:rPr>
          <w:i w:val="false"/>
          <w:iCs w:val="false"/>
          <w:sz w:val="22"/>
          <w:szCs w:val="22"/>
        </w:rPr>
        <w:t xml:space="preserve">Analyzes the API response for error codes using script2.groovy.</w:t>
      </w:r>
    </w:p>
    <w:p>
      <w:pPr>
        <w:spacing w:after="50" w:before="160"/>
      </w:pPr>
      <w:r>
        <w:rPr>
          <w:b/>
          <w:bCs/>
          <w:color w:val="1b2130"/>
          <w:sz w:val="22"/>
          <w:szCs w:val="22"/>
        </w:rPr>
        <w:t xml:space="preserve">Configuration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scriptFunction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scriptBundleId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cmdVariantUri</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ctype::FlowstepVariant/cname::GroovyScript/version::1.1.2</w:t>
            </w:r>
          </w:p>
        </w:tc>
      </w:tr>
    </w:tbl>
    <w:p>
      <w:pPr>
        <w:spacing w:after="80"/>
      </w:pPr>
    </w:p>
    <w:p>
      <w:pPr>
        <w:spacing w:after="50" w:before="160"/>
      </w:pPr>
      <w:r>
        <w:rPr>
          <w:b/>
          <w:bCs/>
          <w:color w:val="1b2130"/>
          <w:sz w:val="22"/>
          <w:szCs w:val="22"/>
        </w:rPr>
        <w:t xml:space="preserve">Script: script2.groovy</w:t>
      </w:r>
    </w:p>
    <w:p>
      <w:pPr>
        <w:spacing w:after="20"/>
      </w:pPr>
      <w:r>
        <w:rPr>
          <w:rFonts w:ascii="Consolas" w:cs="Consolas" w:eastAsia="Consolas" w:hAnsi="Consolas"/>
          <w:sz w:val="18"/>
          <w:szCs w:val="18"/>
        </w:rPr>
        <w:t xml:space="preserve">import com.sap.gateway.ip.core.customdev.util.Message</w:t>
      </w:r>
    </w:p>
    <w:p>
      <w:pPr>
        <w:spacing w:after="20"/>
      </w:pPr>
      <w:r>
        <w:rPr>
          <w:rFonts w:ascii="Consolas" w:cs="Consolas" w:eastAsia="Consolas" w:hAnsi="Consolas"/>
          <w:sz w:val="18"/>
          <w:szCs w:val="18"/>
        </w:rPr>
        <w:t xml:space="preserve">import groovy.util.XmlSlurper</w:t>
      </w:r>
    </w:p>
    <w:p>
      <w:pPr>
        <w:spacing w:after="20"/>
      </w:pPr>
      <w:r>
        <w:rPr>
          <w:rFonts w:ascii="Consolas" w:cs="Consolas" w:eastAsia="Consolas" w:hAnsi="Consolas"/>
          <w:sz w:val="18"/>
          <w:szCs w:val="18"/>
        </w:rPr>
        <w:t xml:space="preserve">import java.io.Reader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def Message processData(Message message)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Reader reader = message.getBody(Reader)</w:t>
      </w:r>
    </w:p>
    <w:p>
      <w:pPr>
        <w:spacing w:after="20"/>
      </w:pPr>
      <w:r>
        <w:rPr>
          <w:rFonts w:ascii="Consolas" w:cs="Consolas" w:eastAsia="Consolas" w:hAnsi="Consolas"/>
          <w:sz w:val="18"/>
          <w:szCs w:val="18"/>
        </w:rPr>
        <w:t xml:space="preserve">    def xml = new XmlSlurper().parse(reader)</w:t>
      </w:r>
    </w:p>
    <w:p>
      <w:pPr>
        <w:spacing w:after="20"/>
      </w:pPr>
      <w:r>
        <w:rPr>
          <w:rFonts w:ascii="Consolas" w:cs="Consolas" w:eastAsia="Consolas" w:hAnsi="Consolas"/>
          <w:sz w:val="18"/>
          <w:szCs w:val="18"/>
        </w:rPr>
        <w:t xml:space="preserve">    def log = messageLogFactory.getMessageLog(message)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def returnNode = xml."**".find { it.name() == 'RETURN'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 RETURN is empty → do nothing</w:t>
      </w:r>
    </w:p>
    <w:p>
      <w:pPr>
        <w:spacing w:after="20"/>
      </w:pPr>
      <w:r>
        <w:rPr>
          <w:rFonts w:ascii="Consolas" w:cs="Consolas" w:eastAsia="Consolas" w:hAnsi="Consolas"/>
          <w:sz w:val="18"/>
          <w:szCs w:val="18"/>
        </w:rPr>
        <w:t xml:space="preserve">    if (!returnNode || returnNode.children().size() == 0) {</w:t>
      </w:r>
    </w:p>
    <w:p>
      <w:pPr>
        <w:spacing w:after="20"/>
      </w:pPr>
      <w:r>
        <w:rPr>
          <w:rFonts w:ascii="Consolas" w:cs="Consolas" w:eastAsia="Consolas" w:hAnsi="Consolas"/>
          <w:sz w:val="18"/>
          <w:szCs w:val="18"/>
        </w:rPr>
        <w:t xml:space="preserve">        return message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boolean isError = false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//Loop through RETURN items</w:t>
      </w:r>
    </w:p>
    <w:p>
      <w:pPr>
        <w:spacing w:after="20"/>
      </w:pPr>
      <w:r>
        <w:rPr>
          <w:rFonts w:ascii="Consolas" w:cs="Consolas" w:eastAsia="Consolas" w:hAnsi="Consolas"/>
          <w:sz w:val="18"/>
          <w:szCs w:val="18"/>
        </w:rPr>
        <w:t xml:space="preserve">    returnNode.item.each { item -&gt;</w:t>
      </w:r>
    </w:p>
    <w:p>
      <w:pPr>
        <w:spacing w:after="20"/>
      </w:pPr>
      <w:r>
        <w:rPr>
          <w:rFonts w:ascii="Consolas" w:cs="Consolas" w:eastAsia="Consolas" w:hAnsi="Consolas"/>
          <w:sz w:val="18"/>
          <w:szCs w:val="18"/>
        </w:rPr>
        <w:t xml:space="preserve">        if (item.TYPE.text() == 'E' || item.TYPE.text() == 'A') {</w:t>
      </w:r>
    </w:p>
    <w:p>
      <w:pPr>
        <w:spacing w:after="20"/>
      </w:pPr>
      <w:r>
        <w:rPr>
          <w:rFonts w:ascii="Consolas" w:cs="Consolas" w:eastAsia="Consolas" w:hAnsi="Consolas"/>
          <w:sz w:val="18"/>
          <w:szCs w:val="18"/>
        </w:rPr>
        <w:t xml:space="preserve">            isError = true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Set property + logging</w:t>
      </w:r>
    </w:p>
    <w:p>
      <w:pPr>
        <w:spacing w:after="20"/>
      </w:pPr>
      <w:r>
        <w:rPr>
          <w:rFonts w:ascii="Consolas" w:cs="Consolas" w:eastAsia="Consolas" w:hAnsi="Consolas"/>
          <w:sz w:val="18"/>
          <w:szCs w:val="18"/>
        </w:rPr>
        <w:t xml:space="preserve">    if (isError) {</w:t>
      </w:r>
    </w:p>
    <w:p>
      <w:pPr>
        <w:spacing w:after="20"/>
      </w:pPr>
      <w:r>
        <w:rPr>
          <w:rFonts w:ascii="Consolas" w:cs="Consolas" w:eastAsia="Consolas" w:hAnsi="Consolas"/>
          <w:sz w:val="18"/>
          <w:szCs w:val="18"/>
        </w:rPr>
        <w:t xml:space="preserve">        message.setProperty("ErrorInUpdate", "true")</w:t>
      </w:r>
    </w:p>
    <w:p>
      <w:pPr>
        <w:spacing w:after="20"/>
      </w:pPr>
      <w:r>
        <w:rPr>
          <w:rFonts w:ascii="Consolas" w:cs="Consolas" w:eastAsia="Consolas" w:hAnsi="Consolas"/>
          <w:sz w:val="18"/>
          <w:szCs w:val="18"/>
        </w:rPr>
        <w:t xml:space="preserve">        if (log) {</w:t>
      </w:r>
    </w:p>
    <w:p>
      <w:pPr>
        <w:spacing w:after="20"/>
      </w:pPr>
      <w:r>
        <w:rPr>
          <w:rFonts w:ascii="Consolas" w:cs="Consolas" w:eastAsia="Consolas" w:hAnsi="Consolas"/>
          <w:sz w:val="18"/>
          <w:szCs w:val="18"/>
        </w:rPr>
        <w:t xml:space="preserve">            log.addAttachmentAsString("UpdateTimesheetErrorLog", message.getBody(String), "text/xml")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else {</w:t>
      </w:r>
    </w:p>
    <w:p>
      <w:pPr>
        <w:spacing w:after="20"/>
      </w:pPr>
      <w:r>
        <w:rPr>
          <w:rFonts w:ascii="Consolas" w:cs="Consolas" w:eastAsia="Consolas" w:hAnsi="Consolas"/>
          <w:sz w:val="18"/>
          <w:szCs w:val="18"/>
        </w:rPr>
        <w:t xml:space="preserve">        if (log) {</w:t>
      </w:r>
    </w:p>
    <w:p>
      <w:pPr>
        <w:spacing w:after="20"/>
      </w:pPr>
      <w:r>
        <w:rPr>
          <w:rFonts w:ascii="Consolas" w:cs="Consolas" w:eastAsia="Consolas" w:hAnsi="Consolas"/>
          <w:sz w:val="18"/>
          <w:szCs w:val="18"/>
        </w:rPr>
        <w:t xml:space="preserve">            log.addAttachmentAsString("UpdateTimesheetWarningPayload", message.getBody(String), "text/xml")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return message</w:t>
      </w:r>
    </w:p>
    <w:p>
      <w:pPr>
        <w:spacing w:after="20"/>
      </w:pPr>
      <w:r>
        <w:rPr>
          <w:rFonts w:ascii="Consolas" w:cs="Consolas" w:eastAsia="Consolas" w:hAnsi="Consolas"/>
          <w:sz w:val="18"/>
          <w:szCs w:val="18"/>
        </w:rPr>
        <w:t xml:space="preserve">}</w:t>
      </w:r>
    </w:p>
    <w:p>
      <w:pPr>
        <w:spacing w:after="80"/>
      </w:pPr>
    </w:p>
    <w:p>
      <w:pPr>
        <w:spacing w:after="80"/>
      </w:pPr>
    </w:p>
    <w:p>
      <w:pPr>
        <w:spacing w:after="60" w:before="200"/>
      </w:pPr>
      <w:r>
        <w:rPr>
          <w:b/>
          <w:bCs/>
          <w:color w:val="375623"/>
          <w:sz w:val="26"/>
          <w:szCs w:val="26"/>
        </w:rPr>
        <w:t xml:space="preserve">3.3.8 route_CheckError (ExclusiveGateway)</w:t>
      </w:r>
    </w:p>
    <w:p>
      <w:pPr>
        <w:spacing w:after="120"/>
      </w:pPr>
      <w:r>
        <w:rPr>
          <w:i w:val="false"/>
          <w:iCs w:val="false"/>
          <w:sz w:val="22"/>
          <w:szCs w:val="22"/>
        </w:rPr>
        <w:t xml:space="preserve">Routes the flow based on the presence of an error flag in the response.</w:t>
      </w:r>
    </w:p>
    <w:p>
      <w:pPr>
        <w:spacing w:after="50" w:before="160"/>
      </w:pPr>
      <w:r>
        <w:rPr>
          <w:b/>
          <w:bCs/>
          <w:color w:val="1b2130"/>
          <w:sz w:val="22"/>
          <w:szCs w:val="22"/>
        </w:rPr>
        <w:t xml:space="preserve">Configuration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cmdVariantUri</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ctype::FlowstepVariant/cname::ExclusiveGateway/version::1.1.2</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throwException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bl>
    <w:p>
      <w:pPr>
        <w:spacing w:after="80"/>
      </w:pPr>
    </w:p>
    <w:p>
      <w:pPr>
        <w:spacing w:after="80"/>
      </w:pPr>
    </w:p>
    <w:p>
      <w:pPr>
        <w:spacing w:after="60" w:before="200"/>
      </w:pPr>
      <w:r>
        <w:rPr>
          <w:b/>
          <w:bCs/>
          <w:color w:val="375623"/>
          <w:sz w:val="26"/>
          <w:szCs w:val="26"/>
        </w:rPr>
        <w:t xml:space="preserve">3.3.9 Escalation End - Change Timesheet (Process — End Event)</w:t>
      </w:r>
    </w:p>
    <w:p>
      <w:pPr>
        <w:spacing w:after="120"/>
      </w:pPr>
      <w:r>
        <w:rPr>
          <w:i w:val="false"/>
          <w:iCs w:val="false"/>
          <w:sz w:val="22"/>
          <w:szCs w:val="22"/>
        </w:rPr>
        <w:t xml:space="preserve">Terminates the process in an escalation state.</w:t>
      </w:r>
    </w:p>
    <w:p>
      <w:pPr>
        <w:spacing w:after="80"/>
      </w:pPr>
    </w:p>
    <w:p>
      <w:pPr>
        <w:spacing w:after="60" w:before="200"/>
      </w:pPr>
      <w:r>
        <w:rPr>
          <w:b/>
          <w:bCs/>
          <w:color w:val="375623"/>
          <w:sz w:val="26"/>
          <w:szCs w:val="26"/>
        </w:rPr>
        <w:t xml:space="preserve">3.3.10 End - Change Timesheet (Process — End Event)</w:t>
      </w:r>
    </w:p>
    <w:p>
      <w:pPr>
        <w:spacing w:after="120"/>
      </w:pPr>
      <w:r>
        <w:rPr>
          <w:i w:val="false"/>
          <w:iCs w:val="false"/>
          <w:sz w:val="22"/>
          <w:szCs w:val="22"/>
        </w:rPr>
        <w:t xml:space="preserve">Successfully terminates the change timesheet process.</w:t>
      </w:r>
    </w:p>
    <w:p>
      <w:pPr>
        <w:spacing w:after="50" w:before="160"/>
      </w:pPr>
      <w:r>
        <w:rPr>
          <w:b/>
          <w:bCs/>
          <w:color w:val="1b2130"/>
          <w:sz w:val="22"/>
          <w:szCs w:val="22"/>
        </w:rPr>
        <w:t xml:space="preserve">Configuration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cmdVariantUri</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ctype::FlowstepVariant/cname::EndEvent</w:t>
            </w:r>
          </w:p>
        </w:tc>
      </w:tr>
    </w:tbl>
    <w:p>
      <w:pPr>
        <w:spacing w:after="80"/>
      </w:pPr>
    </w:p>
    <w:p>
      <w:pPr>
        <w:spacing w:after="80"/>
      </w:pPr>
    </w:p>
    <w:p>
      <w:pPr>
        <w:spacing w:after="50" w:before="160"/>
      </w:pPr>
      <w:r>
        <w:rPr>
          <w:b/>
          <w:bCs/>
          <w:color w:val="1b2130"/>
          <w:sz w:val="22"/>
          <w:szCs w:val="22"/>
        </w:rPr>
        <w:t xml:space="preserve">High-Level Design</w:t>
      </w:r>
    </w:p>
    <w:p>
      <w:r>
        <w:drawing>
          <wp:inline distT="0" distB="0" distL="0" distR="0">
            <wp:extent cx="47625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14325"/>
                    </a:xfrm>
                    <a:prstGeom prst="rect">
                      <a:avLst/>
                    </a:prstGeom>
                  </pic:spPr>
                </pic:pic>
              </a:graphicData>
            </a:graphic>
          </wp:inline>
        </w:drawing>
      </w:r>
    </w:p>
    <w:p>
      <w:pPr>
        <w:spacing w:after="80"/>
      </w:pPr>
    </w:p>
    <w:p>
      <w:pPr>
        <w:spacing w:after="50" w:before="160"/>
      </w:pPr>
      <w:r>
        <w:rPr>
          <w:b/>
          <w:bCs/>
          <w:color w:val="1b2130"/>
          <w:sz w:val="22"/>
          <w:szCs w:val="22"/>
        </w:rPr>
        <w:t xml:space="preserve">Message Flow Diagram</w:t>
      </w:r>
    </w:p>
    <w:p>
      <w:r>
        <w:drawing>
          <wp:inline distT="0" distB="0" distL="0" distR="0">
            <wp:extent cx="4762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790575"/>
                    </a:xfrm>
                    <a:prstGeom prst="rect">
                      <a:avLst/>
                    </a:prstGeom>
                  </pic:spPr>
                </pic:pic>
              </a:graphicData>
            </a:graphic>
          </wp:inline>
        </w:drawing>
      </w:r>
    </w:p>
    <w:p>
      <w:pPr>
        <w:spacing w:after="80"/>
      </w:pPr>
    </w:p>
    <w:p>
      <w:pPr>
        <w:spacing w:after="120"/>
      </w:pPr>
      <w:r>
        <w:rPr>
          <w:i w:val="false"/>
          <w:iCs w:val="false"/>
          <w:sz w:val="22"/>
          <w:szCs w:val="22"/>
        </w:rPr>
        <w:t xml:space="preserve">The integration starts by receiving a payload, converting CSV to XML, and applying message mappings to determine if the record requires creation or update. The flow then calls local processes for specific API interactions, utilizing Groovy scripts to validate SOAP responses and handle potential errors before finalizing the transaction.</w:t>
      </w:r>
    </w:p>
    <w:p>
      <w:pPr>
        <w:spacing w:after="80"/>
      </w:pPr>
    </w:p>
    <w:p>
      <w:pPr>
        <w:spacing w:after="80"/>
      </w:pPr>
    </w:p>
    <w:p>
      <w:pPr>
        <w:spacing w:after="60" w:before="200"/>
      </w:pPr>
      <w:r>
        <w:rPr>
          <w:b/>
          <w:bCs/>
          <w:color w:val="375623"/>
          <w:sz w:val="26"/>
          <w:szCs w:val="26"/>
        </w:rPr>
        <w:t xml:space="preserve">3.4 Security</w:t>
      </w:r>
    </w:p>
    <w:p>
      <w:pPr>
        <w:spacing w:after="120"/>
      </w:pPr>
      <w:r>
        <w:rPr>
          <w:i w:val="false"/>
          <w:iCs w:val="false"/>
          <w:sz w:val="22"/>
          <w:szCs w:val="22"/>
        </w:rPr>
        <w:t xml:space="preserve">Details authentication, encryption, and access controls.</w:t>
      </w:r>
    </w:p>
    <w:p>
      <w:pPr>
        <w:spacing w:after="120"/>
      </w:pPr>
      <w:r>
        <w:rPr>
          <w:i w:val="false"/>
          <w:iCs w:val="false"/>
          <w:sz w:val="22"/>
          <w:szCs w:val="22"/>
        </w:rPr>
        <w:t xml:space="preserve">The iFlow uses Basic Authentication for HTTP calls to the backend. While credentials are externalized, the use of Basic Auth over the Cloud Connector should be validated against internal security policies.</w:t>
      </w:r>
    </w:p>
    <w:p>
      <w:pPr>
        <w:spacing w:after="80"/>
      </w:pPr>
    </w:p>
    <w:p>
      <w:pPr>
        <w:spacing w:after="50" w:before="160"/>
      </w:pPr>
      <w:r>
        <w:rPr>
          <w:b/>
          <w:bCs/>
          <w:color w:val="1b2130"/>
          <w:sz w:val="22"/>
          <w:szCs w:val="22"/>
        </w:rPr>
        <w:t xml:space="preserve">Security Material</w:t>
      </w:r>
    </w:p>
    <w:p>
      <w:pPr>
        <w:spacing w:after="120"/>
      </w:pPr>
      <w:r>
        <w:rPr>
          <w:i/>
          <w:iCs/>
          <w:sz w:val="22"/>
          <w:szCs w:val="22"/>
        </w:rPr>
        <w:t xml:space="preserve">No named credentials/keystore aliases were found in this iFlow's adapter configuration.</w:t>
      </w:r>
    </w:p>
    <w:p>
      <w:pPr>
        <w:spacing w:after="80"/>
      </w:pPr>
    </w:p>
    <w:p>
      <w:pPr>
        <w:spacing w:after="50" w:before="160"/>
      </w:pPr>
      <w:r>
        <w:rPr>
          <w:b/>
          <w:bCs/>
          <w:color w:val="1b2130"/>
          <w:sz w:val="22"/>
          <w:szCs w:val="22"/>
        </w:rPr>
        <w:t xml:space="preserve">Security Observations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Area</w:t>
            </w:r>
          </w:p>
        </w:tc>
        <w:tc>
          <w:tcPr>
            <w:tcW w:type="pct" w:w="38%"/>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Configuration</w:t>
            </w:r>
          </w:p>
        </w:tc>
        <w:tc>
          <w:tcPr>
            <w:tcW w:type="pct" w:w="4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Observation</w:t>
            </w:r>
          </w:p>
        </w:tc>
      </w:tr>
      <w:tr>
        <w:tc>
          <w:tcPr>
            <w:tcW w:type="pct" w:w="20%"/>
            <w:tcBorders>
              <w:top w:val="single" w:color="CCCCCC" w:sz="4"/>
              <w:left w:val="single" w:color="CCCCCC" w:sz="4"/>
              <w:bottom w:val="single" w:color="CCCCCC" w:sz="4"/>
              <w:right w:val="single" w:color="CCCCCC" w:sz="4"/>
            </w:tcBorders>
            <w:vAlign w:val="center"/>
          </w:tcPr>
          <w:p>
            <w:r>
              <w:rPr>
                <w:sz w:val="18"/>
                <w:szCs w:val="18"/>
              </w:rPr>
              <w:t xml:space="preserve">Authentication</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Basic</w:t>
            </w:r>
          </w:p>
        </w:tc>
        <w:tc>
          <w:tcPr>
            <w:tcW w:type="pct" w:w="42%"/>
            <w:tcBorders>
              <w:top w:val="single" w:color="CCCCCC" w:sz="4"/>
              <w:left w:val="single" w:color="CCCCCC" w:sz="4"/>
              <w:bottom w:val="single" w:color="CCCCCC" w:sz="4"/>
              <w:right w:val="single" w:color="CCCCCC" w:sz="4"/>
            </w:tcBorders>
            <w:vAlign w:val="center"/>
          </w:tcPr>
          <w:p>
            <w:r>
              <w:rPr>
                <w:sz w:val="18"/>
                <w:szCs w:val="18"/>
              </w:rPr>
              <w:t xml:space="preserve">Credentials are externalized via {{CredentialName}}.</w:t>
            </w:r>
          </w:p>
        </w:tc>
      </w:tr>
      <w:tr>
        <w:tc>
          <w:tcPr>
            <w:tcW w:type="pct" w:w="20%"/>
            <w:tcBorders>
              <w:top w:val="single" w:color="CCCCCC" w:sz="4"/>
              <w:left w:val="single" w:color="CCCCCC" w:sz="4"/>
              <w:bottom w:val="single" w:color="CCCCCC" w:sz="4"/>
              <w:right w:val="single" w:color="CCCCCC" w:sz="4"/>
            </w:tcBorders>
            <w:vAlign w:val="center"/>
          </w:tcPr>
          <w:p>
            <w:r>
              <w:rPr>
                <w:sz w:val="18"/>
                <w:szCs w:val="18"/>
              </w:rPr>
              <w:t xml:space="preserve">Transport</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HTTPS</w:t>
            </w:r>
          </w:p>
        </w:tc>
        <w:tc>
          <w:tcPr>
            <w:tcW w:type="pct" w:w="42%"/>
            <w:tcBorders>
              <w:top w:val="single" w:color="CCCCCC" w:sz="4"/>
              <w:left w:val="single" w:color="CCCCCC" w:sz="4"/>
              <w:bottom w:val="single" w:color="CCCCCC" w:sz="4"/>
              <w:right w:val="single" w:color="CCCCCC" w:sz="4"/>
            </w:tcBorders>
            <w:vAlign w:val="center"/>
          </w:tcPr>
          <w:p>
            <w:r>
              <w:rPr>
                <w:sz w:val="18"/>
                <w:szCs w:val="18"/>
              </w:rPr>
              <w:t xml:space="preserve">Implicitly required for SAP Cloud Connector communication.</w:t>
            </w:r>
          </w:p>
        </w:tc>
      </w:tr>
      <w:tr>
        <w:tc>
          <w:tcPr>
            <w:tcW w:type="pct" w:w="20%"/>
            <w:tcBorders>
              <w:top w:val="single" w:color="CCCCCC" w:sz="4"/>
              <w:left w:val="single" w:color="CCCCCC" w:sz="4"/>
              <w:bottom w:val="single" w:color="CCCCCC" w:sz="4"/>
              <w:right w:val="single" w:color="CCCCCC" w:sz="4"/>
            </w:tcBorders>
            <w:vAlign w:val="center"/>
          </w:tcPr>
          <w:p>
            <w:r>
              <w:rPr>
                <w:sz w:val="18"/>
                <w:szCs w:val="18"/>
              </w:rPr>
              <w:t xml:space="preserve">Data Protection</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JMS Encryption</w:t>
            </w:r>
          </w:p>
        </w:tc>
        <w:tc>
          <w:tcPr>
            <w:tcW w:type="pct" w:w="42%"/>
            <w:tcBorders>
              <w:top w:val="single" w:color="CCCCCC" w:sz="4"/>
              <w:left w:val="single" w:color="CCCCCC" w:sz="4"/>
              <w:bottom w:val="single" w:color="CCCCCC" w:sz="4"/>
              <w:right w:val="single" w:color="CCCCCC" w:sz="4"/>
            </w:tcBorders>
            <w:vAlign w:val="center"/>
          </w:tcPr>
          <w:p>
            <w:r>
              <w:rPr>
                <w:sz w:val="18"/>
                <w:szCs w:val="18"/>
              </w:rPr>
              <w:t xml:space="preserve">JMS outbound messages are configured with encryption enabled.</w:t>
            </w:r>
          </w:p>
        </w:tc>
      </w:tr>
    </w:tbl>
    <w:p>
      <w:pPr>
        <w:spacing w:after="80"/>
      </w:pPr>
    </w:p>
    <w:p>
      <w:pPr>
        <w:spacing w:after="80"/>
      </w:pPr>
    </w:p>
    <w:p>
      <w:pPr>
        <w:spacing w:after="60" w:before="200"/>
      </w:pPr>
      <w:r>
        <w:rPr>
          <w:b/>
          <w:bCs/>
          <w:color w:val="375623"/>
          <w:sz w:val="26"/>
          <w:szCs w:val="26"/>
        </w:rPr>
        <w:t xml:space="preserve">3.5 Manage Stores</w:t>
      </w:r>
    </w:p>
    <w:p>
      <w:pPr>
        <w:spacing w:after="120"/>
      </w:pPr>
      <w:r>
        <w:rPr>
          <w:i w:val="false"/>
          <w:iCs w:val="false"/>
          <w:sz w:val="22"/>
          <w:szCs w:val="22"/>
        </w:rPr>
        <w:t xml:space="preserve">Describes message persistence mechanisms (Data Store, Variables, Number Ranges).</w:t>
      </w:r>
    </w:p>
    <w:p>
      <w:pPr>
        <w:spacing w:after="120"/>
      </w:pPr>
      <w:r>
        <w:rPr>
          <w:i/>
          <w:iCs/>
          <w:sz w:val="22"/>
          <w:szCs w:val="22"/>
        </w:rPr>
        <w:t xml:space="preserve">No Data Store, Variable, or Number Range operations were found in this iFlow.</w:t>
      </w:r>
    </w:p>
    <w:p>
      <w:pPr>
        <w:spacing w:after="80"/>
      </w:pPr>
    </w:p>
    <w:p>
      <w:pPr>
        <w:spacing w:after="60" w:before="200"/>
      </w:pPr>
      <w:r>
        <w:rPr>
          <w:b/>
          <w:bCs/>
          <w:color w:val="375623"/>
          <w:sz w:val="26"/>
          <w:szCs w:val="26"/>
        </w:rPr>
        <w:t xml:space="preserve">3.6 Monitoring and Error Handling</w:t>
      </w:r>
    </w:p>
    <w:p>
      <w:pPr>
        <w:spacing w:after="120"/>
      </w:pPr>
      <w:r>
        <w:rPr>
          <w:i w:val="false"/>
          <w:iCs w:val="false"/>
          <w:sz w:val="22"/>
          <w:szCs w:val="22"/>
        </w:rPr>
        <w:t xml:space="preserve">Captures error logging and alert mechanisms.</w:t>
      </w:r>
    </w:p>
    <w:p>
      <w:pPr>
        <w:spacing w:after="50" w:before="160"/>
      </w:pPr>
      <w:r>
        <w:rPr>
          <w:b/>
          <w:bCs/>
          <w:color w:val="1b2130"/>
          <w:sz w:val="22"/>
          <w:szCs w:val="22"/>
        </w:rPr>
        <w:t xml:space="preserve">Log Configuration</w:t>
      </w:r>
    </w:p>
    <w:p>
      <w:pPr>
        <w:spacing w:after="120"/>
      </w:pPr>
      <w:r>
        <w:rPr>
          <w:i/>
          <w:iCs/>
          <w:sz w:val="22"/>
          <w:szCs w:val="22"/>
        </w:rPr>
        <w:t xml:space="preserve">Log level is not explicitly configured in the iFlow XML — uses the tenant default; verify in the Monitor before go-live.</w:t>
      </w:r>
    </w:p>
    <w:p>
      <w:pPr>
        <w:spacing w:after="120"/>
      </w:pPr>
      <w:r>
        <w:rPr>
          <w:i w:val="false"/>
          <w:iCs w:val="false"/>
          <w:sz w:val="22"/>
          <w:szCs w:val="22"/>
        </w:rPr>
        <w:t xml:space="preserve">The iFlow utilizes the Message Log factory to attach XML payloads to the MPL upon detecting errors or warnings in the API responses.</w:t>
      </w:r>
    </w:p>
    <w:p>
      <w:pPr>
        <w:spacing w:after="60"/>
        <w:ind w:left="360"/>
      </w:pPr>
      <w:r>
        <w:rPr>
          <w:sz w:val="22"/>
          <w:szCs w:val="22"/>
        </w:rPr>
        <w:t xml:space="preserve">• Exception Subprocess - Main: Captures errors and sets custom headers (SAP_Sender, SAP_Receiver, etc.) for traceability.</w:t>
      </w:r>
    </w:p>
    <w:p>
      <w:pPr>
        <w:spacing w:after="60"/>
        <w:ind w:left="360"/>
      </w:pPr>
      <w:r>
        <w:rPr>
          <w:sz w:val="22"/>
          <w:szCs w:val="22"/>
        </w:rPr>
        <w:t xml:space="preserve">• Local Integration Process - RetryCount: Provides a mechanism to route failed messages to a JMS queue.</w:t>
      </w:r>
    </w:p>
    <w:p>
      <w:pPr>
        <w:spacing w:after="60"/>
        <w:ind w:left="360"/>
      </w:pPr>
      <w:r>
        <w:rPr>
          <w:sz w:val="22"/>
          <w:szCs w:val="22"/>
        </w:rPr>
        <w:t xml:space="preserve">• route_CheckError (Change/Create): Exclusive gateways check for error flags set by Groovy scripts to trigger escalation.</w:t>
      </w:r>
    </w:p>
    <w:p>
      <w:pPr>
        <w:spacing w:after="80"/>
      </w:pPr>
    </w:p>
    <w:p>
      <w:pPr>
        <w:spacing w:after="80"/>
      </w:pPr>
    </w:p>
    <w:p>
      <w:pPr>
        <w:spacing w:after="60" w:before="200"/>
      </w:pPr>
      <w:r>
        <w:rPr>
          <w:b/>
          <w:bCs/>
          <w:color w:val="375623"/>
          <w:sz w:val="26"/>
          <w:szCs w:val="26"/>
        </w:rPr>
        <w:t xml:space="preserve">3.7 Connectivity</w:t>
      </w:r>
    </w:p>
    <w:p>
      <w:pPr>
        <w:spacing w:after="120"/>
      </w:pPr>
      <w:r>
        <w:rPr>
          <w:i w:val="false"/>
          <w:iCs w:val="false"/>
          <w:sz w:val="22"/>
          <w:szCs w:val="22"/>
        </w:rPr>
        <w:t xml:space="preserve">Defines network, proxy, and API configurations.</w:t>
      </w:r>
    </w:p>
    <w:p>
      <w:pPr>
        <w:spacing w:after="120"/>
      </w:pPr>
      <w:r>
        <w:rPr>
          <w:i w:val="false"/>
          <w:iCs w:val="false"/>
          <w:sz w:val="22"/>
          <w:szCs w:val="22"/>
        </w:rPr>
        <w:t xml:space="preserve">Connectivity is established via the SAP Cloud Connector (proxyType: sapcc) to the FICOPROC backend, with a 60-second timeout configured for HTTP requests.</w:t>
      </w:r>
    </w:p>
    <w:p>
      <w:pPr>
        <w:spacing w:after="80"/>
      </w:pPr>
    </w:p>
    <w:p>
      <w:pPr>
        <w:spacing w:after="60" w:before="200"/>
      </w:pPr>
      <w:r>
        <w:rPr>
          <w:b/>
          <w:bCs/>
          <w:color w:val="375623"/>
          <w:sz w:val="26"/>
          <w:szCs w:val="26"/>
        </w:rPr>
        <w:t xml:space="preserve">3.7.1 HTTP (HTTP — Receiver)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Adapter / Component 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None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 / Endpoint 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{{Host_Ficoproc}}/sap/bc/srt/scs/sap/zbapi_catimesheetmgr_insert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apiName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methodSourceExpression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apiArtifactType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providerAuth</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ComponentNS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sap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privateKeyAlias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[REDACTED]</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httpMethod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POST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allowedResponseHeaders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internetProxyType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1.17.0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ComponentSWCVName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external</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proxyPort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streaming</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enableMPLAttachments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true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httpAddressQuery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{{sap-client}}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httpRequestTimeout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60000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ComponentSWCVId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1.17.0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allowedRequestHeaders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httpShouldSendBody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throwExceptionOnFailure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true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sapcc</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1.17</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retryIteration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proxyHost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retryOnConnectionFailure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system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BB_FICOPROC_3</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authenticationMethod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Basic</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locationID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retryInterval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5</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cmdVariantUri</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ctype::AdapterVariant/cname::sap:HTTP/tp::HTTP/mp::None/direction::Receiver/version::1.17.0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credentialName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{{CredentialName}}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httpErrorResponseCodes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1.17.0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httpAddressWithoutQuery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{{Host_Ficoproc}}/sap/bc/srt/scs/sap/zbapi_catimesheetmgr_insert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providerRelativeUrl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60" w:before="200"/>
      </w:pPr>
      <w:r>
        <w:rPr>
          <w:b/>
          <w:bCs/>
          <w:color w:val="375623"/>
          <w:sz w:val="26"/>
          <w:szCs w:val="26"/>
        </w:rPr>
        <w:t xml:space="preserve">3.7.2 JMS (JMS — Receiver)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Adapter / Component 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JMS</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Not Applicable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Not Applicable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 / Endpoint 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ComponentNS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sap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1.6</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UseMessageCompression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1.6.3</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ComponentSWCVName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external</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QueueName_outbound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{{ResendQueue}}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system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SAPCI_4</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EncryptMessage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RetentionThresholdAlerting</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2</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ExpirationPeriod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30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cmdVariantUri</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ctype::AdapterVariant/cname::sap:JMS/tp::Not Applicable/mp::Not Applicable/direction::Receiver/version::1.6.3</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TransferExchangeProperties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1.6.3</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ComponentSWCVId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1.6.3</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AccessType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Non-Exclusive</w:t>
            </w:r>
          </w:p>
        </w:tc>
      </w:tr>
    </w:tbl>
    <w:p>
      <w:pPr>
        <w:spacing w:after="80"/>
      </w:pPr>
    </w:p>
    <w:p>
      <w:pPr>
        <w:spacing w:after="60" w:before="200"/>
      </w:pPr>
      <w:r>
        <w:rPr>
          <w:b/>
          <w:bCs/>
          <w:color w:val="375623"/>
          <w:sz w:val="26"/>
          <w:szCs w:val="26"/>
        </w:rPr>
        <w:t xml:space="preserve">3.7.3 HTTP (HTTP — Receiver)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Adapter / Component 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None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 / Endpoint 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{{Host_Ficoproc}}/sap/bc/srt/scs/sap/zfm_mm_7908_catimesheet_change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apiName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methodSourceExpression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apiArtifactType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providerAuth</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ComponentNS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sap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privateKeyAlias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[REDACTED]</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httpMethod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POST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allowedResponseHeaders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internetProxyType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1.17.0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ComponentSWCVName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external</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proxyPort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streaming</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enableMPLAttachments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true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httpAddressQuery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{{sap-client}}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httpRequestTimeout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60000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ComponentSWCVId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1.17.0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allowedRequestHeaders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httpShouldSendBody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throwExceptionOnFailure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true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sapcc</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componentVersion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1.17</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retryIteration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proxyHost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retryOnConnectionFailure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system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BB_FICOPROC_2</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authenticationMethod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Basic</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locationID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retryInterval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5</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cmdVariantUri</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ctype::AdapterVariant/cname::sap:HTTP/tp::HTTP/mp::None/direction::Receiver/version::1.17.0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credentialName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{{CredentialName}}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httpErrorResponseCodes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1.17.0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httpAddressWithoutQuery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{{Host_Ficoproc}}/sap/bc/srt/scs/sap/zfm_mm_7908_catimesheet_change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providerRelativeUrl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80"/>
      </w:pPr>
    </w:p>
    <w:p>
      <w:pPr>
        <w:spacing w:after="80"/>
      </w:pPr>
    </w:p>
    <w:p>
      <w:pPr>
        <w:spacing w:after="80" w:before="280"/>
      </w:pPr>
      <w:r>
        <w:rPr>
          <w:b/>
          <w:bCs/>
          <w:color w:val="2F5496"/>
          <w:sz w:val="32"/>
          <w:szCs w:val="32"/>
        </w:rPr>
        <w:t xml:space="preserve">4. Event Mesh Technical Information</w:t>
      </w:r>
    </w:p>
    <w:p>
      <w:pPr>
        <w:spacing w:after="120"/>
      </w:pPr>
      <w:r>
        <w:rPr>
          <w:i/>
          <w:iCs/>
          <w:sz w:val="22"/>
          <w:szCs w:val="22"/>
        </w:rPr>
        <w:t xml:space="preserve">No Event Mesh components were detected in this iFlow. Section left for manual completion if applicable.</w:t>
      </w:r>
    </w:p>
    <w:p>
      <w:pPr>
        <w:spacing w:after="80"/>
      </w:pPr>
    </w:p>
    <w:p>
      <w:pPr>
        <w:spacing w:after="80" w:before="280"/>
      </w:pPr>
      <w:r>
        <w:rPr>
          <w:b/>
          <w:bCs/>
          <w:color w:val="2F5496"/>
          <w:sz w:val="32"/>
          <w:szCs w:val="32"/>
        </w:rPr>
        <w:t xml:space="preserve">5. APIM Technical Information</w:t>
      </w:r>
    </w:p>
    <w:p>
      <w:pPr>
        <w:spacing w:after="120"/>
      </w:pPr>
      <w:r>
        <w:rPr>
          <w:i/>
          <w:iCs/>
          <w:sz w:val="22"/>
          <w:szCs w:val="22"/>
        </w:rPr>
        <w:t xml:space="preserve">No API Management components were detected in this iFlow. Section left for manual completion if applicable.</w:t>
      </w:r>
    </w:p>
    <w:p>
      <w:pPr>
        <w:spacing w:after="80"/>
      </w:pPr>
    </w:p>
    <w:p>
      <w:pPr>
        <w:spacing w:after="80" w:before="280"/>
      </w:pPr>
      <w:r>
        <w:rPr>
          <w:b/>
          <w:bCs/>
          <w:color w:val="2F5496"/>
          <w:sz w:val="32"/>
          <w:szCs w:val="32"/>
        </w:rPr>
        <w:t xml:space="preserve">6. Test Cases</w:t>
      </w:r>
    </w:p>
    <w:p>
      <w:pPr>
        <w:spacing w:after="120"/>
      </w:pPr>
      <w:r>
        <w:rPr>
          <w:i w:val="false"/>
          <w:iCs w:val="false"/>
          <w:sz w:val="22"/>
          <w:szCs w:val="22"/>
        </w:rPr>
        <w:t xml:space="preserve">Identify the test scenarios to be used to test the development with. (Mandatory)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Test Considerations</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Scope of Testing (IS / OS / BO)</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Target Test Date</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Validate successful creation of a new timesheet record</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BO</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Validate successful update of an existing timesheet record</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BO</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Verify error handling when API returns 'E' or 'A' type messages</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BO</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Test retry logic by forcing a connection failure to the JMS queue</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IS</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Confirm CSV to XML conversion handles the configured field separator correctly</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IS</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bl>
    <w:p>
      <w:pPr>
        <w:spacing w:after="80"/>
      </w:pPr>
    </w:p>
    <w:p>
      <w:pPr>
        <w:spacing w:after="80"/>
      </w:pPr>
    </w:p>
    <w:p>
      <w:pPr>
        <w:spacing w:after="80" w:before="280"/>
      </w:pPr>
      <w:r>
        <w:rPr>
          <w:b/>
          <w:bCs/>
          <w:color w:val="2F5496"/>
          <w:sz w:val="32"/>
          <w:szCs w:val="32"/>
        </w:rPr>
        <w:t xml:space="preserve">Appendix A: Automated Review Findings</w:t>
      </w:r>
    </w:p>
    <w:p>
      <w:pPr>
        <w:spacing w:after="120"/>
      </w:pPr>
      <w:r>
        <w:rPr>
          <w:i/>
          <w:iCs/>
          <w:sz w:val="22"/>
          <w:szCs w:val="22"/>
        </w:rPr>
        <w:t xml:space="preserve">Supplementary AI-generated review — not part of the standard TSD template, kept for convenience.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Severity</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Area</w:t>
            </w:r>
          </w:p>
        </w:tc>
        <w:tc>
          <w:tcPr>
            <w:tcW w:type="pct" w:w="38%"/>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Finding</w:t>
            </w:r>
          </w:p>
        </w:tc>
        <w:tc>
          <w:tcPr>
            <w:tcW w:type="pct" w:w="38%"/>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Recommendation</w:t>
            </w:r>
          </w:p>
        </w:tc>
      </w:tr>
      <w:tr>
        <w:tc>
          <w:tcPr>
            <w:tcW w:type="pct" w:w="10%"/>
            <w:tcBorders>
              <w:top w:val="single" w:color="CCCCCC" w:sz="4"/>
              <w:left w:val="single" w:color="CCCCCC" w:sz="4"/>
              <w:bottom w:val="single" w:color="CCCCCC" w:sz="4"/>
              <w:right w:val="single" w:color="CCCCCC" w:sz="4"/>
            </w:tcBorders>
            <w:vAlign w:val="center"/>
          </w:tcPr>
          <w:p>
            <w:r>
              <w:rPr>
                <w:sz w:val="18"/>
                <w:szCs w:val="18"/>
              </w:rPr>
              <w:t xml:space="preserve">🟠 Medium</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Error Handling</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The 'Escalation End' events are present but lack specific error notification logic.</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Implement an alert or email notification step in the exception sub-process.</w:t>
            </w:r>
          </w:p>
        </w:tc>
      </w:tr>
      <w:tr>
        <w:tc>
          <w:tcPr>
            <w:tcW w:type="pct" w:w="10%"/>
            <w:tcBorders>
              <w:top w:val="single" w:color="CCCCCC" w:sz="4"/>
              <w:left w:val="single" w:color="CCCCCC" w:sz="4"/>
              <w:bottom w:val="single" w:color="CCCCCC" w:sz="4"/>
              <w:right w:val="single" w:color="CCCCCC" w:sz="4"/>
            </w:tcBorders>
            <w:vAlign w:val="center"/>
          </w:tcPr>
          <w:p>
            <w:r>
              <w:rPr>
                <w:sz w:val="18"/>
                <w:szCs w:val="18"/>
              </w:rPr>
              <w:t xml:space="preserve">🟡 Low</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Hardcoding</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The 'cm_Set_SenderPayload' step contains a hardcoded sample payload.</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Remove hardcoded sample data and ensure the flow relies strictly on incoming message content.</w:t>
            </w:r>
          </w:p>
        </w:tc>
      </w:tr>
      <w:tr>
        <w:tc>
          <w:tcPr>
            <w:tcW w:type="pct" w:w="10%"/>
            <w:tcBorders>
              <w:top w:val="single" w:color="CCCCCC" w:sz="4"/>
              <w:left w:val="single" w:color="CCCCCC" w:sz="4"/>
              <w:bottom w:val="single" w:color="CCCCCC" w:sz="4"/>
              <w:right w:val="single" w:color="CCCCCC" w:sz="4"/>
            </w:tcBorders>
            <w:vAlign w:val="center"/>
          </w:tcPr>
          <w:p>
            <w:r>
              <w:rPr>
                <w:sz w:val="18"/>
                <w:szCs w:val="18"/>
              </w:rPr>
              <w:t xml:space="preserve">🔴 High</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Design</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The 'EndEvent' types in several processes are marked as 'Unknown'.</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Standardize all end events to 'EndEvent' for consistent monitoring and MPL reporting.</w:t>
            </w:r>
          </w:p>
        </w:tc>
      </w:tr>
    </w:tbl>
    <w:p>
      <w:pPr>
        <w:spacing w:after="80"/>
      </w:pPr>
    </w:p>
    <w:p>
      <w:pPr>
        <w:spacing w:after="60"/>
        <w:ind w:left="360"/>
      </w:pPr>
      <w:r>
        <w:rPr>
          <w:sz w:val="22"/>
          <w:szCs w:val="22"/>
        </w:rPr>
        <w:t xml:space="preserve">• Verify if the 'Unknown' end events are causing issues with message status reporting in the MPL.</w:t>
      </w:r>
    </w:p>
    <w:p>
      <w:pPr>
        <w:spacing w:after="60"/>
        <w:ind w:left="360"/>
      </w:pPr>
      <w:r>
        <w:rPr>
          <w:sz w:val="22"/>
          <w:szCs w:val="22"/>
        </w:rPr>
        <w:t xml:space="preserve">• Confirm the target API WSDLs match the structure expected by the Message Mappings.</w:t>
      </w:r>
    </w:p>
    <w:p>
      <w:pPr>
        <w:spacing w:after="60"/>
        <w:ind w:left="360"/>
      </w:pPr>
      <w:r>
        <w:rPr>
          <w:sz w:val="22"/>
          <w:szCs w:val="22"/>
        </w:rPr>
        <w:t xml:space="preserve">• Ensure the JMS queue retention period of 30 days aligns with business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29dadd30523289801c2e2d082af52c74395c8c4.png"/><Relationship Id="rId8" Type="http://schemas.openxmlformats.org/officeDocument/2006/relationships/image" Target="media/f6f608e25ff2202ec005e1518c203f9285f269f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2026-07-05T17:17:40.285Z</dcterms:created>
  <dcterms:modified xsi:type="dcterms:W3CDTF">2026-07-05T17:17:40.285Z</dcterms:modified>
</cp:coreProperties>
</file>

<file path=docProps/custom.xml><?xml version="1.0" encoding="utf-8"?>
<Properties xmlns="http://schemas.openxmlformats.org/officeDocument/2006/custom-properties" xmlns:vt="http://schemas.openxmlformats.org/officeDocument/2006/docPropsVTypes"/>
</file>