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jc w:val="center"/>
      </w:pPr>
      <w:r>
        <w:rPr>
          <w:b/>
          <w:bCs/>
          <w:color w:val="1F3864"/>
          <w:sz w:val="52"/>
          <w:szCs w:val="52"/>
        </w:rPr>
        <w:t xml:space="preserve">ErrorHandlingUsingAI — Technical Specification</w:t>
      </w:r>
    </w:p>
    <w:p>
      <w:pPr>
        <w:spacing w:after="80" w:before="280"/>
      </w:pPr>
      <w:r>
        <w:rPr>
          <w:b/>
          <w:bCs/>
          <w:color w:val="2F5496"/>
          <w:sz w:val="32"/>
          <w:szCs w:val="32"/>
        </w:rPr>
        <w:t xml:space="preserve">Change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Version</w:t>
            </w:r>
          </w:p>
        </w:tc>
        <w:tc>
          <w:tcPr>
            <w:tcW w:type="pct" w:w="1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Date</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Author</w:t>
            </w:r>
          </w:p>
        </w:tc>
        <w:tc>
          <w:tcPr>
            <w:tcW w:type="pct" w:w="53%"/>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Change Description</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1.0</w:t>
            </w:r>
          </w:p>
        </w:tc>
        <w:tc>
          <w:tcPr>
            <w:tcW w:type="pct" w:w="15%"/>
            <w:tcBorders>
              <w:top w:val="single" w:color="CCCCCC" w:sz="4"/>
              <w:left w:val="single" w:color="CCCCCC" w:sz="4"/>
              <w:bottom w:val="single" w:color="CCCCCC" w:sz="4"/>
              <w:right w:val="single" w:color="CCCCCC" w:sz="4"/>
            </w:tcBorders>
            <w:vAlign w:val="center"/>
          </w:tcPr>
          <w:p>
            <w:r>
              <w:rPr>
                <w:sz w:val="18"/>
                <w:szCs w:val="18"/>
              </w:rPr>
              <w:t xml:space="preserve">2026-07-05</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CI Pipeline</w:t>
            </w:r>
          </w:p>
        </w:tc>
        <w:tc>
          <w:tcPr>
            <w:tcW w:type="pct" w:w="53%"/>
            <w:tcBorders>
              <w:top w:val="single" w:color="CCCCCC" w:sz="4"/>
              <w:left w:val="single" w:color="CCCCCC" w:sz="4"/>
              <w:bottom w:val="single" w:color="CCCCCC" w:sz="4"/>
              <w:right w:val="single" w:color="CCCCCC" w:sz="4"/>
            </w:tcBorders>
            <w:vAlign w:val="center"/>
          </w:tcPr>
          <w:p>
            <w:r>
              <w:rPr>
                <w:sz w:val="18"/>
                <w:szCs w:val="18"/>
              </w:rPr>
              <w:t xml:space="preserve">Auto-generated from iFlow artifact via GitHub Actions</w:t>
            </w:r>
          </w:p>
        </w:tc>
      </w:tr>
    </w:tbl>
    <w:p>
      <w:pPr>
        <w:spacing w:after="80"/>
      </w:pPr>
    </w:p>
    <w:p>
      <w:pPr>
        <w:spacing w:after="80"/>
      </w:pPr>
    </w:p>
    <w:p>
      <w:pPr>
        <w:spacing w:after="80" w:before="280"/>
      </w:pPr>
      <w:r>
        <w:rPr>
          <w:b/>
          <w:bCs/>
          <w:color w:val="2F5496"/>
          <w:sz w:val="32"/>
          <w:szCs w:val="32"/>
        </w:rPr>
        <w:t xml:space="preserve">Table of Contents</w:t>
      </w:r>
    </w:p>
    <w:p>
      <w:pPr>
        <w:spacing w:after="80"/>
        <w:ind w:left="720" w:hanging="360"/>
      </w:pPr>
      <w:r>
        <w:rPr>
          <w:b/>
          <w:bCs/>
          <w:sz w:val="22"/>
          <w:szCs w:val="22"/>
        </w:rPr>
        <w:t xml:space="preserve">1. </w:t>
      </w:r>
      <w:r>
        <w:rPr>
          <w:sz w:val="22"/>
          <w:szCs w:val="22"/>
        </w:rPr>
        <w:t xml:space="preserve">Overview</w:t>
      </w:r>
    </w:p>
    <w:p>
      <w:pPr>
        <w:spacing w:after="80"/>
        <w:ind w:left="720" w:hanging="360"/>
      </w:pPr>
      <w:r>
        <w:rPr>
          <w:b/>
          <w:bCs/>
          <w:sz w:val="22"/>
          <w:szCs w:val="22"/>
        </w:rPr>
        <w:t xml:space="preserve">2. </w:t>
      </w:r>
      <w:r>
        <w:rPr>
          <w:sz w:val="22"/>
          <w:szCs w:val="22"/>
        </w:rPr>
        <w:t xml:space="preserve">Interface Overview</w:t>
      </w:r>
    </w:p>
    <w:p>
      <w:pPr>
        <w:spacing w:after="80"/>
        <w:ind w:left="720" w:hanging="360"/>
      </w:pPr>
      <w:r>
        <w:rPr>
          <w:b/>
          <w:bCs/>
          <w:sz w:val="22"/>
          <w:szCs w:val="22"/>
        </w:rPr>
        <w:t xml:space="preserve">3. </w:t>
      </w:r>
      <w:r>
        <w:rPr>
          <w:sz w:val="22"/>
          <w:szCs w:val="22"/>
        </w:rPr>
        <w:t xml:space="preserve">High-Level iFlow Design</w:t>
      </w:r>
    </w:p>
    <w:p>
      <w:pPr>
        <w:spacing w:after="80"/>
        <w:ind w:left="720" w:hanging="360"/>
      </w:pPr>
      <w:r>
        <w:rPr>
          <w:b/>
          <w:bCs/>
          <w:sz w:val="22"/>
          <w:szCs w:val="22"/>
        </w:rPr>
        <w:t xml:space="preserve">4. </w:t>
      </w:r>
      <w:r>
        <w:rPr>
          <w:sz w:val="22"/>
          <w:szCs w:val="22"/>
        </w:rPr>
        <w:t xml:space="preserve">Message Flow Diagram</w:t>
      </w:r>
    </w:p>
    <w:p>
      <w:pPr>
        <w:spacing w:after="80"/>
        <w:ind w:left="720" w:hanging="360"/>
      </w:pPr>
      <w:r>
        <w:rPr>
          <w:b/>
          <w:bCs/>
          <w:sz w:val="22"/>
          <w:szCs w:val="22"/>
        </w:rPr>
        <w:t xml:space="preserve">5. </w:t>
      </w:r>
      <w:r>
        <w:rPr>
          <w:sz w:val="22"/>
          <w:szCs w:val="22"/>
        </w:rPr>
        <w:t xml:space="preserve">Externalized Parameters</w:t>
      </w:r>
    </w:p>
    <w:p>
      <w:pPr>
        <w:spacing w:after="80"/>
        <w:ind w:left="720" w:hanging="360"/>
      </w:pPr>
      <w:r>
        <w:rPr>
          <w:b/>
          <w:bCs/>
          <w:sz w:val="22"/>
          <w:szCs w:val="22"/>
        </w:rPr>
        <w:t xml:space="preserve">6. </w:t>
      </w:r>
      <w:r>
        <w:rPr>
          <w:sz w:val="22"/>
          <w:szCs w:val="22"/>
        </w:rPr>
        <w:t xml:space="preserve">Dependencies &amp; Referenced Artifacts</w:t>
      </w:r>
    </w:p>
    <w:p>
      <w:pPr>
        <w:spacing w:after="80"/>
        <w:ind w:left="720" w:hanging="360"/>
      </w:pPr>
      <w:r>
        <w:rPr>
          <w:b/>
          <w:bCs/>
          <w:sz w:val="22"/>
          <w:szCs w:val="22"/>
        </w:rPr>
        <w:t xml:space="preserve">7. </w:t>
      </w:r>
      <w:r>
        <w:rPr>
          <w:sz w:val="22"/>
          <w:szCs w:val="22"/>
        </w:rPr>
        <w:t xml:space="preserve">Deployment Configuration Checklist</w:t>
      </w:r>
    </w:p>
    <w:p>
      <w:pPr>
        <w:spacing w:after="80"/>
        <w:ind w:left="720" w:hanging="360"/>
      </w:pPr>
      <w:r>
        <w:rPr>
          <w:b/>
          <w:bCs/>
          <w:sz w:val="22"/>
          <w:szCs w:val="22"/>
        </w:rPr>
        <w:t xml:space="preserve">8. </w:t>
      </w:r>
      <w:r>
        <w:rPr>
          <w:sz w:val="22"/>
          <w:szCs w:val="22"/>
        </w:rPr>
        <w:t xml:space="preserve">Sender &amp; Receiver Channels</w:t>
      </w:r>
    </w:p>
    <w:p>
      <w:pPr>
        <w:spacing w:after="80"/>
        <w:ind w:left="720" w:hanging="360"/>
      </w:pPr>
      <w:r>
        <w:rPr>
          <w:b/>
          <w:bCs/>
          <w:sz w:val="22"/>
          <w:szCs w:val="22"/>
        </w:rPr>
        <w:t xml:space="preserve">9. </w:t>
      </w:r>
      <w:r>
        <w:rPr>
          <w:sz w:val="22"/>
          <w:szCs w:val="22"/>
        </w:rPr>
        <w:t xml:space="preserve">Mappings &amp; Transformations</w:t>
      </w:r>
    </w:p>
    <w:p>
      <w:pPr>
        <w:spacing w:after="80"/>
        <w:ind w:left="720" w:hanging="360"/>
      </w:pPr>
      <w:r>
        <w:rPr>
          <w:b/>
          <w:bCs/>
          <w:sz w:val="22"/>
          <w:szCs w:val="22"/>
        </w:rPr>
        <w:t xml:space="preserve">10. </w:t>
      </w:r>
      <w:r>
        <w:rPr>
          <w:sz w:val="22"/>
          <w:szCs w:val="22"/>
        </w:rPr>
        <w:t xml:space="preserve">Security Configuration</w:t>
      </w:r>
    </w:p>
    <w:p>
      <w:pPr>
        <w:spacing w:after="80"/>
        <w:ind w:left="720" w:hanging="360"/>
      </w:pPr>
      <w:r>
        <w:rPr>
          <w:b/>
          <w:bCs/>
          <w:sz w:val="22"/>
          <w:szCs w:val="22"/>
        </w:rPr>
        <w:t xml:space="preserve">11. </w:t>
      </w:r>
      <w:r>
        <w:rPr>
          <w:sz w:val="22"/>
          <w:szCs w:val="22"/>
        </w:rPr>
        <w:t xml:space="preserve">Error Handling &amp; Logging</w:t>
      </w:r>
    </w:p>
    <w:p>
      <w:pPr>
        <w:spacing w:after="80"/>
        <w:ind w:left="720" w:hanging="360"/>
      </w:pPr>
      <w:r>
        <w:rPr>
          <w:b/>
          <w:bCs/>
          <w:sz w:val="22"/>
          <w:szCs w:val="22"/>
        </w:rPr>
        <w:t xml:space="preserve">12. </w:t>
      </w:r>
      <w:r>
        <w:rPr>
          <w:sz w:val="22"/>
          <w:szCs w:val="22"/>
        </w:rPr>
        <w:t xml:space="preserve">Test Plan</w:t>
      </w:r>
    </w:p>
    <w:p>
      <w:pPr>
        <w:spacing w:after="80"/>
        <w:ind w:left="720" w:hanging="360"/>
      </w:pPr>
      <w:r>
        <w:rPr>
          <w:b/>
          <w:bCs/>
          <w:sz w:val="22"/>
          <w:szCs w:val="22"/>
        </w:rPr>
        <w:t xml:space="preserve">13. </w:t>
      </w:r>
      <w:r>
        <w:rPr>
          <w:sz w:val="22"/>
          <w:szCs w:val="22"/>
        </w:rPr>
        <w:t xml:space="preserve">Version &amp; Metadata</w:t>
      </w:r>
    </w:p>
    <w:p>
      <w:pPr>
        <w:spacing w:after="80"/>
        <w:ind w:left="720" w:hanging="360"/>
      </w:pPr>
      <w:r>
        <w:rPr>
          <w:b/>
          <w:bCs/>
          <w:sz w:val="22"/>
          <w:szCs w:val="22"/>
        </w:rPr>
        <w:t xml:space="preserve">14. </w:t>
      </w:r>
      <w:r>
        <w:rPr>
          <w:sz w:val="22"/>
          <w:szCs w:val="22"/>
        </w:rPr>
        <w:t xml:space="preserve">Review &amp; Recommendations</w:t>
      </w:r>
    </w:p>
    <w:p>
      <w:pPr>
        <w:spacing w:after="80"/>
      </w:pPr>
    </w:p>
    <w:p>
      <w:pPr>
        <w:spacing w:after="80" w:before="280"/>
      </w:pPr>
      <w:r>
        <w:rPr>
          <w:b/>
          <w:bCs/>
          <w:color w:val="2F5496"/>
          <w:sz w:val="32"/>
          <w:szCs w:val="32"/>
        </w:rPr>
        <w:t xml:space="preserve">1. Overview</w:t>
      </w:r>
    </w:p>
    <w:p>
      <w:pPr>
        <w:spacing w:after="120"/>
      </w:pPr>
      <w:r>
        <w:rPr>
          <w:i w:val="false"/>
          <w:iCs w:val="false"/>
          <w:sz w:val="22"/>
          <w:szCs w:val="22"/>
        </w:rPr>
        <w:t xml:space="preserve">The 'ErrorHandlingUsingAI' iFlow is designed to intercept runtime exceptions within an integration process and leverage Google's Gemini AI model to generate human-readable error explanations, troubleshooting steps, and suggested HTTP response codes. It transforms technical system errors into structured XML error responses, which are then logged as custom headers and attachments before being returned to the caller.</w:t>
      </w:r>
    </w:p>
    <w:p>
      <w:pPr>
        <w:spacing w:after="80"/>
      </w:pPr>
    </w:p>
    <w:p>
      <w:pPr>
        <w:spacing w:after="80" w:before="280"/>
      </w:pPr>
      <w:r>
        <w:rPr>
          <w:b/>
          <w:bCs/>
          <w:color w:val="2F5496"/>
          <w:sz w:val="32"/>
          <w:szCs w:val="32"/>
        </w:rPr>
        <w:t xml:space="preserve">2. Interface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Direction</w:t>
            </w:r>
          </w:p>
        </w:tc>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System / Partner</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Adapter Type</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Authentication</w:t>
            </w:r>
          </w:p>
        </w:tc>
        <w:tc>
          <w:tcPr>
            <w:tcW w:type="pct" w:w="2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Endpoint / Address</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Receiver</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HTTP</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HTTP</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Client Certificate</w:t>
            </w:r>
          </w:p>
        </w:tc>
        <w:tc>
          <w:tcPr>
            <w:tcW w:type="pct" w:w="22%"/>
            <w:tcBorders>
              <w:top w:val="single" w:color="CCCCCC" w:sz="4"/>
              <w:left w:val="single" w:color="CCCCCC" w:sz="4"/>
              <w:bottom w:val="single" w:color="CCCCCC" w:sz="4"/>
              <w:right w:val="single" w:color="CCCCCC" w:sz="4"/>
            </w:tcBorders>
            <w:vAlign w:val="center"/>
          </w:tcPr>
          <w:p>
            <w:r>
              <w:rPr>
                <w:sz w:val="18"/>
                <w:szCs w:val="18"/>
              </w:rPr>
              <w:t xml:space="preserve">https://generativelanguage.googleapis.com/v1beta/models/gemini-3.1-flash-lite:generateContent</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Receiver</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SFTP</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SFTP</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public_key</w:t>
            </w:r>
          </w:p>
        </w:tc>
        <w:tc>
          <w:tcPr>
            <w:tcW w:type="pct" w:w="22%"/>
            <w:tcBorders>
              <w:top w:val="single" w:color="CCCCCC" w:sz="4"/>
              <w:left w:val="single" w:color="CCCCCC" w:sz="4"/>
              <w:bottom w:val="single" w:color="CCCCCC" w:sz="4"/>
              <w:right w:val="single" w:color="CCCCCC" w:sz="4"/>
            </w:tcBorders>
            <w:vAlign w:val="center"/>
          </w:tcPr>
          <w:p>
            <w:r>
              <w:rPr>
                <w:sz w:val="18"/>
                <w:szCs w:val="18"/>
              </w:rPr>
              <w:t xml:space="preserve">eu-central-1.sftpcloud.io/Test</w:t>
            </w:r>
          </w:p>
        </w:tc>
      </w:tr>
    </w:tbl>
    <w:p>
      <w:pPr>
        <w:spacing w:after="80"/>
      </w:pPr>
    </w:p>
    <w:p>
      <w:pPr>
        <w:spacing w:after="80"/>
      </w:pPr>
    </w:p>
    <w:p>
      <w:pPr>
        <w:spacing w:after="80" w:before="280"/>
      </w:pPr>
      <w:r>
        <w:rPr>
          <w:b/>
          <w:bCs/>
          <w:color w:val="2F5496"/>
          <w:sz w:val="32"/>
          <w:szCs w:val="32"/>
        </w:rPr>
        <w:t xml:space="preserve">3. High-Level iFlow Design</w:t>
      </w:r>
    </w:p>
    <w:p>
      <w:pPr>
        <w:spacing w:after="80" w:before="280"/>
      </w:pPr>
      <w:r>
        <w:rPr>
          <w:b/>
          <w:bCs/>
          <w:color w:val="2F5496"/>
          <w:sz w:val="32"/>
          <w:szCs w:val="32"/>
        </w:rPr>
        <w:t xml:space="preserve">High-Level Design</w:t>
      </w:r>
    </w:p>
    <w:p>
      <w:r>
        <w:drawing>
          <wp:inline distT="0" distB="0" distL="0" distR="0">
            <wp:extent cx="5286375"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86375" cy="581025"/>
                    </a:xfrm>
                    <a:prstGeom prst="rect">
                      <a:avLst/>
                    </a:prstGeom>
                  </pic:spPr>
                </pic:pic>
              </a:graphicData>
            </a:graphic>
          </wp:inline>
        </w:drawing>
      </w:r>
    </w:p>
    <w:p>
      <w:pPr>
        <w:spacing w:after="80" w:before="280"/>
      </w:pPr>
      <w:r>
        <w:rPr>
          <w:b/>
          <w:bCs/>
          <w:color w:val="2F5496"/>
          <w:sz w:val="32"/>
          <w:szCs w:val="32"/>
        </w:rPr>
        <w:t xml:space="preserve">Message Flow Diagram</w:t>
      </w:r>
    </w:p>
    <w:p>
      <w:r>
        <w:drawing>
          <wp:inline distT="0" distB="0" distL="0" distR="0">
            <wp:extent cx="52863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1514475"/>
                    </a:xfrm>
                    <a:prstGeom prst="rect">
                      <a:avLst/>
                    </a:prstGeom>
                  </pic:spPr>
                </pic:pic>
              </a:graphicData>
            </a:graphic>
          </wp:inline>
        </w:drawing>
      </w:r>
    </w:p>
    <w:p>
      <w:pPr>
        <w:spacing w:after="120"/>
      </w:pPr>
      <w:r>
        <w:rPr>
          <w:i w:val="false"/>
          <w:iCs w:val="false"/>
          <w:sz w:val="22"/>
          <w:szCs w:val="22"/>
        </w:rPr>
        <w:t xml:space="preserve">The integration process is triggered by a timer and, upon encountering an exception, routes control to an Exception Subprocess. This subprocess constructs a prompt containing the caught exception, sends it to the Gemini API via a Request-Reply step, parses the AI's response, and generates a formatted XML error payload. The flow concludes by throwing a final exception to ensure the error state is propagated back to the sender.</w:t>
      </w:r>
    </w:p>
    <w:p>
      <w:pPr>
        <w:spacing w:after="80"/>
      </w:pPr>
    </w:p>
    <w:p>
      <w:pPr>
        <w:spacing w:after="80" w:before="280"/>
      </w:pPr>
      <w:r>
        <w:rPr>
          <w:b/>
          <w:bCs/>
          <w:color w:val="2F5496"/>
          <w:sz w:val="32"/>
          <w:szCs w:val="32"/>
        </w:rPr>
        <w:t xml:space="preserve">4. Message Flow Diagram</w:t>
      </w:r>
    </w:p>
    <w:p>
      <w:pPr>
        <w:spacing w:after="80"/>
      </w:pPr>
    </w:p>
    <w:p>
      <w:pPr>
        <w:spacing w:after="60" w:before="200"/>
      </w:pPr>
      <w:r>
        <w:rPr>
          <w:b/>
          <w:bCs/>
          <w:color w:val="375623"/>
          <w:sz w:val="26"/>
          <w:szCs w:val="26"/>
        </w:rPr>
        <w:t xml:space="preserve">4.1 Integration Process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Step #</w:t>
            </w:r>
          </w:p>
        </w:tc>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Step Name</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4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Description</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1</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Start Timer 1</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Unknown</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Triggers the integration process based on a timer configuration.</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2</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End</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Unknown</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Marks the successful completion of the main integration process.</w:t>
            </w:r>
          </w:p>
        </w:tc>
      </w:tr>
    </w:tbl>
    <w:p>
      <w:pPr>
        <w:spacing w:after="80"/>
      </w:pPr>
    </w:p>
    <w:p>
      <w:pPr>
        <w:spacing w:after="60" w:before="200"/>
      </w:pPr>
      <w:r>
        <w:rPr>
          <w:b/>
          <w:bCs/>
          <w:color w:val="375623"/>
          <w:sz w:val="26"/>
          <w:szCs w:val="26"/>
        </w:rPr>
        <w:t xml:space="preserve">4.1.1 Exception Subprocess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Step #</w:t>
            </w:r>
          </w:p>
        </w:tc>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Step Name</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4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Description</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1</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Error Start 1</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Unknown</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Initiates the Exception Subprocess when an error occurs in the main flow.</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2</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cm_setAPIKey_GenAIPrompt</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Content Modifier</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Enriches the message with the AI prompt template and the hardcoded Google API key.</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3</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cm_setAIPrompt</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Groovy Script</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Executes script1.groovy to inject the caught exception into the AI prompt.</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4</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RR_GenAI</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Request-Reply / External Call</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Sends the formatted prompt to the Gemini API via the HTTP adapter.</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5</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script_CaptureGenAIResponse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Groovy Script</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Executes script2.groovy to parse the JSON response from the Gemini API.</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6</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cm_setContentTypeErrorResponse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Content Modifier</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Sets the Content-Type header to application/xml for the final error response.</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7</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script_GenerateErrorResponse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Groovy Script</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Executes script3.groovy to generate the XML error body and finalize the error state.</w:t>
            </w:r>
          </w:p>
        </w:tc>
      </w:tr>
      <w:tr>
        <w:tc>
          <w:tcPr>
            <w:tcW w:type="pct" w:w="8%"/>
            <w:tcBorders>
              <w:top w:val="single" w:color="CCCCCC" w:sz="4"/>
              <w:left w:val="single" w:color="CCCCCC" w:sz="4"/>
              <w:bottom w:val="single" w:color="CCCCCC" w:sz="4"/>
              <w:right w:val="single" w:color="CCCCCC" w:sz="4"/>
            </w:tcBorders>
            <w:vAlign w:val="center"/>
          </w:tcPr>
          <w:p>
            <w:r>
              <w:rPr>
                <w:sz w:val="18"/>
                <w:szCs w:val="18"/>
              </w:rPr>
              <w:t xml:space="preserve">8</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End 1</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Unknown</w:t>
            </w:r>
          </w:p>
        </w:tc>
        <w:tc>
          <w:tcPr>
            <w:tcW w:type="pct" w:w="48%"/>
            <w:tcBorders>
              <w:top w:val="single" w:color="CCCCCC" w:sz="4"/>
              <w:left w:val="single" w:color="CCCCCC" w:sz="4"/>
              <w:bottom w:val="single" w:color="CCCCCC" w:sz="4"/>
              <w:right w:val="single" w:color="CCCCCC" w:sz="4"/>
            </w:tcBorders>
            <w:vAlign w:val="center"/>
          </w:tcPr>
          <w:p>
            <w:r>
              <w:rPr>
                <w:sz w:val="18"/>
                <w:szCs w:val="18"/>
              </w:rPr>
              <w:t xml:space="preserve">Ends the Exception Subprocess after processing the error.</w:t>
            </w:r>
          </w:p>
        </w:tc>
      </w:tr>
    </w:tbl>
    <w:p>
      <w:pPr>
        <w:spacing w:after="80"/>
      </w:pPr>
    </w:p>
    <w:p>
      <w:pPr>
        <w:spacing w:after="80" w:before="280"/>
      </w:pPr>
      <w:r>
        <w:rPr>
          <w:b/>
          <w:bCs/>
          <w:color w:val="2F5496"/>
          <w:sz w:val="32"/>
          <w:szCs w:val="32"/>
        </w:rPr>
        <w:t xml:space="preserve">5. Externalized Parameters</w:t>
      </w:r>
    </w:p>
    <w:p>
      <w:pPr>
        <w:spacing w:after="120"/>
      </w:pPr>
      <w:r>
        <w:rPr>
          <w:i/>
          <w:iCs/>
          <w:sz w:val="22"/>
          <w:szCs w:val="22"/>
        </w:rPr>
        <w:t xml:space="preserve">No externalized parameters are defined in this iFlow.</w:t>
      </w:r>
    </w:p>
    <w:p>
      <w:pPr>
        <w:spacing w:after="80"/>
      </w:pPr>
    </w:p>
    <w:p>
      <w:pPr>
        <w:spacing w:after="80" w:before="280"/>
      </w:pPr>
      <w:r>
        <w:rPr>
          <w:b/>
          <w:bCs/>
          <w:color w:val="2F5496"/>
          <w:sz w:val="32"/>
          <w:szCs w:val="32"/>
        </w:rPr>
        <w:t xml:space="preserve">6. Dependencies &amp; Referenced Artifacts</w:t>
      </w:r>
    </w:p>
    <w:p>
      <w:pPr>
        <w:spacing w:after="120"/>
      </w:pPr>
      <w:r>
        <w:rPr>
          <w:i w:val="false"/>
          <w:iCs w:val="false"/>
          <w:sz w:val="22"/>
          <w:szCs w:val="22"/>
        </w:rPr>
        <w:t xml:space="preserve">The iFlow depends on an external Google Gemini API endpoint and requires a valid API key. It also utilizes an SFTP server for file operations, though the current process flow does not explicitly link the SFTP adapter to the main execution path.</w:t>
      </w:r>
    </w:p>
    <w:p>
      <w:pPr>
        <w:spacing w:after="80"/>
      </w:pPr>
    </w:p>
    <w:p>
      <w:pPr>
        <w:spacing w:after="80" w:before="280"/>
      </w:pPr>
      <w:r>
        <w:rPr>
          <w:b/>
          <w:bCs/>
          <w:color w:val="2F5496"/>
          <w:sz w:val="32"/>
          <w:szCs w:val="32"/>
        </w:rPr>
        <w:t xml:space="preserve">7. Deployment Configuration Checklist</w:t>
      </w:r>
    </w:p>
    <w:p>
      <w:pPr>
        <w:spacing w:after="60"/>
        <w:ind w:left="360"/>
      </w:pPr>
      <w:r>
        <w:rPr>
          <w:sz w:val="22"/>
          <w:szCs w:val="22"/>
        </w:rPr>
        <w:t xml:space="preserve">• Verify the Google Gemini API key is stored securely in the credential store rather than hardcoded in the Content Modifier.</w:t>
      </w:r>
    </w:p>
    <w:p>
      <w:pPr>
        <w:spacing w:after="60"/>
        <w:ind w:left="360"/>
      </w:pPr>
      <w:r>
        <w:rPr>
          <w:sz w:val="22"/>
          <w:szCs w:val="22"/>
        </w:rPr>
        <w:t xml:space="preserve">• Ensure the SFTP private key alias exists in the tenant keystore.</w:t>
      </w:r>
    </w:p>
    <w:p>
      <w:pPr>
        <w:spacing w:after="60"/>
        <w:ind w:left="360"/>
      </w:pPr>
      <w:r>
        <w:rPr>
          <w:sz w:val="22"/>
          <w:szCs w:val="22"/>
        </w:rPr>
        <w:t xml:space="preserve">• Validate that the Gemini API endpoint is reachable via the Cloud Integration proxy settings.</w:t>
      </w:r>
    </w:p>
    <w:p>
      <w:pPr>
        <w:spacing w:after="60"/>
        <w:ind w:left="360"/>
      </w:pPr>
      <w:r>
        <w:rPr>
          <w:sz w:val="22"/>
          <w:szCs w:val="22"/>
        </w:rPr>
        <w:t xml:space="preserve">• Confirm the target system is prepared to handle the custom XML error response format.</w:t>
      </w:r>
    </w:p>
    <w:p>
      <w:pPr>
        <w:spacing w:after="80"/>
      </w:pPr>
    </w:p>
    <w:p>
      <w:pPr>
        <w:spacing w:after="80" w:before="280"/>
      </w:pPr>
      <w:r>
        <w:rPr>
          <w:b/>
          <w:bCs/>
          <w:color w:val="2F5496"/>
          <w:sz w:val="32"/>
          <w:szCs w:val="32"/>
        </w:rPr>
        <w:t xml:space="preserve">8. Sender &amp; Receiver Channels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Channel</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Direction</w:t>
            </w:r>
          </w:p>
        </w:tc>
        <w:tc>
          <w:tcPr>
            <w:tcW w:type="pct" w:w="1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Adapter</w:t>
            </w:r>
          </w:p>
        </w:tc>
        <w:tc>
          <w:tcPr>
            <w:tcW w:type="pct" w:w="4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Key Settings</w:t>
            </w:r>
          </w:p>
        </w:tc>
      </w:tr>
      <w:tr>
        <w:tc>
          <w:tcPr>
            <w:tcW w:type="pct" w:w="16%"/>
            <w:tcBorders>
              <w:top w:val="single" w:color="CCCCCC" w:sz="4"/>
              <w:left w:val="single" w:color="CCCCCC" w:sz="4"/>
              <w:bottom w:val="single" w:color="CCCCCC" w:sz="4"/>
              <w:right w:val="single" w:color="CCCCCC" w:sz="4"/>
            </w:tcBorders>
            <w:vAlign w:val="center"/>
          </w:tcPr>
          <w:p>
            <w:r>
              <w:rPr>
                <w:sz w:val="18"/>
                <w:szCs w:val="18"/>
              </w:rPr>
              <w:t xml:space="preserve">HTTP</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Receiver</w:t>
            </w:r>
          </w:p>
        </w:tc>
        <w:tc>
          <w:tcPr>
            <w:tcW w:type="pct" w:w="18%"/>
            <w:tcBorders>
              <w:top w:val="single" w:color="CCCCCC" w:sz="4"/>
              <w:left w:val="single" w:color="CCCCCC" w:sz="4"/>
              <w:bottom w:val="single" w:color="CCCCCC" w:sz="4"/>
              <w:right w:val="single" w:color="CCCCCC" w:sz="4"/>
            </w:tcBorders>
            <w:vAlign w:val="center"/>
          </w:tcPr>
          <w:p>
            <w:r>
              <w:rPr>
                <w:sz w:val="18"/>
                <w:szCs w:val="18"/>
              </w:rPr>
              <w:t xml:space="preserve">HTTP</w:t>
            </w:r>
          </w:p>
        </w:tc>
        <w:tc>
          <w:tcPr>
            <w:tcW w:type="pct" w:w="46%"/>
            <w:tcBorders>
              <w:top w:val="single" w:color="CCCCCC" w:sz="4"/>
              <w:left w:val="single" w:color="CCCCCC" w:sz="4"/>
              <w:bottom w:val="single" w:color="CCCCCC" w:sz="4"/>
              <w:right w:val="single" w:color="CCCCCC" w:sz="4"/>
            </w:tcBorders>
            <w:vAlign w:val="center"/>
          </w:tcPr>
          <w:p>
            <w:r>
              <w:rPr>
                <w:sz w:val="18"/>
                <w:szCs w:val="18"/>
              </w:rPr>
              <w:t xml:space="preserve">version 1.19.2, method POST, timeout 60000 ms, auth Client Certificate</w:t>
            </w:r>
          </w:p>
        </w:tc>
      </w:tr>
      <w:tr>
        <w:tc>
          <w:tcPr>
            <w:tcW w:type="pct" w:w="16%"/>
            <w:tcBorders>
              <w:top w:val="single" w:color="CCCCCC" w:sz="4"/>
              <w:left w:val="single" w:color="CCCCCC" w:sz="4"/>
              <w:bottom w:val="single" w:color="CCCCCC" w:sz="4"/>
              <w:right w:val="single" w:color="CCCCCC" w:sz="4"/>
            </w:tcBorders>
            <w:vAlign w:val="center"/>
          </w:tcPr>
          <w:p>
            <w:r>
              <w:rPr>
                <w:sz w:val="18"/>
                <w:szCs w:val="18"/>
              </w:rPr>
              <w:t xml:space="preserve">SFTP</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Receiver</w:t>
            </w:r>
          </w:p>
        </w:tc>
        <w:tc>
          <w:tcPr>
            <w:tcW w:type="pct" w:w="18%"/>
            <w:tcBorders>
              <w:top w:val="single" w:color="CCCCCC" w:sz="4"/>
              <w:left w:val="single" w:color="CCCCCC" w:sz="4"/>
              <w:bottom w:val="single" w:color="CCCCCC" w:sz="4"/>
              <w:right w:val="single" w:color="CCCCCC" w:sz="4"/>
            </w:tcBorders>
            <w:vAlign w:val="center"/>
          </w:tcPr>
          <w:p>
            <w:r>
              <w:rPr>
                <w:sz w:val="18"/>
                <w:szCs w:val="18"/>
              </w:rPr>
              <w:t xml:space="preserve">SFTP</w:t>
            </w:r>
          </w:p>
        </w:tc>
        <w:tc>
          <w:tcPr>
            <w:tcW w:type="pct" w:w="46%"/>
            <w:tcBorders>
              <w:top w:val="single" w:color="CCCCCC" w:sz="4"/>
              <w:left w:val="single" w:color="CCCCCC" w:sz="4"/>
              <w:bottom w:val="single" w:color="CCCCCC" w:sz="4"/>
              <w:right w:val="single" w:color="CCCCCC" w:sz="4"/>
            </w:tcBorders>
            <w:vAlign w:val="center"/>
          </w:tcPr>
          <w:p>
            <w:r>
              <w:rPr>
                <w:sz w:val="18"/>
                <w:szCs w:val="18"/>
              </w:rPr>
              <w:t xml:space="preserve">version 1.20.1, connect timeout 10000 ms, max reconnects 3, auth public_key</w:t>
            </w:r>
          </w:p>
        </w:tc>
      </w:tr>
    </w:tbl>
    <w:p>
      <w:pPr>
        <w:spacing w:after="80"/>
      </w:pPr>
    </w:p>
    <w:p>
      <w:pPr>
        <w:spacing w:after="80"/>
      </w:pPr>
    </w:p>
    <w:p>
      <w:pPr>
        <w:spacing w:after="80" w:before="280"/>
      </w:pPr>
      <w:r>
        <w:rPr>
          <w:b/>
          <w:bCs/>
          <w:color w:val="2F5496"/>
          <w:sz w:val="32"/>
          <w:szCs w:val="32"/>
        </w:rPr>
        <w:t xml:space="preserve">9. Mappings &amp; Transformations</w:t>
      </w:r>
    </w:p>
    <w:p>
      <w:pPr>
        <w:spacing w:after="120"/>
      </w:pPr>
      <w:r>
        <w:rPr>
          <w:i w:val="false"/>
          <w:iCs w:val="false"/>
          <w:sz w:val="22"/>
          <w:szCs w:val="22"/>
        </w:rPr>
        <w:t xml:space="preserve">Transformation is implemented entirely through Groovy scripts and Content Modifiers, with no formal graphical message mapping artifacts used.</w:t>
      </w:r>
    </w:p>
    <w:p>
      <w:pPr>
        <w:spacing w:after="60"/>
        <w:ind w:left="360"/>
      </w:pPr>
      <w:r>
        <w:rPr>
          <w:sz w:val="22"/>
          <w:szCs w:val="22"/>
        </w:rPr>
        <w:t xml:space="preserve">• script1.groovy: Injects the 'CamelExceptionCaught' property into the AI prompt template.</w:t>
      </w:r>
    </w:p>
    <w:p>
      <w:pPr>
        <w:spacing w:after="60"/>
        <w:ind w:left="360"/>
      </w:pPr>
      <w:r>
        <w:rPr>
          <w:sz w:val="22"/>
          <w:szCs w:val="22"/>
        </w:rPr>
        <w:t xml:space="preserve">• script2.groovy: Parses the JSON response from Gemini and extracts specific troubleshooting sections using string manipulation.</w:t>
      </w:r>
    </w:p>
    <w:p>
      <w:pPr>
        <w:spacing w:after="60"/>
        <w:ind w:left="360"/>
      </w:pPr>
      <w:r>
        <w:rPr>
          <w:sz w:val="22"/>
          <w:szCs w:val="22"/>
        </w:rPr>
        <w:t xml:space="preserve">• script3.groovy: Constructs the final XML error response and logs metadata to the message processing log.</w:t>
      </w:r>
    </w:p>
    <w:p>
      <w:pPr>
        <w:spacing w:after="80"/>
      </w:pPr>
    </w:p>
    <w:p>
      <w:pPr>
        <w:spacing w:after="80" w:before="280"/>
      </w:pPr>
      <w:r>
        <w:rPr>
          <w:b/>
          <w:bCs/>
          <w:color w:val="2F5496"/>
          <w:sz w:val="32"/>
          <w:szCs w:val="32"/>
        </w:rPr>
        <w:t xml:space="preserve">10. Security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Area</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Configuration</w:t>
            </w:r>
          </w:p>
        </w:tc>
        <w:tc>
          <w:tcPr>
            <w:tcW w:type="pct" w:w="4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Observation</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HTTP Adapter</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Uses Client Certificate authentication for the Gemini API call.</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Sensitive Data</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Content Modifier</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The Google API key is hardcoded in the 'X-goog-api-key' header field.</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SFTP</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SFTP Adapter</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Uses public key authentication with a redacted private key alias.</w:t>
            </w:r>
          </w:p>
        </w:tc>
      </w:tr>
    </w:tbl>
    <w:p>
      <w:pPr>
        <w:spacing w:after="80"/>
      </w:pPr>
    </w:p>
    <w:p>
      <w:pPr>
        <w:spacing w:after="80"/>
      </w:pPr>
    </w:p>
    <w:p>
      <w:pPr>
        <w:spacing w:after="80" w:before="280"/>
      </w:pPr>
      <w:r>
        <w:rPr>
          <w:b/>
          <w:bCs/>
          <w:color w:val="2F5496"/>
          <w:sz w:val="32"/>
          <w:szCs w:val="32"/>
        </w:rPr>
        <w:t xml:space="preserve">11. Error Handling &amp; Logging</w:t>
      </w:r>
    </w:p>
    <w:p>
      <w:pPr>
        <w:spacing w:after="60"/>
        <w:ind w:left="360"/>
      </w:pPr>
      <w:r>
        <w:rPr>
          <w:sz w:val="22"/>
          <w:szCs w:val="22"/>
        </w:rPr>
        <w:t xml:space="preserve">• The entire error handling logic is encapsulated within an Exception Subprocess.</w:t>
      </w:r>
    </w:p>
    <w:p>
      <w:pPr>
        <w:spacing w:after="60"/>
        <w:ind w:left="360"/>
      </w:pPr>
      <w:r>
        <w:rPr>
          <w:sz w:val="22"/>
          <w:szCs w:val="22"/>
        </w:rPr>
        <w:t xml:space="preserve">• script3.groovy explicitly throws a new Exception at the end of the flow, ensuring the transaction is marked as failed.</w:t>
      </w:r>
    </w:p>
    <w:p>
      <w:pPr>
        <w:spacing w:after="60"/>
        <w:ind w:left="360"/>
      </w:pPr>
      <w:r>
        <w:rPr>
          <w:sz w:val="22"/>
          <w:szCs w:val="22"/>
        </w:rPr>
        <w:t xml:space="preserve">• The flow attempts to extract an HTTP response code from the AI response to set the 'CamelHttpResponseCode' header.</w:t>
      </w:r>
    </w:p>
    <w:p>
      <w:pPr>
        <w:spacing w:after="80"/>
      </w:pPr>
    </w:p>
    <w:p>
      <w:pPr>
        <w:spacing w:after="80" w:before="280"/>
      </w:pPr>
      <w:r>
        <w:rPr>
          <w:b/>
          <w:bCs/>
          <w:color w:val="2F5496"/>
          <w:sz w:val="32"/>
          <w:szCs w:val="32"/>
        </w:rPr>
        <w:t xml:space="preserve">12. Test Plan</w:t>
      </w:r>
    </w:p>
    <w:p>
      <w:pPr>
        <w:spacing w:after="120"/>
      </w:pPr>
      <w:r>
        <w:rPr>
          <w:i w:val="false"/>
          <w:iCs w:val="false"/>
          <w:sz w:val="22"/>
          <w:szCs w:val="22"/>
        </w:rPr>
        <w:t xml:space="preserve">Suggested test scenarios derived from the iFlow structure (extend with business-specific cases):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w:t>
            </w:r>
          </w:p>
        </w:tc>
        <w:tc>
          <w:tcPr>
            <w:tcW w:type="pct" w:w="3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Test Scenario</w:t>
            </w:r>
          </w:p>
        </w:tc>
        <w:tc>
          <w:tcPr>
            <w:tcW w:type="pct" w:w="1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4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Expected Result</w:t>
            </w:r>
          </w:p>
        </w:tc>
      </w:tr>
      <w:tr>
        <w:tc>
          <w:tcPr>
            <w:tcW w:type="pct" w:w="6%"/>
            <w:tcBorders>
              <w:top w:val="single" w:color="CCCCCC" w:sz="4"/>
              <w:left w:val="single" w:color="CCCCCC" w:sz="4"/>
              <w:bottom w:val="single" w:color="CCCCCC" w:sz="4"/>
              <w:right w:val="single" w:color="CCCCCC" w:sz="4"/>
            </w:tcBorders>
            <w:vAlign w:val="center"/>
          </w:tcPr>
          <w:p>
            <w:r>
              <w:rPr>
                <w:sz w:val="18"/>
                <w:szCs w:val="18"/>
              </w:rPr>
              <w:t xml:space="preserve">1</w:t>
            </w:r>
          </w:p>
        </w:tc>
        <w:tc>
          <w:tcPr>
            <w:tcW w:type="pct" w:w="32%"/>
            <w:tcBorders>
              <w:top w:val="single" w:color="CCCCCC" w:sz="4"/>
              <w:left w:val="single" w:color="CCCCCC" w:sz="4"/>
              <w:bottom w:val="single" w:color="CCCCCC" w:sz="4"/>
              <w:right w:val="single" w:color="CCCCCC" w:sz="4"/>
            </w:tcBorders>
            <w:vAlign w:val="center"/>
          </w:tcPr>
          <w:p>
            <w:r>
              <w:rPr>
                <w:sz w:val="18"/>
                <w:szCs w:val="18"/>
              </w:rPr>
              <w:t xml:space="preserve">Simulate system exception</w:t>
            </w:r>
          </w:p>
        </w:tc>
        <w:tc>
          <w:tcPr>
            <w:tcW w:type="pct" w:w="18%"/>
            <w:tcBorders>
              <w:top w:val="single" w:color="CCCCCC" w:sz="4"/>
              <w:left w:val="single" w:color="CCCCCC" w:sz="4"/>
              <w:bottom w:val="single" w:color="CCCCCC" w:sz="4"/>
              <w:right w:val="single" w:color="CCCCCC" w:sz="4"/>
            </w:tcBorders>
            <w:vAlign w:val="center"/>
          </w:tcPr>
          <w:p>
            <w:r>
              <w:rPr>
                <w:sz w:val="18"/>
                <w:szCs w:val="18"/>
              </w:rPr>
              <w:t xml:space="preserve">Negative</w:t>
            </w:r>
          </w:p>
        </w:tc>
        <w:tc>
          <w:tcPr>
            <w:tcW w:type="pct" w:w="44%"/>
            <w:tcBorders>
              <w:top w:val="single" w:color="CCCCCC" w:sz="4"/>
              <w:left w:val="single" w:color="CCCCCC" w:sz="4"/>
              <w:bottom w:val="single" w:color="CCCCCC" w:sz="4"/>
              <w:right w:val="single" w:color="CCCCCC" w:sz="4"/>
            </w:tcBorders>
            <w:vAlign w:val="center"/>
          </w:tcPr>
          <w:p>
            <w:r>
              <w:rPr>
                <w:sz w:val="18"/>
                <w:szCs w:val="18"/>
              </w:rPr>
              <w:t xml:space="preserve">Verify that the Exception Subprocess triggers and calls the Gemini API.</w:t>
            </w:r>
          </w:p>
        </w:tc>
      </w:tr>
      <w:tr>
        <w:tc>
          <w:tcPr>
            <w:tcW w:type="pct" w:w="6%"/>
            <w:tcBorders>
              <w:top w:val="single" w:color="CCCCCC" w:sz="4"/>
              <w:left w:val="single" w:color="CCCCCC" w:sz="4"/>
              <w:bottom w:val="single" w:color="CCCCCC" w:sz="4"/>
              <w:right w:val="single" w:color="CCCCCC" w:sz="4"/>
            </w:tcBorders>
            <w:vAlign w:val="center"/>
          </w:tcPr>
          <w:p>
            <w:r>
              <w:rPr>
                <w:sz w:val="18"/>
                <w:szCs w:val="18"/>
              </w:rPr>
              <w:t xml:space="preserve">2</w:t>
            </w:r>
          </w:p>
        </w:tc>
        <w:tc>
          <w:tcPr>
            <w:tcW w:type="pct" w:w="32%"/>
            <w:tcBorders>
              <w:top w:val="single" w:color="CCCCCC" w:sz="4"/>
              <w:left w:val="single" w:color="CCCCCC" w:sz="4"/>
              <w:bottom w:val="single" w:color="CCCCCC" w:sz="4"/>
              <w:right w:val="single" w:color="CCCCCC" w:sz="4"/>
            </w:tcBorders>
            <w:vAlign w:val="center"/>
          </w:tcPr>
          <w:p>
            <w:r>
              <w:rPr>
                <w:sz w:val="18"/>
                <w:szCs w:val="18"/>
              </w:rPr>
              <w:t xml:space="preserve">Validate AI response parsing</w:t>
            </w:r>
          </w:p>
        </w:tc>
        <w:tc>
          <w:tcPr>
            <w:tcW w:type="pct" w:w="18%"/>
            <w:tcBorders>
              <w:top w:val="single" w:color="CCCCCC" w:sz="4"/>
              <w:left w:val="single" w:color="CCCCCC" w:sz="4"/>
              <w:bottom w:val="single" w:color="CCCCCC" w:sz="4"/>
              <w:right w:val="single" w:color="CCCCCC" w:sz="4"/>
            </w:tcBorders>
            <w:vAlign w:val="center"/>
          </w:tcPr>
          <w:p>
            <w:r>
              <w:rPr>
                <w:sz w:val="18"/>
                <w:szCs w:val="18"/>
              </w:rPr>
              <w:t xml:space="preserve">Negative</w:t>
            </w:r>
          </w:p>
        </w:tc>
        <w:tc>
          <w:tcPr>
            <w:tcW w:type="pct" w:w="44%"/>
            <w:tcBorders>
              <w:top w:val="single" w:color="CCCCCC" w:sz="4"/>
              <w:left w:val="single" w:color="CCCCCC" w:sz="4"/>
              <w:bottom w:val="single" w:color="CCCCCC" w:sz="4"/>
              <w:right w:val="single" w:color="CCCCCC" w:sz="4"/>
            </w:tcBorders>
            <w:vAlign w:val="center"/>
          </w:tcPr>
          <w:p>
            <w:r>
              <w:rPr>
                <w:sz w:val="18"/>
                <w:szCs w:val="18"/>
              </w:rPr>
              <w:t xml:space="preserve">Ensure the Groovy script correctly extracts the XML fields from the AI JSON response.</w:t>
            </w:r>
          </w:p>
        </w:tc>
      </w:tr>
      <w:tr>
        <w:tc>
          <w:tcPr>
            <w:tcW w:type="pct" w:w="6%"/>
            <w:tcBorders>
              <w:top w:val="single" w:color="CCCCCC" w:sz="4"/>
              <w:left w:val="single" w:color="CCCCCC" w:sz="4"/>
              <w:bottom w:val="single" w:color="CCCCCC" w:sz="4"/>
              <w:right w:val="single" w:color="CCCCCC" w:sz="4"/>
            </w:tcBorders>
            <w:vAlign w:val="center"/>
          </w:tcPr>
          <w:p>
            <w:r>
              <w:rPr>
                <w:sz w:val="18"/>
                <w:szCs w:val="18"/>
              </w:rPr>
              <w:t xml:space="preserve">3</w:t>
            </w:r>
          </w:p>
        </w:tc>
        <w:tc>
          <w:tcPr>
            <w:tcW w:type="pct" w:w="32%"/>
            <w:tcBorders>
              <w:top w:val="single" w:color="CCCCCC" w:sz="4"/>
              <w:left w:val="single" w:color="CCCCCC" w:sz="4"/>
              <w:bottom w:val="single" w:color="CCCCCC" w:sz="4"/>
              <w:right w:val="single" w:color="CCCCCC" w:sz="4"/>
            </w:tcBorders>
            <w:vAlign w:val="center"/>
          </w:tcPr>
          <w:p>
            <w:r>
              <w:rPr>
                <w:sz w:val="18"/>
                <w:szCs w:val="18"/>
              </w:rPr>
              <w:t xml:space="preserve">Verify HTTP status code</w:t>
            </w:r>
          </w:p>
        </w:tc>
        <w:tc>
          <w:tcPr>
            <w:tcW w:type="pct" w:w="18%"/>
            <w:tcBorders>
              <w:top w:val="single" w:color="CCCCCC" w:sz="4"/>
              <w:left w:val="single" w:color="CCCCCC" w:sz="4"/>
              <w:bottom w:val="single" w:color="CCCCCC" w:sz="4"/>
              <w:right w:val="single" w:color="CCCCCC" w:sz="4"/>
            </w:tcBorders>
            <w:vAlign w:val="center"/>
          </w:tcPr>
          <w:p>
            <w:r>
              <w:rPr>
                <w:sz w:val="18"/>
                <w:szCs w:val="18"/>
              </w:rPr>
              <w:t xml:space="preserve">Negative</w:t>
            </w:r>
          </w:p>
        </w:tc>
        <w:tc>
          <w:tcPr>
            <w:tcW w:type="pct" w:w="44%"/>
            <w:tcBorders>
              <w:top w:val="single" w:color="CCCCCC" w:sz="4"/>
              <w:left w:val="single" w:color="CCCCCC" w:sz="4"/>
              <w:bottom w:val="single" w:color="CCCCCC" w:sz="4"/>
              <w:right w:val="single" w:color="CCCCCC" w:sz="4"/>
            </w:tcBorders>
            <w:vAlign w:val="center"/>
          </w:tcPr>
          <w:p>
            <w:r>
              <w:rPr>
                <w:sz w:val="18"/>
                <w:szCs w:val="18"/>
              </w:rPr>
              <w:t xml:space="preserve">Confirm the 'CamelHttpResponseCode' header is correctly set in the final response.</w:t>
            </w:r>
          </w:p>
        </w:tc>
      </w:tr>
    </w:tbl>
    <w:p>
      <w:pPr>
        <w:spacing w:after="80"/>
      </w:pPr>
    </w:p>
    <w:p>
      <w:pPr>
        <w:spacing w:after="80"/>
      </w:pPr>
    </w:p>
    <w:p>
      <w:pPr>
        <w:spacing w:after="80" w:before="280"/>
      </w:pPr>
      <w:r>
        <w:rPr>
          <w:b/>
          <w:bCs/>
          <w:color w:val="2F5496"/>
          <w:sz w:val="32"/>
          <w:szCs w:val="32"/>
        </w:rPr>
        <w:t xml:space="preserve">13. Version &amp;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iFlow 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Bundle 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1.0.0</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Source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Auto-generated by CI pipeline (GitHub Actions)</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Generated 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2026-07-05</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Status</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Draft — review before publishing</w:t>
            </w:r>
          </w:p>
        </w:tc>
      </w:tr>
    </w:tbl>
    <w:p>
      <w:pPr>
        <w:spacing w:after="80"/>
      </w:pPr>
    </w:p>
    <w:p>
      <w:pPr>
        <w:spacing w:after="80"/>
      </w:pPr>
    </w:p>
    <w:p>
      <w:pPr>
        <w:spacing w:after="80" w:before="280"/>
      </w:pPr>
      <w:r>
        <w:rPr>
          <w:b/>
          <w:bCs/>
          <w:color w:val="2F5496"/>
          <w:sz w:val="32"/>
          <w:szCs w:val="32"/>
        </w:rPr>
        <w:t xml:space="preserve">14. Review &amp; Recommendations</w:t>
      </w:r>
    </w:p>
    <w:p>
      <w:pPr>
        <w:spacing w:after="120"/>
      </w:pPr>
      <w:r>
        <w:rPr>
          <w:i w:val="false"/>
          <w:iCs w:val="false"/>
          <w:sz w:val="22"/>
          <w:szCs w:val="22"/>
        </w:rPr>
        <w:t xml:space="preserve">Automated best-practice review (verify against your project standards):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Severity</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Area</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Finding</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Recommendation</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High</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Security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Hardcoded API Key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Move the 'X-goog-api-key' value to a secure externalized parameter or credential artifact.</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Medium</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Design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Unreachable SFTP Adapter</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SFTP adapter is defined but not connected to the main process flow; remove if unused.</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Low</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Error Handling</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Exception Propagation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final 'throw new Exception' in script3.groovy might cause the message to be retried depending on the sender configuration.</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Low</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Performance</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String Manipulation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use of string index searching in Groovy scripts is fragile; consider using a more robust JSON/XML parser if the AI response format changes.</w:t>
            </w:r>
          </w:p>
        </w:tc>
      </w:tr>
    </w:tbl>
    <w:p>
      <w:pPr>
        <w:spacing w:after="80"/>
      </w:pPr>
    </w:p>
    <w:p>
      <w:pPr>
        <w:spacing w:after="80"/>
      </w:pPr>
    </w:p>
    <w:p>
      <w:pPr>
        <w:spacing w:after="80" w:before="280"/>
      </w:pPr>
      <w:r>
        <w:rPr>
          <w:b/>
          <w:bCs/>
          <w:color w:val="2F5496"/>
          <w:sz w:val="32"/>
          <w:szCs w:val="32"/>
        </w:rPr>
        <w:t xml:space="preserve">Appendix</w:t>
      </w:r>
    </w:p>
    <w:p>
      <w:pPr>
        <w:spacing w:after="80"/>
      </w:pPr>
    </w:p>
    <w:p>
      <w:pPr>
        <w:spacing w:after="60"/>
        <w:ind w:left="360"/>
      </w:pPr>
      <w:r>
        <w:rPr>
          <w:sz w:val="22"/>
          <w:szCs w:val="22"/>
        </w:rPr>
        <w:t xml:space="preserve">• Verify if the Gemini API model 'gemini-3.1-flash-lite' is the correct and available version in the target environment.</w:t>
      </w:r>
    </w:p>
    <w:p>
      <w:pPr>
        <w:spacing w:after="60"/>
        <w:ind w:left="360"/>
      </w:pPr>
      <w:r>
        <w:rPr>
          <w:sz w:val="22"/>
          <w:szCs w:val="22"/>
        </w:rPr>
        <w:t xml:space="preserve">• Confirm if the SFTP adapter is intended to be part of the error logging or if it is legacy configuration.</w:t>
      </w:r>
    </w:p>
    <w:p>
      <w:pPr>
        <w:spacing w:after="60"/>
        <w:ind w:left="360"/>
      </w:pPr>
      <w:r>
        <w:rPr>
          <w:sz w:val="22"/>
          <w:szCs w:val="22"/>
        </w:rPr>
        <w:t xml:space="preserve">• Ensure the 'CamelExceptionCaught' property contains sufficient information for the AI to provide meaningful troubleshooting.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d4e1424869c332916d9de4cb2c0500eb89a3df.png"/><Relationship Id="rId8" Type="http://schemas.openxmlformats.org/officeDocument/2006/relationships/image" Target="media/5c00a811cf94d62526e1aff37edfad67d6a830b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2026-07-05T12:12:10.172Z</dcterms:created>
  <dcterms:modified xsi:type="dcterms:W3CDTF">2026-07-05T12:12:10.172Z</dcterms:modified>
</cp:coreProperties>
</file>

<file path=docProps/custom.xml><?xml version="1.0" encoding="utf-8"?>
<Properties xmlns="http://schemas.openxmlformats.org/officeDocument/2006/custom-properties" xmlns:vt="http://schemas.openxmlformats.org/officeDocument/2006/docPropsVTypes"/>
</file>