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0"/>
        <w:jc w:val="center"/>
      </w:pPr>
      <w:r>
        <w:rPr>
          <w:b/>
          <w:bCs/>
          <w:color w:val="1F3864"/>
          <w:sz w:val="52"/>
          <w:szCs w:val="52"/>
        </w:rPr>
        <w:t xml:space="preserve">ErrorHandlingUsingAI — Technical Specification</w:t>
      </w: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Change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pct" w:w="1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pct" w:w="5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pct" w:w="1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2026-07-05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CI Pipeline</w:t>
            </w:r>
          </w:p>
        </w:tc>
        <w:tc>
          <w:tcPr>
            <w:tcW w:type="pct" w:w="5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Auto-generated from iFlow artifact via GitHub Actions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Table of Contents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Overview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Interface Overview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High-Level iFlow Design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Message Flow Diagram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Externalized Parameters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Dependencies &amp; Referenced Artifacts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Deployment Configuration Checklist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Sender &amp; Receiver Channels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Mappings &amp; Transformations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10. </w:t>
      </w:r>
      <w:r>
        <w:rPr>
          <w:sz w:val="22"/>
          <w:szCs w:val="22"/>
        </w:rPr>
        <w:t xml:space="preserve">Security Configuration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11. </w:t>
      </w:r>
      <w:r>
        <w:rPr>
          <w:sz w:val="22"/>
          <w:szCs w:val="22"/>
        </w:rPr>
        <w:t xml:space="preserve">Error Handling &amp; Logging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12. </w:t>
      </w:r>
      <w:r>
        <w:rPr>
          <w:sz w:val="22"/>
          <w:szCs w:val="22"/>
        </w:rPr>
        <w:t xml:space="preserve">Test Plan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13. </w:t>
      </w:r>
      <w:r>
        <w:rPr>
          <w:sz w:val="22"/>
          <w:szCs w:val="22"/>
        </w:rPr>
        <w:t xml:space="preserve">Version &amp; Metadata</w:t>
      </w:r>
    </w:p>
    <w:p>
      <w:pPr>
        <w:spacing w:after="80"/>
        <w:ind w:left="720" w:hanging="360"/>
      </w:pPr>
      <w:r>
        <w:rPr>
          <w:b/>
          <w:bCs/>
          <w:sz w:val="22"/>
          <w:szCs w:val="22"/>
        </w:rPr>
        <w:t xml:space="preserve">14. </w:t>
      </w:r>
      <w:r>
        <w:rPr>
          <w:sz w:val="22"/>
          <w:szCs w:val="22"/>
        </w:rPr>
        <w:t xml:space="preserve">Review &amp; Recommendations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1. Overview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The 'ErrorHandlingUsingAI' iFlow is designed to intercept integration errors and leverage a Generative AI model (Gemini) to provide human-readable troubleshooting insights, including potential causes and resolution steps. It captures the exception, constructs a prompt for the AI, parses the response, and generates an XML-based error report for downstream consumption.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2. Interface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System / Partner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Adapter Type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 / Address</w:t>
            </w:r>
          </w:p>
        </w:tc>
      </w:tr>
      <w:t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Client Certificate</w:t>
            </w:r>
          </w:p>
        </w:tc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https://generativelanguage.googleapis.com/v1beta/models/gemini-3.1-flash-lite:generateContent</w:t>
            </w:r>
          </w:p>
        </w:tc>
      </w:tr>
      <w:t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public_key</w:t>
            </w:r>
          </w:p>
        </w:tc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eu-central-1.sftpcloud.io/Test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3. High-Level iFlow Design</w:t>
      </w: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High-Level Design</w:t>
      </w:r>
    </w:p>
    <w:p>
      <w:r>
        <w:drawing>
          <wp:inline distT="0" distB="0" distL="0" distR="0">
            <wp:extent cx="5286375" cy="58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Message Flow Diagram</w:t>
      </w:r>
    </w:p>
    <w:p>
      <w:r>
        <w:drawing>
          <wp:inline distT="0" distB="0" distL="0" distR="0">
            <wp:extent cx="5286375" cy="151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The iFlow utilizes an Exception Subprocess to catch errors occurring in the main integration flow. Upon triggering, it enriches the message with a prompt, invokes the Gemini API via a Request-Reply step, parses the AI's response using Groovy scripts, and finally constructs a structured XML error message before terminating with an exception to signal the failure.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4. Message Flow Diagram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4.1 Integration Process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 #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 Name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Start Timer 1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Unknown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Initializes the integration process via a timer trigger.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Unknown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Marks the completion of the main integration process.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4.1.1 Exception Subprocess 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 #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 Name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Error Start 1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Unknown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Acts as the entry point for the Exception Subprocess when an error occurs.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cm_setAPIKey_GenAIPrompt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Content Modifier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Enriches the message with the AI prompt template and the Google API key header.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cm_setAIPrompt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Groovy Script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Executes script1.groovy to inject the caught exception into the AI prompt.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RR_GenAI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Request-Reply / External Call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Invokes the Gemini API to generate troubleshooting insights based on the provided prompt.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script_CaptureGenAIResponse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Groovy Script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Executes script2.groovy to parse the JSON response from the Gemini API.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cm_setContentTypeErrorResponse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Content Modifier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Sets the Content-Type header to application/xml for the final error response.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script_GenerateErrorResponse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Groovy Script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Executes script3.groovy to build the XML error response and throw the final exception.</w:t>
            </w:r>
          </w:p>
        </w:tc>
      </w:tr>
      <w:tr>
        <w:tc>
          <w:tcPr>
            <w:tcW w:type="pct" w:w="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 1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Unknown</w:t>
            </w:r>
          </w:p>
        </w:tc>
        <w:tc>
          <w:tcPr>
            <w:tcW w:type="pct" w:w="4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Terminates the Exception Subprocess.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5. Externalized Parameters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No externalized parameters are defined in this iFlow.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6. Dependencies &amp; Referenced Artifacts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The iFlow depends on an external Google Generative AI API (Gemini) and an SFTP server. It also requires a valid Google API key and a private key alias for SFTP authentication.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7. Deployment Configuration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Ensure the Google API key is stored in a secure Credential artifact and referenced correctly.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Verify the SFTP host and credentials are configured in the target environment.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Confirm the Gemini API endpoint is reachable from the SAP Cloud Integration tenant.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Validate that the required private key alias exists in the Keystore.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8. Sender &amp; Receiver Channels</w:t>
      </w: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HTTP (HTTP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https://generativelanguage.googleapis.com/v1beta/models/gemini-3.1-flash-lite:generateContent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apiName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methodSourceExpression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apiArtifactType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providerAuth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ComponentNS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privateKeyAlias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[REDACTED]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httpMethod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apiprovider_location_id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allowedResponseHeaders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*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internetProxyType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1.19.2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ComponentSWCVName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external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proxyPort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streaming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enableMPLAttachments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httpAddressQuery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httpRequestTimeout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60000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ComponentSWCVId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1.19.2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allowedRequestHeaders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Content-Type|X-goog-api-key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httpShouldSendBody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throwExceptionOnFailure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componentVersion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1.19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retryIteration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retryOnConnectionFailure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authenticationMethod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Client Certificate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locationID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retryInterval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cmdVariantUri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ctype::AdapterVariant/cname::sap:HTTP/tp::HTTP/mp::None/direction::Receiver/version::1.19.2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httpErrorResponseCodes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1.19.2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httpAddressWithoutQuery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https://generativelanguage.googleapis.com/v1beta/models/gemini-3.1-flash-lite:generateContent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providerRelativeUrl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SFTP (SFTP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eu-central-1.sftpcloud.io/Test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disconnect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test.xml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maximumReconnectAttempts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stepwise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fileExist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Override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ComponentNS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autoCreate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privateKeyAlias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[REDACTED]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location_id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1.20.1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flatten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sftpSecEnabled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useTempFile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ComponentSWCVName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external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/Test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proxyPort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8080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eu-central-1.sftpcloud.io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connectTimeout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10000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fastExistsCheck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ComponentSWCVId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1.20.1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public_key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fileAppendTimeStamp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credential_name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socks5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componentVersion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1.13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reconnectDelay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1000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tempFileName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${file:name}.tmp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allowDeprecatedAlgorithms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cmdVariantUri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ctype::AdapterVariant/cname::sap:SFTP/tp::SFTP/mp::File/direction::Receiver/version::1.13.3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1.20.1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sftp_key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9. Mappings &amp; Transformations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Transformation is implemented entirely through custom Groovy scripts and Content Modifier steps rather than standard Message Mapping artifacts.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script1.groovy: Injects the caught Camel exception into the AI prompt template.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script2.groovy: Parses the JSON response from Gemini and extracts specific troubleshooting sections.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script3.groovy: Formats the extracted AI insights into an XML structure and manages custom log headers.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10. Security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Configuration</w:t>
            </w:r>
          </w:p>
        </w:tc>
        <w:tc>
          <w:tcPr>
            <w:tcW w:type="pct" w:w="4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</w:tr>
      <w:t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 Adapter</w:t>
            </w:r>
          </w:p>
        </w:tc>
        <w:tc>
          <w:tcPr>
            <w:tcW w:type="pct" w:w="4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Hardcoded Google API Key found in Content Modifier header table.</w:t>
            </w:r>
          </w:p>
        </w:tc>
      </w:tr>
      <w:t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 Adapter</w:t>
            </w:r>
          </w:p>
        </w:tc>
        <w:tc>
          <w:tcPr>
            <w:tcW w:type="pct" w:w="4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Private key alias is set to [REDACTED]; ensure this exists in the tenant keystore.</w:t>
            </w:r>
          </w:p>
        </w:tc>
      </w:tr>
      <w:t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Credentials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 Adapter</w:t>
            </w:r>
          </w:p>
        </w:tc>
        <w:tc>
          <w:tcPr>
            <w:tcW w:type="pct" w:w="4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API Key is passed as a header; ensure this is not logged in plain text.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11. Error Handling &amp; Logging</w:t>
      </w:r>
    </w:p>
    <w:p>
      <w:pPr>
        <w:spacing w:after="60"/>
        <w:ind w:left="360"/>
      </w:pPr>
      <w:r>
        <w:rPr>
          <w:sz w:val="22"/>
          <w:szCs w:val="22"/>
        </w:rPr>
        <w:t xml:space="preserve">• The entire logic resides within an Exception Subprocess, triggered automatically upon failure.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script3.groovy explicitly throws a new Exception at the end of the process, ensuring the overall integration status remains failed.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The flow attempts to parse AI responses; however, it lacks robust handling for cases where the AI returns an error or unexpected format.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12. Test Plan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Suggested test scenarios derived from the iFlow structure (extend with business-specific cases):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Scenario</w:t>
            </w:r>
          </w:p>
        </w:tc>
        <w:tc>
          <w:tcPr>
            <w:tcW w:type="pct" w:w="1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4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tcPr>
            <w:tcW w:type="pct" w:w="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Simulate system error</w:t>
            </w:r>
          </w:p>
        </w:tc>
        <w:tc>
          <w:tcPr>
            <w:tcW w:type="pct" w:w="1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Negative</w:t>
            </w:r>
          </w:p>
        </w:tc>
        <w:tc>
          <w:tcPr>
            <w:tcW w:type="pct" w:w="4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Verify Exception Subprocess triggers and AI generates troubleshooting steps.</w:t>
            </w:r>
          </w:p>
        </w:tc>
      </w:tr>
      <w:tr>
        <w:tc>
          <w:tcPr>
            <w:tcW w:type="pct" w:w="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Verify XML output</w:t>
            </w:r>
          </w:p>
        </w:tc>
        <w:tc>
          <w:tcPr>
            <w:tcW w:type="pct" w:w="1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Happy Path</w:t>
            </w:r>
          </w:p>
        </w:tc>
        <w:tc>
          <w:tcPr>
            <w:tcW w:type="pct" w:w="4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Confirm the generated XML structure matches the expected schema.</w:t>
            </w:r>
          </w:p>
        </w:tc>
      </w:tr>
      <w:tr>
        <w:tc>
          <w:tcPr>
            <w:tcW w:type="pct" w:w="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Test API connectivity</w:t>
            </w:r>
          </w:p>
        </w:tc>
        <w:tc>
          <w:tcPr>
            <w:tcW w:type="pct" w:w="1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Security</w:t>
            </w:r>
          </w:p>
        </w:tc>
        <w:tc>
          <w:tcPr>
            <w:tcW w:type="pct" w:w="4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Ensure the Google API key is valid and the HTTP adapter successfully authenticates.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13. Version &amp; Metadata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iFlow Name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ErrorHandlingUsingAI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Bundle Version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1.0.0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Auto-generated by CI pipeline (GitHub Actions)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Generated On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2026-07-05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Draft — review before publishing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14. Review &amp; Recommendations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Automated best-practice review (verify against your project standards):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</w:t>
            </w:r>
          </w:p>
        </w:tc>
      </w:tr>
      <w:t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🔴 High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Security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Hardcoded API Key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Remove the hardcoded API key from the Content Modifier and use a secure Externalized Parameter or Credential artifact.</w:t>
            </w:r>
          </w:p>
        </w:tc>
      </w:tr>
      <w:t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🟠 Medium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Error Handling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Unconditional Exception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The script3.groovy throws an exception regardless of AI success; consider conditional logic if the AI response is optional.</w:t>
            </w:r>
          </w:p>
        </w:tc>
      </w:tr>
      <w:t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🟡 Low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Design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Hardcoded Logic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The prompt template and key names are hardcoded in the Content Modifier; consider moving these to external parameters for easier maintenance.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Appendix</w:t>
      </w:r>
    </w:p>
    <w:p>
      <w:pPr>
        <w:spacing w:after="80"/>
      </w:pPr>
    </w:p>
    <w:p>
      <w:pPr>
        <w:spacing w:after="60"/>
        <w:ind w:left="360"/>
      </w:pPr>
      <w:r>
        <w:rPr>
          <w:sz w:val="22"/>
          <w:szCs w:val="22"/>
        </w:rPr>
        <w:t xml:space="preserve">• Verify if the Gemini API endpoint requires specific proxy configurations in the tenant.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Confirm the SFTP server path '/Test' is accessible and writable by the service user.</w:t>
      </w:r>
    </w:p>
    <w:p>
      <w:pPr>
        <w:spacing w:after="60"/>
        <w:ind w:left="360"/>
      </w:pPr>
      <w:r>
        <w:rPr>
          <w:sz w:val="22"/>
          <w:szCs w:val="22"/>
        </w:rPr>
        <w:t xml:space="preserve">• Check if the 'CamelExceptionCaught' property contains sensitive data that should be sanitized before sending to the AI.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7d4e1424869c332916d9de4cb2c0500eb89a3df.png"/><Relationship Id="rId8" Type="http://schemas.openxmlformats.org/officeDocument/2006/relationships/image" Target="media/5c00a811cf94d62526e1aff37edfad67d6a830b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2026-07-05T13:00:30.389Z</dcterms:created>
  <dcterms:modified xsi:type="dcterms:W3CDTF">2026-07-05T13:00:30.389Z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