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B9" w:rsidRPr="00482CB9" w:rsidRDefault="00482CB9" w:rsidP="0048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82CB9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Distribution of Girls in the School</w:t>
      </w:r>
    </w:p>
    <w:p w:rsidR="00482CB9" w:rsidRPr="00482CB9" w:rsidRDefault="00482CB9" w:rsidP="0048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82CB9">
        <w:rPr>
          <w:rFonts w:ascii="Times New Roman" w:eastAsia="Times New Roman" w:hAnsi="Times New Roman" w:cs="Times New Roman"/>
          <w:sz w:val="24"/>
          <w:szCs w:val="24"/>
          <w:lang w:eastAsia="en-KE"/>
        </w:rPr>
        <w:t>The distribution of girls in the school reveals significant variation, with numbers ranging from as low as 1 to as high as 6000. The most frequently reported counts include 20 (10.9%), 40 (9.0%), 50 (9.0%), and 60 (9.0%). Other notable figures include 10 (8.5%) and 100 (8.0%). While smaller counts like 5, 10, and 30 appear less frequently, large counts such as 600 and 400 occur occasionally at 2.0% and 5.0%, respectively. The data reflects a diverse range of responses, indicating varying school sizes or reporting interpretations across different contexts.</w:t>
      </w:r>
    </w:p>
    <w:p w:rsidR="00482CB9" w:rsidRDefault="00482CB9" w:rsidP="00482CB9">
      <w:pPr>
        <w:pStyle w:val="Heading3"/>
      </w:pPr>
      <w:r>
        <w:t>Gender Comparison: Boys vs. Girls</w:t>
      </w:r>
    </w:p>
    <w:p w:rsidR="00482CB9" w:rsidRDefault="00482CB9" w:rsidP="00482CB9">
      <w:pPr>
        <w:pStyle w:val="NormalWeb"/>
      </w:pPr>
      <w:r>
        <w:t xml:space="preserve">An analysis of the data reveals that the number of girls exceeds the number of boys. Among the responses, 47.3% identified that "Girls" are more, while 6.0% noted "girls," making a combined total of 53.3% for girls. In contrast, responses indicating "Boys" constituted 38.3%, with an additional 7.0% mentioning "boys" and 1.0% stating "BOYS," </w:t>
      </w:r>
      <w:proofErr w:type="spellStart"/>
      <w:r>
        <w:t>totaling</w:t>
      </w:r>
      <w:proofErr w:type="spellEnd"/>
      <w:r>
        <w:t xml:space="preserve"> 46.3% for boys. This indicates a slight majority perceives that there are more girls than boys in the given context, emphasizing a notable difference in the perceived or actual population distribution.</w:t>
      </w:r>
    </w:p>
    <w:p w:rsidR="00BE48A1" w:rsidRDefault="00BE48A1" w:rsidP="00482CB9">
      <w:pPr>
        <w:pStyle w:val="NormalWeb"/>
      </w:pPr>
      <w:r>
        <w:rPr>
          <w:noProof/>
        </w:rPr>
        <w:drawing>
          <wp:inline distT="0" distB="0" distL="0" distR="0" wp14:anchorId="1810B4DD" wp14:editId="53F73A8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412674-0B4D-45C1-A9EF-CE75F75A2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82CB9" w:rsidRDefault="00482CB9" w:rsidP="00482CB9">
      <w:pPr>
        <w:pStyle w:val="Heading3"/>
      </w:pPr>
      <w:r>
        <w:t>Meal Program Implementation in Schools</w:t>
      </w:r>
    </w:p>
    <w:p w:rsidR="00482CB9" w:rsidRDefault="00482CB9" w:rsidP="00482CB9">
      <w:pPr>
        <w:pStyle w:val="NormalWeb"/>
      </w:pPr>
      <w:r>
        <w:t>A survey on meal program availability in schools revealed significant insights. The majority of respondents (79.6%) confirmed the presence of a meal program by selecting "Yes." Additional affirmations, such as "yes" (8.0%) and "YES" (1.0%), further highlight strong implementation. However, 9.0% collectively responded negatively with "No," "no," or other variations, indicating some schools lack such programs. This data underscores that while most schools offer meal programs, a small percentage still face challenges in providing this critical support, which is essential for student well-being and academic performance. Efforts should focus on addressing gaps in meal program accessibility.</w:t>
      </w:r>
    </w:p>
    <w:p w:rsidR="00BE48A1" w:rsidRDefault="00BE48A1" w:rsidP="00482CB9">
      <w:pPr>
        <w:pStyle w:val="NormalWeb"/>
      </w:pPr>
    </w:p>
    <w:p w:rsidR="00482CB9" w:rsidRDefault="00482CB9"/>
    <w:p w:rsidR="00482CB9" w:rsidRDefault="00482CB9" w:rsidP="00482CB9">
      <w:pPr>
        <w:pStyle w:val="Heading3"/>
      </w:pPr>
      <w:r>
        <w:rPr>
          <w:rStyle w:val="Strong"/>
          <w:b/>
          <w:bCs/>
        </w:rPr>
        <w:t>Performance Analysis of the School</w:t>
      </w:r>
    </w:p>
    <w:p w:rsidR="00482CB9" w:rsidRDefault="00482CB9" w:rsidP="00482CB9">
      <w:pPr>
        <w:pStyle w:val="NormalWeb"/>
      </w:pPr>
      <w:r>
        <w:t>The performance of this school reflects a diverse range of opinions. A significant portion, 28.4%, rated the school's performance as "Good," while 6.5% categorized it as "good." However, 17.9% described the school as "Poor," and 14.4% considered it "Low," indicating areas for improvement. Moderate ratings such as "Fair" (6.0%) and "Medium" (7.0%) suggest mixed perceptions. A smaller segment rated performance as "High" (2.0%), while terms like "Average" (3.0%) and "Bad" (4.0%) underline variability in outcomes. These findings highlight both strengths and challenges, emphasizing the need for targeted efforts to improve overall academic standards and stakeholder satisfaction.</w:t>
      </w:r>
    </w:p>
    <w:p w:rsidR="00BE48A1" w:rsidRDefault="00BE48A1" w:rsidP="00482CB9">
      <w:pPr>
        <w:pStyle w:val="NormalWeb"/>
      </w:pPr>
      <w:r>
        <w:rPr>
          <w:noProof/>
        </w:rPr>
        <w:drawing>
          <wp:inline distT="0" distB="0" distL="0" distR="0" wp14:anchorId="12AEB137" wp14:editId="52D135E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A5152FF-FA97-4716-92B7-D090EB79C0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82CB9" w:rsidRDefault="00482CB9"/>
    <w:p w:rsidR="00482CB9" w:rsidRDefault="00482CB9" w:rsidP="00482CB9">
      <w:pPr>
        <w:pStyle w:val="Heading3"/>
      </w:pPr>
      <w:r>
        <w:t>Support for Teenage Mothers in School</w:t>
      </w:r>
    </w:p>
    <w:p w:rsidR="00482CB9" w:rsidRDefault="00482CB9" w:rsidP="00482CB9">
      <w:pPr>
        <w:pStyle w:val="NormalWeb"/>
      </w:pPr>
      <w:r>
        <w:t xml:space="preserve">Support for teenage mothers within schools is an important issue that reflects institutional efforts to promote inclusivity and education continuity. According to the data, 65.7% of respondents confirmed offering support to teenage mothers, with an additional 1% affirming this emphatically. However, 31.3% indicated no such support is provided, highlighting gaps in addressing the needs of this vulnerable group. This disparity emphasizes the need for a comprehensive approach to ensure all schools actively provide resources, </w:t>
      </w:r>
      <w:proofErr w:type="spellStart"/>
      <w:r>
        <w:t>counseling</w:t>
      </w:r>
      <w:proofErr w:type="spellEnd"/>
      <w:r>
        <w:t>, and academic accommodations for teenage mothers, enabling them to overcome challenges and continue their education effectively.</w:t>
      </w:r>
    </w:p>
    <w:p w:rsidR="00BE48A1" w:rsidRDefault="00BE48A1" w:rsidP="00482CB9">
      <w:pPr>
        <w:pStyle w:val="NormalWeb"/>
      </w:pPr>
      <w:r>
        <w:rPr>
          <w:noProof/>
        </w:rPr>
        <w:lastRenderedPageBreak/>
        <w:drawing>
          <wp:inline distT="0" distB="0" distL="0" distR="0" wp14:anchorId="05606F67" wp14:editId="5F9E862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DDD6785-8D4F-49D3-9675-643E766A8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82CB9" w:rsidRDefault="00482CB9"/>
    <w:p w:rsidR="00482CB9" w:rsidRDefault="00482CB9"/>
    <w:sectPr w:rsidR="0048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9"/>
    <w:rsid w:val="00482CB9"/>
    <w:rsid w:val="00BE48A1"/>
    <w:rsid w:val="00F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7F14"/>
  <w15:chartTrackingRefBased/>
  <w15:docId w15:val="{2ED20590-B444-41BC-B870-AED167CB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CB9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NormalWeb">
    <w:name w:val="Normal (Web)"/>
    <w:basedOn w:val="Normal"/>
    <w:uiPriority w:val="99"/>
    <w:semiHidden/>
    <w:unhideWhenUsed/>
    <w:rsid w:val="0048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482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A%20SURVEY%20IN%20ASCHOOL\ASURVEY%20IN%20A%20SCHOOL%20Data%20clea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A%20SURVEY%20IN%20ASCHOOL\ASURVEY%20IN%20A%20SCHOOL%20Data%20clean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A%20SURVEY%20IN%20ASCHOOL\ASURVEY%20IN%20A%20SCHOOL%20Data%20clean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[ASURVEY IN A SCHOOL Data cleaning.xlsx]Sheet2!PivotTable11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"</a:t>
            </a:r>
            <a:r>
              <a:rPr lang="en-US"/>
              <a:t>Between girls and boys which number is more boys or girls 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Sheet2!$A$4:$A$5</c:f>
              <c:strCache>
                <c:ptCount val="2"/>
                <c:pt idx="0">
                  <c:v>BOYS</c:v>
                </c:pt>
                <c:pt idx="1">
                  <c:v>girls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2"/>
                <c:pt idx="0">
                  <c:v>94</c:v>
                </c:pt>
                <c:pt idx="1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B-472F-ADC2-8EB7B00B9F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66552592"/>
        <c:axId val="1848500736"/>
      </c:barChart>
      <c:catAx>
        <c:axId val="196655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848500736"/>
        <c:crosses val="autoZero"/>
        <c:auto val="1"/>
        <c:lblAlgn val="ctr"/>
        <c:lblOffset val="100"/>
        <c:noMultiLvlLbl val="0"/>
      </c:catAx>
      <c:valAx>
        <c:axId val="184850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96655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[ASURVEY IN A SCHOOL Data cleaning.xlsx]Sheet3!PivotTable18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performance of this school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Sheet3!$A$4:$A$15</c:f>
              <c:strCache>
                <c:ptCount val="12"/>
                <c:pt idx="0">
                  <c:v>AVERAGE</c:v>
                </c:pt>
                <c:pt idx="1">
                  <c:v>Bad</c:v>
                </c:pt>
                <c:pt idx="2">
                  <c:v>fair</c:v>
                </c:pt>
                <c:pt idx="3">
                  <c:v>Fairly good</c:v>
                </c:pt>
                <c:pt idx="4">
                  <c:v>Girls</c:v>
                </c:pt>
                <c:pt idx="5">
                  <c:v>Good</c:v>
                </c:pt>
                <c:pt idx="6">
                  <c:v>high</c:v>
                </c:pt>
                <c:pt idx="7">
                  <c:v>low</c:v>
                </c:pt>
                <c:pt idx="8">
                  <c:v>medium</c:v>
                </c:pt>
                <c:pt idx="9">
                  <c:v>Not good</c:v>
                </c:pt>
                <c:pt idx="10">
                  <c:v>Poor</c:v>
                </c:pt>
                <c:pt idx="11">
                  <c:v>(blank)</c:v>
                </c:pt>
              </c:strCache>
            </c:strRef>
          </c:cat>
          <c:val>
            <c:numRef>
              <c:f>Sheet3!$B$4:$B$15</c:f>
              <c:numCache>
                <c:formatCode>General</c:formatCode>
                <c:ptCount val="12"/>
                <c:pt idx="0">
                  <c:v>6</c:v>
                </c:pt>
                <c:pt idx="1">
                  <c:v>8</c:v>
                </c:pt>
                <c:pt idx="2">
                  <c:v>13</c:v>
                </c:pt>
                <c:pt idx="3">
                  <c:v>2</c:v>
                </c:pt>
                <c:pt idx="4">
                  <c:v>2</c:v>
                </c:pt>
                <c:pt idx="5">
                  <c:v>70</c:v>
                </c:pt>
                <c:pt idx="6">
                  <c:v>4</c:v>
                </c:pt>
                <c:pt idx="7">
                  <c:v>41</c:v>
                </c:pt>
                <c:pt idx="8">
                  <c:v>16</c:v>
                </c:pt>
                <c:pt idx="9">
                  <c:v>2</c:v>
                </c:pt>
                <c:pt idx="1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E8-4C69-AACC-8065438A57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31077504"/>
        <c:axId val="1976109216"/>
      </c:barChart>
      <c:catAx>
        <c:axId val="183107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976109216"/>
        <c:crosses val="autoZero"/>
        <c:auto val="1"/>
        <c:lblAlgn val="ctr"/>
        <c:lblOffset val="100"/>
        <c:noMultiLvlLbl val="0"/>
      </c:catAx>
      <c:valAx>
        <c:axId val="197610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layout>
            <c:manualLayout>
              <c:xMode val="edge"/>
              <c:yMode val="edge"/>
              <c:x val="3.6111111111111108E-2"/>
              <c:y val="0.340397346165062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83107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[ASURVEY IN A SCHOOL Data cleaning.xlsx]Sheet4!PivotTable23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support to the teenage mothers who are in this school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E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Sheet4!$B$4:$B$5</c:f>
              <c:numCache>
                <c:formatCode>General</c:formatCode>
                <c:ptCount val="2"/>
                <c:pt idx="0">
                  <c:v>63</c:v>
                </c:pt>
                <c:pt idx="1">
                  <c:v>138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11-4927-8060-C9EA6BFBC6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70992272"/>
        <c:axId val="1976115040"/>
      </c:barChart>
      <c:catAx>
        <c:axId val="1970992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FEEDBACK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976115040"/>
        <c:crosses val="autoZero"/>
        <c:auto val="1"/>
        <c:lblAlgn val="ctr"/>
        <c:lblOffset val="100"/>
        <c:noMultiLvlLbl val="0"/>
      </c:catAx>
      <c:valAx>
        <c:axId val="19761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E"/>
          </a:p>
        </c:txPr>
        <c:crossAx val="197099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2024-12-02T10:29:00Z</dcterms:created>
  <dcterms:modified xsi:type="dcterms:W3CDTF">2024-12-02T10:53:00Z</dcterms:modified>
</cp:coreProperties>
</file>