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8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emf" ContentType="image/x-emf"/>
  <Override PartName="/word/media/image8.jpeg" ContentType="image/jpeg"/>
  <Override PartName="/word/media/image9.jpeg" ContentType="image/jpeg"/>
  <Override PartName="/word/embeddings/oleObject1.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spacing w:lineRule="auto" w:line="240" w:before="0" w:after="0"/>
        <w:ind w:left="0" w:firstLine="709"/>
        <w:jc w:val="center"/>
        <w:rPr>
          <w:rStyle w:val="Contenttext"/>
          <w:rFonts w:ascii="Times New Roman" w:hAnsi="Times New Roman"/>
          <w:b/>
          <w:b/>
          <w:sz w:val="28"/>
          <w:szCs w:val="28"/>
        </w:rPr>
      </w:pPr>
      <w:r>
        <w:rPr>
          <w:rStyle w:val="Contenttext"/>
          <w:rFonts w:ascii="Times New Roman" w:hAnsi="Times New Roman"/>
          <w:b/>
          <w:sz w:val="28"/>
          <w:szCs w:val="28"/>
        </w:rPr>
        <w:t>Экскурсия по Музею ООО НПО «Фундаментстройаркос»</w:t>
      </w:r>
    </w:p>
    <w:p>
      <w:pPr>
        <w:pStyle w:val="Normal"/>
        <w:spacing w:lineRule="auto" w:line="240" w:before="0" w:after="0"/>
        <w:rPr>
          <w:rStyle w:val="Contenttext"/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pStyle w:val="ListParagraph"/>
        <w:spacing w:lineRule="auto" w:line="240" w:before="0" w:after="0"/>
        <w:ind w:left="0" w:firstLine="709"/>
        <w:jc w:val="center"/>
        <w:rPr>
          <w:rStyle w:val="Contenttext"/>
          <w:rFonts w:ascii="Times New Roman" w:hAnsi="Times New Roman"/>
          <w:b/>
          <w:b/>
          <w:sz w:val="24"/>
          <w:szCs w:val="24"/>
        </w:rPr>
      </w:pPr>
      <w:r>
        <w:rPr>
          <w:rStyle w:val="Contenttext"/>
          <w:rFonts w:ascii="Times New Roman" w:hAnsi="Times New Roman"/>
          <w:b/>
          <w:sz w:val="24"/>
          <w:szCs w:val="24"/>
        </w:rPr>
        <w:t>1 зал</w:t>
      </w:r>
    </w:p>
    <w:p>
      <w:pPr>
        <w:pStyle w:val="Normal"/>
        <w:rPr/>
      </w:pPr>
      <w:r>
        <w:rPr/>
      </w:r>
    </w:p>
    <w:tbl>
      <w:tblPr>
        <w:tblStyle w:val="a3"/>
        <w:tblW w:w="10916" w:type="dxa"/>
        <w:jc w:val="left"/>
        <w:tblInd w:w="-176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5975"/>
        <w:gridCol w:w="4940"/>
      </w:tblGrid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9525">
                  <wp:extent cx="2600325" cy="1949450"/>
                  <wp:effectExtent l="0" t="0" r="0" b="0"/>
                  <wp:docPr id="1" name="Рисунок 1" descr="D:\Мои документы\НАРУЖКА\демозал_МАТМАСЫ\МУЗЕУМ\DSCN7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D:\Мои документы\НАРУЖКА\демозал_МАТМАСЫ\МУЗЕУМ\DSCN7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9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1270">
                  <wp:extent cx="1275080" cy="2324100"/>
                  <wp:effectExtent l="0" t="0" r="0" b="0"/>
                  <wp:docPr id="2" name="Рисунок 2" descr="D:\Мои документы\НАРУЖКА\демозал_МАТМАСЫ\МУЗЕУМ\IMG_20160604_183926_resized_20160604_1138095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D:\Мои документы\НАРУЖКА\демозал_МАТМАСЫ\МУЗЕУМ\IMG_20160604_183926_resized_20160604_1138095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08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Times New Roman" w:ascii="Times New Roman" w:hAnsi="Times New Roman"/>
                <w:color w:val="000000"/>
                <w:w w:val="0"/>
                <w:sz w:val="0"/>
                <w:szCs w:val="0"/>
                <w:u w:val="none" w:color="000000"/>
                <w:shd w:fill="000000" w:val="clear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w w:val="0"/>
                <w:sz w:val="0"/>
                <w:szCs w:val="0"/>
                <w:u w:val="none" w:color="000000"/>
                <w:shd w:fill="000000" w:val="clear"/>
              </w:rPr>
              <w:drawing>
                <wp:inline distT="0" distB="0" distL="19050" distR="9525">
                  <wp:extent cx="1304925" cy="2329815"/>
                  <wp:effectExtent l="0" t="0" r="0" b="0"/>
                  <wp:docPr id="3" name="Рисунок 3" descr="D:\Мои документы\НАРУЖКА\демозал_МАТМАСЫ\МУЗЕУМ\IMG_20160604_183915_resized_20160604_1138099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D:\Мои документы\НАРУЖКА\демозал_МАТМАСЫ\МУЗЕУМ\IMG_20160604_183915_resized_20160604_1138099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32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Добро пожаловать в музей общества с ограниченной ответственностью «Научно-производственное объединение «Фундаментстройаркос». Сегодня вы познакомитесь с историей компании и узнаете о передовых технологиях, разработанных нашими учеными и инженерами. Но сначала мы оценим масштабы проблемы, за решение которой взялся «Фундаментстройаркос».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Взгляните на эту карту северного полушария. Синим цветом выделены огромные территории, состоящие из вечной мерзлоты.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Две трети территории России размещаются именно в этой зоне. Здесь же сосредоточены крупнейшие месторождения нефти и газа. Поэтому мы с вами просто обязаны научиться строить в условиях вечной мерзлоты.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На снимках перед вами типичные последствия растепления грунтов – деформированные трубопроводы и железные дороги, покосившиеся здания и обвалившиеся берега рек.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Строительная отрасль нуждалась в новом подходе к данной проблеме. За дело взялась команда ученых во главе с Григорием Меркуловичем Долгих.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9525">
                  <wp:extent cx="2276475" cy="3035935"/>
                  <wp:effectExtent l="0" t="0" r="0" b="0"/>
                  <wp:docPr id="4" name="Изображение1" descr="D:\Мои документы\НАРУЖКА\демозал_МАТМАСЫ\МУЗЕУМ\DSCN70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" descr="D:\Мои документы\НАРУЖКА\демозал_МАТМАСЫ\МУЗЕУМ\DSCN70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/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Научные исследования в области теплообмена Григорий Меркулович начал еще в годы работы в Одесском политехническом институте.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1:12.905(14174)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90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  <w:t xml:space="preserve">Первые результаты были опубликованы еще в 1970 году. Идеи молодого ученого встретили позитивный отклик в научной среде, а эксперименты доказали, что он находится на верном пути. 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 1975 году им была защищена диссертация на тему «Исследование теплообмена и гидродинамики в аппаратах с вращающимися теплопередающими устройствами». Свои исследования Григорий Долгих продолжил в институте ВНИИйодбром, вновь завоевав признание научных кругов.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 конце 1970-х годов Григорий Меркулович переезжает в Тюмень. Свою работу он продолжает в крупнейших научно-проектных институтах нефтегазовой отрасли – ТюменНИИгипрогазе и Гипротюменнефтегазе. В этот период внимание исследователя привлекает проблема строительства на вечномёрзлых грунтах, столь актуальная для Тюменского Севера. Григорий Меркулович нашел решение – мерзлоту нужно заморозить! Иными словами, нужно создать условия для поддержания постоянной температуры в грунтах под зданиями и сооружениями. 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Вскоре научная идея обрела конкретные очертания и воплотилась в металле. Так появилась горизонтальная естественно-действующая трубчатая система (сокращенно – «ГЕТ»).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/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Первый резервуар на насыпном охлаждающем основании с системами «ГЕТ» был построен в 1989 году на ЦПС-2 Уренгойского месторождения.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2:46.230(43.084)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120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  <w:t>На протяжении двух лет на установленных в основании резервуара 19 термоскважинах производились еженедельные замеры температур грунтов. В результате была подтверждена работоспособность системы «ГЕТ» и её эффективность.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0">
                  <wp:extent cx="3302635" cy="2476500"/>
                  <wp:effectExtent l="0" t="0" r="0" b="0"/>
                  <wp:docPr id="5" name="Рисунок 4" descr="D:\Мои документы\НАРУЖКА\демозал_МАТМАСЫ\МУЗЕУМ\DSCN70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D:\Мои документы\НАРУЖКА\демозал_МАТМАСЫ\МУЗЕУМ\DSCN70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63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  <w:t>Наступили 1990-е годы – время радикальной ломки всей экономической системы страны. Нефтегазовые компании переживали не лучшие времени, наука же и вовсе оказалась вне сферы интересов как бизнеса, так и государства. Однако упорный исследователь, посвятивший всего себя этой глобальной проблеме, не хотел отступать. Государство отказывается финансировать науку? Значит, нужно заработать эти деньги самостоятельно!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 октябре 1991 года появляется научно-внедренческая фирма «Аркос» – так тогда назывался будущий лидер российского инжиниринга на вечномерзлых грунтах. Перед вами одни из первых проектов молодой научно-производственной компании – Обустройство нефтяных оторочек Уренгойского нефтегазоконденсатного месторождения и Расширение Суторминского нефтяного месторождения. На снимках – первопроходцы, не побоявшиеся связать свою жизнь с новой научной идеей в те годы, когда наука пребывала в глубоком забвении.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0">
                  <wp:extent cx="3200400" cy="2443480"/>
                  <wp:effectExtent l="0" t="0" r="0" b="0"/>
                  <wp:docPr id="6" name="Рисунок 5" descr="D:\Мои документы\НАРУЖКА\демозал_МАТМАСЫ\МУЗЕУМ\DSCN70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 descr="D:\Мои документы\НАРУЖКА\демозал_МАТМАСЫ\МУЗЕУМ\DSCN70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both"/>
              <w:rPr>
                <w:rStyle w:val="Contenttext"/>
                <w:rFonts w:ascii="Times New Roman" w:hAnsi="Times New Roman"/>
                <w:i/>
                <w:i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Однако уже первые проекты наглядно доказали – у этой идеи большое будущее. </w:t>
            </w:r>
            <w:r>
              <w:rPr>
                <w:rStyle w:val="Contenttext"/>
                <w:rFonts w:ascii="Times New Roman" w:hAnsi="Times New Roman"/>
                <w:i/>
                <w:sz w:val="24"/>
                <w:szCs w:val="24"/>
              </w:rPr>
              <w:t>(Переход)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На смену традиционным проветриваемым подпольям пришли аппараты, способные перенести естественный холод к фундаменту сооружения – практичные и эффективные.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В результате была разработана целая линейка термостабилизирующих устройств: 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горизонтальные и вертикальные системы охлаждения «ГЕТ» и ВЕТ», </w:t>
            </w:r>
          </w:p>
          <w:p>
            <w:pPr>
              <w:pStyle w:val="Normal"/>
              <w:spacing w:lineRule="auto" w:line="240" w:before="0" w:after="0"/>
              <w:jc w:val="both"/>
              <w:rPr/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индивидуальные термостабилизаторы, глубинные охлаждающие устройства.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4:31.061(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7.368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)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170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  <w:t>Все они имеют одну задачу – сохранить мерзлоту, превратив ее в надёжный фундамент для любого сооружения.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Сварочная головка  на подиуме.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Патенты на Установку и на Программу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object>
                <v:shape id="ole_rId8" style="width:128.25pt;height:171pt" o:ole="">
                  <v:imagedata r:id="rId9" o:title=""/>
                </v:shape>
                <o:OLEObject Type="Embed" ProgID="FoxitPhantomPDF.Document" ShapeID="ole_rId8" DrawAspect="Content" ObjectID="_404253392" r:id="rId8"/>
              </w:object>
            </w:r>
            <w:r>
              <w:rPr>
                <w:rFonts w:eastAsia="Times New Roman" w:cs="Times New Roman" w:ascii="Times New Roman" w:hAnsi="Times New Roman"/>
                <w:color w:val="000000"/>
                <w:w w:val="0"/>
                <w:sz w:val="0"/>
                <w:szCs w:val="0"/>
                <w:u w:val="none" w:color="000000"/>
                <w:shd w:fill="000000" w:val="clear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color w:val="000000"/>
                <w:w w:val="0"/>
                <w:sz w:val="0"/>
                <w:szCs w:val="0"/>
                <w:u w:val="none" w:color="000000"/>
                <w:shd w:fill="000000" w:val="clear"/>
              </w:rPr>
              <w:drawing>
                <wp:inline distT="0" distB="0" distL="19050" distR="0">
                  <wp:extent cx="1562100" cy="2148205"/>
                  <wp:effectExtent l="0" t="0" r="0" b="0"/>
                  <wp:docPr id="7" name="Рисунок 11" descr="D:\Для чтения\Патенты\2015616888_Программа сбора и анализа данных сварочных установок_2015г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1" descr="D:\Для чтения\Патенты\2015616888_Программа сбора и анализа данных сварочных установок_2015г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Системы термостабилизации грунта предъявляют особые требования к герметичности и механической прочности сварных швов, поскольку в процессе эксплуатации изделия находятся под избыточным давлением. «Фундаментстройаркос» остановил свой выбор на разработке института Патона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/>
                <w:sz w:val="24"/>
                <w:szCs w:val="24"/>
              </w:rPr>
              <w:t>автоматической сварке дугой, вращающейся в магнитном поле. Перед вами первая мобильная сварочная головка, разработанная специально для полевых работ в условиях Крайнего Севера. Программное обеспечение для компьютерного контроля качества сварного шва максимально исключает возможность брака. Каждый сваренный шов анализируется программой и имеет своего автора.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Сегодня в арсенале компании целый ряд модификаций современных сварочных установок.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А теперь приглашаем вас поближе познакомиться с технологиями охлаждения грунта  «Фундаментстройаркоса».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0">
                  <wp:extent cx="2800350" cy="2099945"/>
                  <wp:effectExtent l="0" t="0" r="0" b="0"/>
                  <wp:docPr id="8" name="Рисунок 15" descr="D:\Мои документы\НАРУЖКА\демозал_МАТМАСЫ\МУЗЕУМ\DSCN7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5" descr="D:\Мои документы\НАРУЖКА\демозал_МАТМАСЫ\МУЗЕУМ\DSCN71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Итак, мы с вами переместились в царство вечной мерзлоты.  Сейчас температура воздуха на поверхности минус 40 градусов. А здесь, в вечномерзлых грунтах, гораздо теплее – всего минус 3. Скоро над тундрой будет проложен нефтепровод. Его устойчивости может угрожать не только почти нулевая температура грунта, но и ледяные линзы, а также сильная засоленность. Значит, пришло время позаботиться о прочном основании для опор будущего сооружения.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Эти стальные трубы, рядом со сваями, а так</w:t>
            </w:r>
            <w:bookmarkStart w:id="0" w:name="_GoBack"/>
            <w:bookmarkEnd w:id="0"/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же внутри самих свай и есть термостабилизаторы. Их задача – перенос холода наружного воздуха в грунты основания. За продолжительную северную зиму термостабилизаторы дополнительно понизят температуру грунта, укрепив основание перед летним сезоном.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Несмотря на внешнюю простоту, устройство эффективно и надежно. Обратите внимание на качество сварных стыков, выполненных на автоматических установках, и защитное цинковое покрытие. Срок службы термостабилизатора рассчитан на срок службы самого объекта.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b/>
                <w:i/>
                <w:sz w:val="24"/>
                <w:szCs w:val="24"/>
              </w:rPr>
              <w:t>Зона ступенек: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Давайте выйдем на поверхность, сделав пару шагов наверх по этим ступеням. 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Нужно ли говорить о том, каких усилий стоит построить трубопровод за тысячи километров от дорог и жилья. А теперь представьте себе, что вечномерзлый грунт в его основании вдруг «поплыл», опоры трубопровода покосились, произошел прорыв и тысячи тонн нефти вырвались наружу...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По счастью, всё это лишь наши с вами фантазии. Катастрофы не произойдет, ведь грунты под трубопроводом надежно заморожены термостабилизаторами.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9525">
                  <wp:extent cx="2962275" cy="2221230"/>
                  <wp:effectExtent l="0" t="0" r="0" b="0"/>
                  <wp:docPr id="9" name="Изображение2" descr="D:\Мои документы\НАРУЖКА\демозал_МАТМАСЫ\МУЗЕУМ\DSCN71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2" descr="D:\Мои документы\НАРУЖКА\демозал_МАТМАСЫ\МУЗЕУМ\DSCN71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строительства магистрального нефтепровода Ванкор – НПС «Пурпе», протяженностью 543 км, половина из которых – вечная мерзлота, было изготовлено 64 тысяч индивидуальных термостабилизаторов. Это был второй по величине объект, построенный на вечной мерзлоте, после Трансаляскинского нефтепровода.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Позже его опередил самый северный нефтепровод Заполярье – Пурпе, где протяженность участка вечной мерзлоты составила около четырехсот км. В его опоры встало более 118 000 тысяч термостабилизаторов.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Перед вами другое техническое решение «Фундаментстройаркоса» – вертикальная системы охлаждения ВЕТ – уникальное запатентованное устройство, которое, на ряду с системой ГЕТ,  кардинально изменило проектирование объектов на вечной мерзлоте. Система ВЕТ отличается от системы ГЕТ наличием вертикальных охлаждающих труб.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Благодаря этим системам можно возводить здания и сооружения без проветриваемого подполья, с минимальным количеством свай, а то и вовсе без них. Всё это экономит значительные средства и ускоряет ввод объектов в эксплуатацию.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3175">
                  <wp:extent cx="3292475" cy="1530350"/>
                  <wp:effectExtent l="0" t="0" r="0" b="0"/>
                  <wp:docPr id="10" name="Рисунок 8" descr="D:\Обмен\Плакаты А2_для Музея\Плакаты А2_для Музея_с серыми рамками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8" descr="D:\Обмен\Плакаты А2_для Музея\Плакаты А2_для Музея_с серыми рамками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475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9525">
                  <wp:extent cx="3629025" cy="1256665"/>
                  <wp:effectExtent l="0" t="0" r="0" b="0"/>
                  <wp:docPr id="11" name="Рисунок 10" descr="D:\Обмен\Плакаты А2_для Музея\Плакаты А2_для Музея_с серыми рамками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 descr="D:\Обмен\Плакаты А2_для Музея\Плакаты А2_для Музея_с серыми рамками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12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8890">
                  <wp:extent cx="2829560" cy="1294765"/>
                  <wp:effectExtent l="0" t="0" r="0" b="0"/>
                  <wp:docPr id="12" name="Изображение3" descr="D:\Обмен\Плакаты А2_для Музея\Плакаты А2_для Музея_с серыми рамками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3" descr="D:\Обмен\Плакаты А2_для Музея\Плакаты А2_для Музея_с серыми рамками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560" cy="129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Системы термостабилизации «Фундаментстройаркоса» работают на сотнях объектов по всему российскому Северу. Достаточно взглянуть на фотогалерею, запечатлевшую лишь малую часть проектов, реализованных за четверть века. 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 Уренгойском месторождении впервые были применены горизонтальные системы ГЕТ для резервуаров с насыпными охлаждаемыми основаниями. Позднее там же появились вертикальные системы ВЕТ для дожимных компрессорных станций. Здесь же, на Уренгойском месторождении, при ремонте трубопроводных эстакад впервые были массово использованы индивидуальные термостабилизаторы. 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Положительный опыт Уренгоя нашел продолжение при реконструкции объектов Ямбургского месторождения и при строительстве резервуарного парка Сандибинского месторождения.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 обустройстве Самбургского месторождения впервые все объекты были построены на основаниях с применением систем температурной стабилизации. Это был прорыв, после которого ни у кого не осталось сомнений – будущее за новой технологией.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Далее последовали такие гиганты как Бованенковское и Ванкорское месторождения. Здесь впервые были применены опыт строительства укрупненных сблокированных зданий и масштабная термостабилизация кустов газовых скважин.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Уникальные проекты были выполнены для алмазодобывающей компании «АЛРОСА» в Якутии. В частности, была укреплена плотина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Вилюйской ГЭС-3. Благодаря специально разработанной коллекторной системе с охлаждающими трубами, глубиной 60 метров, удалось </w:t>
            </w:r>
            <w:r>
              <w:rPr>
                <w:rFonts w:ascii="Times New Roman" w:hAnsi="Times New Roman"/>
                <w:color w:val="222222"/>
                <w:sz w:val="24"/>
                <w:szCs w:val="24"/>
              </w:rPr>
              <w:t xml:space="preserve">вморозить плотину в скальные грунты берега, и тем самым остановить фильтрацию грунтовых вод. </w:t>
            </w:r>
          </w:p>
          <w:p>
            <w:pPr>
              <w:pStyle w:val="Normal"/>
              <w:spacing w:lineRule="auto" w:line="240" w:before="0" w:after="0"/>
              <w:ind w:firstLine="709"/>
              <w:jc w:val="both"/>
              <w:rPr>
                <w:rFonts w:ascii="Times New Roman" w:hAnsi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Важнейшим направлением работы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«Фундаментстройаркоса» </w:t>
            </w:r>
            <w:r>
              <w:rPr>
                <w:rFonts w:ascii="Times New Roman" w:hAnsi="Times New Roman"/>
                <w:sz w:val="24"/>
                <w:szCs w:val="24"/>
              </w:rPr>
              <w:t>является температурная стабилизация объектов на углеводородных месторождениях полуострова Ямал: Бованенковского, Новопортовского, Южно-Тамбейского. Перед вами кусты скважин, компрессорные станции и установки комплексной подготовки газа, получившие надежный фундамент на долгие годы.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А нам пора пройти в следующий зал.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19050" distR="0">
                  <wp:extent cx="3200400" cy="2399665"/>
                  <wp:effectExtent l="0" t="0" r="0" b="0"/>
                  <wp:docPr id="13" name="Изображение4" descr="D:\Мои документы\НАРУЖКА\демозал_МАТМАСЫ\МУЗЕУМ\DSCN7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4" descr="D:\Мои документы\НАРУЖКА\демозал_МАТМАСЫ\МУЗЕУМ\DSCN71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9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Пришло время нам проститься с тундрой, чтобы посмотреть, как живет и творит команда «Фундаментстройаркоса» сегодня.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За четверть века компания превратилась в мощное научно-производственное предприятие. Мы работаем по всей стране, а нашими партнерами являются лидеры экономики России. 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/>
              <w:drawing>
                <wp:inline distT="0" distB="0" distL="19050" distR="0">
                  <wp:extent cx="3222625" cy="2416175"/>
                  <wp:effectExtent l="0" t="0" r="0" b="0"/>
                  <wp:docPr id="14" name="Изображение5" descr="D:\Мои документы\НАРУЖКА\демозал_МАТМАСЫ\МУЗЕУМ\DSCN71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5" descr="D:\Мои документы\НАРУЖКА\демозал_МАТМАСЫ\МУЗЕУМ\DSCN71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62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В то же время мы не забываем про наш девиз: «Сохраняя вечное – строим будущее». Для строительства будущего нужен прочный фундамент и сделать это может лишь наука. Поэтому исследования продолжаются и наглядным подтверждением тому могут служить новые патенты, полученные компанией.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/>
              <w:drawing>
                <wp:inline distT="0" distB="0" distL="19050" distR="9525">
                  <wp:extent cx="2352675" cy="3137535"/>
                  <wp:effectExtent l="0" t="0" r="0" b="0"/>
                  <wp:docPr id="15" name="Изображение6" descr="D:\Мои документы\НАРУЖКА\демозал_МАТМАСЫ\МУЗЕУМ\DSCN71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6" descr="D:\Мои документы\НАРУЖКА\демозал_МАТМАСЫ\МУЗЕУМ\DSCN71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eastAsia="Calibri" w:ascii="Times New Roman" w:hAnsi="Times New Roman" w:eastAsiaTheme="minorHAnsi"/>
                <w:sz w:val="24"/>
                <w:szCs w:val="24"/>
              </w:rPr>
              <w:t xml:space="preserve">         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Сегодня «Фундаментстройаркос» превратился в настоящий центр мерзлотоведения. На базе компании регулярно проводятся научно-практические конференции, в которых принимают участие ведущие специалисты со всей России и из-за рубежа. 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Целью таких встреч является обсуждение проблем и обмен опытом по предотвращению негативного влияния криогенных процессов на строящиеся и эксплуатирующиеся инженерные сооружения. 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/>
              <w:drawing>
                <wp:inline distT="0" distB="0" distL="19050" distR="8890">
                  <wp:extent cx="2391410" cy="3188970"/>
                  <wp:effectExtent l="0" t="0" r="0" b="0"/>
                  <wp:docPr id="16" name="Рисунок 6" descr="D:\Мои документы\НАРУЖКА\демозал_МАТМАСЫ\МУЗЕУМ\DSCN71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6" descr="D:\Мои документы\НАРУЖКА\демозал_МАТМАСЫ\МУЗЕУМ\DSCN71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410" cy="318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Секрет успеха «Фундаментстройаркоса» – в стратегическом видении руководства компании. Поэтому большое внимание уделяется внедрению новейших технологий и оборудования, а также инвестициям в человеческий капитал.</w:t>
            </w:r>
          </w:p>
          <w:p>
            <w:pPr>
              <w:pStyle w:val="Normal"/>
              <w:spacing w:lineRule="auto" w:line="240" w:before="0" w:after="0"/>
              <w:ind w:firstLine="567"/>
              <w:jc w:val="both"/>
              <w:rPr/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Достаточно взглянуть на эти снимки, чтобы понять, какой технологический скачок совершила компания за эту четверть века.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Коллектив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«Фундаментстройаркоса»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вырос до 700 человек, созданы мощности по выпуску до 100 систем ГЕТ и ВЕТ и до 10 тыс. термостабилизаторов.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12:14.876(9.332)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485 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>За четверть века изготовлено и установлено более 3500 систем ГЕТ и ВЕТ, более 450 тыс. термостабилизаторов. Заморожены грунты на площади свыше 3 млн кв. м, общим объемом 30 млн кубометров.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Переход на оцинкование термостабилизаторов и подземной части систем ГЕТ и ВЕТ позволили довести срок эксплуатации до 50 лет. На всех объектах мониторинга введен тепловизионный контроль, разработана автоматическая система вакуумирования и заправки термостабилизаторов.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Перед вами сварка в цеху – раньше и теперь. А вот мобильный сварочный комплекс – прежде и сегодня. На экране сменяют одна другую фотографии новейшего оборудования и технологий, применяемых компанией.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Особое внимание традиционно уделяется связи с вузами как научными учреждениями и источником кадров. Особое место в этом ряду неизменно занимают Тюменский государственный архитектурно-строительный университет и Тюменский государственный нефтегазовый университет, объединившиеся в 2016 году в Тюменский индустриальный университет. Выпускники этих вузов составляют большую часть коллектива компании. 22 декабря 2004 года в главном корпусе нефтегазового университета по улице Володарского, 56 была открыта именная аудитория «Фундаментстройаркоса».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Мы добились успеха и готовы поделиться его плодами. «Фундаментстройаркос» регулярно помогает детям, инвалидам, ветеранам, спортивным и культурным организациям, религиозным общинам и слышит слова благодарности в свой адрес.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/>
              <w:drawing>
                <wp:inline distT="0" distB="0" distL="19050" distR="3175">
                  <wp:extent cx="2835275" cy="3781425"/>
                  <wp:effectExtent l="0" t="0" r="0" b="0"/>
                  <wp:docPr id="17" name="Рисунок 7" descr="D:\Мои документы\НАРУЖКА\демозал_МАТМАСЫ\МУЗЕУМ\DSCN71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7" descr="D:\Мои документы\НАРУЖКА\демозал_МАТМАСЫ\МУЗЕУМ\DSCN71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27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 xml:space="preserve">Благодарят нас и заказчики – те, ради кого мы работаем вот уже четверть века. «Газпром», «Газпром нефть», «Ванкорнефть» – вновь перед нами лидеры экономики России. </w:t>
            </w:r>
            <w:r>
              <w:rPr>
                <w:rStyle w:val="Contenttext"/>
                <w:rFonts w:ascii="Times New Roman" w:hAnsi="Times New Roman"/>
                <w:color w:val="FF0000"/>
                <w:sz w:val="24"/>
                <w:szCs w:val="24"/>
              </w:rPr>
              <w:t>А лидеры всегда выбирают лучших партнеров и в этом залог их успеха. «Фундаментстройаркос» – сохраняя вечное, строим будущее.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97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  <w:t>Строительный Атлас</w:t>
            </w:r>
          </w:p>
          <w:p>
            <w:pPr>
              <w:pStyle w:val="Normal"/>
              <w:spacing w:lineRule="auto" w:line="240" w:before="0" w:after="0"/>
              <w:rPr>
                <w:lang w:eastAsia="ru-RU"/>
              </w:rPr>
            </w:pPr>
            <w:r>
              <w:rPr>
                <w:lang w:eastAsia="ru-RU"/>
              </w:rPr>
            </w:r>
          </w:p>
        </w:tc>
        <w:tc>
          <w:tcPr>
            <w:tcW w:w="4940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Style w:val="Contenttext"/>
                <w:rFonts w:ascii="Times New Roman" w:hAnsi="Times New Roman"/>
                <w:sz w:val="24"/>
                <w:szCs w:val="24"/>
              </w:rPr>
              <w:t>Обратите внимание на это уникальное издание. В нем представлена история строительной отрасли России с древнейших времен. Второй том посвящен тем, кто творит эту историю в наши дни. Почетное место в этом ряду занимает «Фундаментстройаркос».</w:t>
            </w:r>
          </w:p>
          <w:p>
            <w:pPr>
              <w:pStyle w:val="ListParagraph"/>
              <w:spacing w:lineRule="auto" w:line="240" w:before="0" w:after="0"/>
              <w:ind w:left="0" w:firstLine="709"/>
              <w:contextualSpacing/>
              <w:jc w:val="both"/>
              <w:rPr>
                <w:rStyle w:val="Contenttext"/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841dc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ru-RU" w:eastAsia="en-US" w:bidi="ar-SA"/>
    </w:rPr>
  </w:style>
  <w:style w:type="paragraph" w:styleId="2">
    <w:name w:val="Heading 2"/>
    <w:basedOn w:val="Normal"/>
    <w:link w:val="20"/>
    <w:uiPriority w:val="99"/>
    <w:qFormat/>
    <w:rsid w:val="000f3d4a"/>
    <w:pPr>
      <w:keepNext/>
      <w:keepLines/>
      <w:spacing w:before="200" w:after="0"/>
      <w:outlineLvl w:val="1"/>
    </w:pPr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ntenttext" w:customStyle="1">
    <w:name w:val="content_text"/>
    <w:basedOn w:val="DefaultParagraphFont"/>
    <w:uiPriority w:val="99"/>
    <w:qFormat/>
    <w:rsid w:val="00a85949"/>
    <w:rPr>
      <w:rFonts w:cs="Times New Roman"/>
    </w:rPr>
  </w:style>
  <w:style w:type="character" w:styleId="Style13" w:customStyle="1">
    <w:name w:val="Текст выноски Знак"/>
    <w:basedOn w:val="DefaultParagraphFont"/>
    <w:link w:val="a5"/>
    <w:uiPriority w:val="99"/>
    <w:semiHidden/>
    <w:qFormat/>
    <w:rsid w:val="00a85949"/>
    <w:rPr>
      <w:rFonts w:ascii="Tahoma" w:hAnsi="Tahoma" w:cs="Tahoma"/>
      <w:sz w:val="16"/>
      <w:szCs w:val="16"/>
    </w:rPr>
  </w:style>
  <w:style w:type="character" w:styleId="21" w:customStyle="1">
    <w:name w:val="Заголовок 2 Знак"/>
    <w:basedOn w:val="DefaultParagraphFont"/>
    <w:link w:val="2"/>
    <w:uiPriority w:val="99"/>
    <w:qFormat/>
    <w:rsid w:val="000f3d4a"/>
    <w:rPr>
      <w:rFonts w:ascii="Cambria" w:hAnsi="Cambria" w:eastAsia="Times New Roman" w:cs="Times New Roman"/>
      <w:b/>
      <w:bCs/>
      <w:color w:val="4F81BD"/>
      <w:sz w:val="26"/>
      <w:szCs w:val="26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99"/>
    <w:qFormat/>
    <w:rsid w:val="00a85949"/>
    <w:pPr>
      <w:spacing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a8594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a8594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oleObject" Target="embeddings/oleObject1.bin"/><Relationship Id="rId9" Type="http://schemas.openxmlformats.org/officeDocument/2006/relationships/image" Target="media/image7.emf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Application>LibreOffice/5.1.6.2$Linux_X86_64 LibreOffice_project/10m0$Build-2</Application>
  <Pages>8</Pages>
  <Words>1599</Words>
  <Characters>11240</Characters>
  <CharactersWithSpaces>12888</CharactersWithSpaces>
  <Paragraphs>71</Paragraphs>
  <Company>RePack by SPecialiST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2016-07-01T12:13:00Z</dcterms:created>
  <dc:creator>aup8</dc:creator>
  <dc:description/>
  <dc:language>ru-RU</dc:language>
  <cp:lastModifiedBy/>
  <cp:lastPrinted>2016-07-11T08:19:00Z</cp:lastPrinted>
  <dcterms:modified xsi:type="dcterms:W3CDTF">2018-06-15T00:34:42Z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RePack by SPecialiST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