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מחקר שולחני — חינוך ביתי בישראל</w:t>
      </w:r>
    </w:p>
    <w:p>
      <w:pPr/>
      <w:r>
        <w:t xml:space="preserve">Oct 13, 2026</w:t>
      </w:r>
      <w:r>
        <w:t xml:space="preserve"> · </w:t>
      </w:r>
      <w:r>
        <w:t xml:space="preserve">@Adam Kurgan</w:t>
      </w:r>
    </w:p>
    <w:p>
      <w:pPr>
        <w:pStyle w:val="Heading2"/>
        <w:bidi/>
      </w:pPr>
      <w:r>
        <w:rPr>
          <w:rtl/>
        </w:rPr>
        <w:t xml:space="preserve">תקציר והמלצה</w:t>
      </w:r>
    </w:p>
    <w:p>
      <w:pPr>
        <w:bidi/>
      </w:pPr>
      <w:r>
        <w:rPr>
          <w:b/>
          <w:rtl/>
        </w:rPr>
        <w:t xml:space="preserve">המלצה: הדרישה המרכזית ל-12 החודשים הקרובים היא תיקון הוראת הקבע 0274, ולא חקיקה חדשה.</w:t>
      </w:r>
      <w:r>
        <w:rPr>
          <w:rtl/>
        </w:rPr>
        <w:t xml:space="preserve"> תיקון חוזר מנכ"ל הוא בסמכות המשרד ולא דורש רוב בכנסת. הוא גם כבר תוקן בעבר בעקבות עתירה (2009).</w:t>
      </w:r>
    </w:p>
    <w:p>
      <w:pPr>
        <w:bidi/>
      </w:pPr>
      <w:r>
        <w:rPr>
          <w:rtl/>
        </w:rPr>
        <w:t xml:space="preserve">התיקון המוצע כולל חמישה רכיבים:</w:t>
      </w:r>
    </w:p>
    <w:p>
      <w:pPr>
        <w:pStyle w:val="ListParagraph"/>
        <w:numPr>
          <w:ilvl w:val="0"/>
          <w:numId w:val="2"/>
        </w:numPr>
        <w:bidi/>
      </w:pPr>
      <w:r>
        <w:rPr>
          <w:rtl/>
        </w:rPr>
        <w:t xml:space="preserve">להחליף את המבחן הסובייקטיבי של "השקפת עולם מגובשת" בקריטריונים שקופים שנוגעים לתוכנית החינוך ולטובת הילד.</w:t>
      </w:r>
    </w:p>
    <w:p>
      <w:pPr>
        <w:pStyle w:val="ListParagraph"/>
        <w:numPr>
          <w:ilvl w:val="0"/>
          <w:numId w:val="2"/>
        </w:numPr>
        <w:bidi/>
      </w:pPr>
      <w:r>
        <w:rPr>
          <w:rtl/>
        </w:rPr>
        <w:t xml:space="preserve">לקבוע מועד מחייב להחלטה, לפני פתיחת שנת הלימודים.</w:t>
      </w:r>
    </w:p>
    <w:p>
      <w:pPr>
        <w:pStyle w:val="ListParagraph"/>
        <w:numPr>
          <w:ilvl w:val="0"/>
          <w:numId w:val="2"/>
        </w:numPr>
        <w:bidi/>
      </w:pPr>
      <w:r>
        <w:rPr>
          <w:rtl/>
        </w:rPr>
        <w:t xml:space="preserve">לקבוע ערר בפני גורם שאינו המשרד עצמו. היום הערר מוגש למנכ"ל, והחלטתו סופית.</w:t>
      </w:r>
    </w:p>
    <w:p>
      <w:pPr>
        <w:pStyle w:val="ListParagraph"/>
        <w:numPr>
          <w:ilvl w:val="0"/>
          <w:numId w:val="2"/>
        </w:numPr>
        <w:bidi/>
      </w:pPr>
      <w:r>
        <w:rPr>
          <w:rtl/>
        </w:rPr>
        <w:t xml:space="preserve">לקבוע פיקוח מדורג ומידתי בסגנון ניו יורק, ולהוסיף תיאום עם הרווחה רק לילדים שכבר מוכרים לה.</w:t>
      </w:r>
    </w:p>
    <w:p>
      <w:pPr>
        <w:pStyle w:val="ListParagraph"/>
        <w:numPr>
          <w:ilvl w:val="0"/>
          <w:numId w:val="2"/>
        </w:numPr>
        <w:bidi/>
      </w:pPr>
      <w:r>
        <w:rPr>
          <w:rtl/>
        </w:rPr>
        <w:t xml:space="preserve">לפרסם נתונים שנתיים.</w:t>
      </w:r>
    </w:p>
    <w:p>
      <w:pPr>
        <w:bidi/>
      </w:pPr>
      <w:r>
        <w:rPr>
          <w:b/>
          <w:rtl/>
        </w:rPr>
        <w:t xml:space="preserve">הממצאים שתומכים בהמלצה:</w:t>
      </w:r>
    </w:p>
    <w:p>
      <w:pPr>
        <w:pStyle w:val="ListParagraph"/>
        <w:numPr>
          <w:ilvl w:val="0"/>
          <w:numId w:val="3"/>
        </w:numPr>
        <w:bidi/>
      </w:pPr>
      <w:r>
        <w:rPr>
          <w:b/>
          <w:rtl/>
        </w:rPr>
        <w:t xml:space="preserve">המצב המשפטי:</w:t>
      </w:r>
      <w:r>
        <w:rPr>
          <w:rtl/>
        </w:rPr>
        <w:t xml:space="preserve"> הפטור הוא חריג שתלוי בשיקול דעת של מנהל המחוז, והערר פנימי בלבד. זו נקודת התורפה העיקרית מבחינת מנהל תקין (ציר א).</w:t>
      </w:r>
    </w:p>
    <w:p>
      <w:pPr>
        <w:pStyle w:val="ListParagraph"/>
        <w:numPr>
          <w:ilvl w:val="0"/>
          <w:numId w:val="3"/>
        </w:numPr>
        <w:bidi/>
      </w:pPr>
      <w:r>
        <w:rPr>
          <w:b/>
          <w:rtl/>
        </w:rPr>
        <w:t xml:space="preserve">הנתונים:</w:t>
      </w:r>
      <w:r>
        <w:rPr>
          <w:rtl/>
        </w:rPr>
        <w:t xml:space="preserve"> מספר הילדים עם פטור עלה מ-576 ל-1,150 בין 2015/16 ל-2018/19, וכנראה עבר את 2,400 אחרי הקורונה. מאז 2019 אין נתונים רשמיים ואין שום נתון על דחיות. ההיעדר הזה הוא עצמו טיעון לשקיפות (ציר ב).</w:t>
      </w:r>
    </w:p>
    <w:p>
      <w:pPr>
        <w:pStyle w:val="ListParagraph"/>
        <w:numPr>
          <w:ilvl w:val="0"/>
          <w:numId w:val="3"/>
        </w:numPr>
        <w:bidi/>
      </w:pPr>
      <w:r>
        <w:rPr>
          <w:b/>
          <w:rtl/>
        </w:rPr>
        <w:t xml:space="preserve">ההשוואה הבינלאומית:</w:t>
      </w:r>
      <w:r>
        <w:rPr>
          <w:rtl/>
        </w:rPr>
        <w:t xml:space="preserve"> אישור מראש שתלוי בשיקול דעת, כמו בצרפת, הוביל לעומס ולהתדיינות. במקביל, כל החמרה שנבדקה נולדה ממקרה של פגיעה בילד (ציר ג).</w:t>
      </w:r>
    </w:p>
    <w:p>
      <w:pPr>
        <w:pStyle w:val="ListParagraph"/>
        <w:numPr>
          <w:ilvl w:val="0"/>
          <w:numId w:val="3"/>
        </w:numPr>
        <w:bidi/>
      </w:pPr>
      <w:r>
        <w:rPr>
          <w:b/>
          <w:rtl/>
        </w:rPr>
        <w:t xml:space="preserve">המחקר האקדמי:</w:t>
      </w:r>
      <w:r>
        <w:rPr>
          <w:rtl/>
        </w:rPr>
        <w:t xml:space="preserve"> אין ראיות לנזק בממוצע, אבל גם אין ראיות לעליונות. לכן כדאי לבסס את הטיעון על מידתיות ושקיפות, ולא על עדיפות של חינוך ביתי (ציר ד).</w:t>
      </w:r>
    </w:p>
    <w:p>
      <w:pPr>
        <w:pStyle w:val="ListParagraph"/>
        <w:numPr>
          <w:ilvl w:val="0"/>
          <w:numId w:val="3"/>
        </w:numPr>
        <w:bidi/>
      </w:pPr>
      <w:r>
        <w:rPr>
          <w:b/>
          <w:rtl/>
        </w:rPr>
        <w:t xml:space="preserve">השחקנים:</w:t>
      </w:r>
      <w:r>
        <w:rPr>
          <w:rtl/>
        </w:rPr>
        <w:t xml:space="preserve"> ההתנגדות המתועדת עוסקת בכתות ובפיקוח. מהלך שמציע בעצמו מנגנון להגנה על ילדים עונה על הטיעון הזה עוד לפני שעולה נגדו.</w:t>
      </w:r>
    </w:p>
    <w:p>
      <w:pPr>
        <w:bidi/>
      </w:pPr>
      <w:r>
        <w:rPr>
          <w:b/>
          <w:rtl/>
        </w:rPr>
        <w:t xml:space="preserve">רמת הוודאות:</w:t>
      </w:r>
      <w:r>
        <w:rPr>
          <w:rtl/>
        </w:rPr>
        <w:t xml:space="preserve"> הממצאים מבוססים על מחקר שולחני של כ-20 דקות. נוסח החוזר ומסמכי מרכז המחקר של הכנסת עדיין לא אומתו מול המקור, כי האתרים נחסמו מחוץ לישראל. הרשימה של מה שצריך לאמת נמצאת בסעיף "פערים".</w:t>
      </w:r>
    </w:p>
    <w:p>
      <w:pPr>
        <w:pStyle w:val="Heading2"/>
        <w:bidi/>
      </w:pPr>
      <w:r>
        <w:rPr>
          <w:rtl/>
        </w:rPr>
        <w:t xml:space="preserve">ציר א — החוק והרגולציה</w:t>
      </w:r>
    </w:p>
    <w:p>
      <w:pPr>
        <w:bidi/>
      </w:pPr>
      <w:r>
        <w:rPr>
          <w:rtl/>
        </w:rPr>
        <w:t xml:space="preserve">חינוך ביתי בישראל מוסדר כחריג מנהלי, ולא כזכות שקבועה בחוק. הפטור תלוי בשיקול הדעת של מנהל המחוז, והערר על החלטתו הוא פנימי בלבד.</w:t>
      </w:r>
    </w:p>
    <w:p>
      <w:pPr>
        <w:pStyle w:val="ListParagraph"/>
        <w:numPr>
          <w:ilvl w:val="0"/>
          <w:numId w:val="4"/>
        </w:numPr>
        <w:bidi/>
      </w:pPr>
      <w:r>
        <w:rPr>
          <w:b/>
          <w:rtl/>
        </w:rPr>
        <w:t xml:space="preserve">החוק:</w:t>
      </w:r>
      <w:r>
        <w:rPr>
          <w:rtl/>
        </w:rPr>
        <w:t xml:space="preserve"> סעיף 4(א) ל</w:t>
      </w:r>
      <w:hyperlink r:id="rId3" w:history="1">
        <w:r>
          <w:rPr>
            <w:rStyle w:val="Hyperlink"/>
            <w:rtl/>
          </w:rPr>
          <w:t xml:space="preserve">חוק לימוד חובה</w:t>
        </w:r>
      </w:hyperlink>
      <w:r>
        <w:rPr>
          <w:rtl/>
        </w:rPr>
        <w:t xml:space="preserve"> מחייב לימוד סדיר במוסד חינוך מוכר. סעיף 5(ב)(1) מאפשר לשר לתת פטור כשיש "טעמים מיוחדים", ולקבוע תנאים וסייגים. הסמכות הואצלה למנכ"ל ולמנהלי המחוזות. הציטוט לקוח מויקיטקסט, ועדיין לא נבדק מול הנוסח הרשמי.</w:t>
      </w:r>
    </w:p>
    <w:p>
      <w:pPr>
        <w:pStyle w:val="ListParagraph"/>
        <w:numPr>
          <w:ilvl w:val="0"/>
          <w:numId w:val="4"/>
        </w:numPr>
        <w:bidi/>
      </w:pPr>
      <w:r>
        <w:rPr>
          <w:b/>
          <w:rtl/>
        </w:rPr>
        <w:t xml:space="preserve">החוזר:</w:t>
      </w:r>
      <w:r>
        <w:rPr>
          <w:rtl/>
        </w:rPr>
        <w:t xml:space="preserve"> הוראת קבע 0274, "פטור מחוק לימוד חובה לשם חינוך ביתי", מ-6.10.2021. המידע מגיע מ</w:t>
      </w:r>
      <w:hyperlink r:id="rId4" w:history="1">
        <w:r>
          <w:rPr>
            <w:rStyle w:val="Hyperlink"/>
            <w:rtl/>
          </w:rPr>
          <w:t xml:space="preserve">נייר עמדה של המרכז לנפגעי כתות</w:t>
        </w:r>
      </w:hyperlink>
      <w:r>
        <w:rPr>
          <w:rtl/>
        </w:rPr>
        <w:t xml:space="preserve">. אתר החוזר עצמו חסם גישה מחוץ לישראל, ולכן המספר והתאריך טרם אומתו. היו לו גרסאות קודמות ב-2002, ב-2006 וב-2009.</w:t>
      </w:r>
    </w:p>
    <w:p>
      <w:pPr>
        <w:pStyle w:val="ListParagraph"/>
        <w:numPr>
          <w:ilvl w:val="0"/>
          <w:numId w:val="4"/>
        </w:numPr>
        <w:bidi/>
      </w:pPr>
      <w:r>
        <w:rPr>
          <w:b/>
          <w:rtl/>
        </w:rPr>
        <w:t xml:space="preserve">היחידה המטפלת:</w:t>
      </w:r>
      <w:r>
        <w:rPr>
          <w:rtl/>
        </w:rPr>
        <w:t xml:space="preserve"> אגף יישומי חוק ומדיניות בחינוך, במינהל הפדגוגי (</w:t>
      </w:r>
      <w:hyperlink r:id="rId5" w:history="1">
        <w:r>
          <w:rPr>
            <w:rStyle w:val="Hyperlink"/>
            <w:rtl/>
          </w:rPr>
          <w:t xml:space="preserve">טופס הבקשה</w:t>
        </w:r>
      </w:hyperlink>
      <w:r>
        <w:rPr>
          <w:rtl/>
        </w:rPr>
        <w:t xml:space="preserve">).</w:t>
      </w:r>
    </w:p>
    <w:p>
      <w:pPr>
        <w:pStyle w:val="ListParagraph"/>
        <w:numPr>
          <w:ilvl w:val="0"/>
          <w:numId w:val="4"/>
        </w:numPr>
        <w:bidi/>
      </w:pPr>
      <w:r>
        <w:rPr>
          <w:b/>
          <w:rtl/>
        </w:rPr>
        <w:t xml:space="preserve">תנאי הסף:</w:t>
      </w:r>
      <w:r>
        <w:rPr>
          <w:rtl/>
        </w:rPr>
        <w:t xml:space="preserve"> פטור ניתן "במקרים חריגים", להורים שיש להם "השקפת עולם מגובשת" ששוללת חינוך במוסד. הפטור מוגבל למשפחה אחת ולא לקבוצת משפחות, וסכסוך עם בית הספר אינו עילה. המקור הוא </w:t>
      </w:r>
      <w:hyperlink r:id="rId6" w:history="1">
        <w:r>
          <w:rPr>
            <w:rStyle w:val="Hyperlink"/>
            <w:rtl/>
          </w:rPr>
          <w:t xml:space="preserve">פורטל ההורים</w:t>
        </w:r>
      </w:hyperlink>
      <w:r>
        <w:rPr>
          <w:rtl/>
        </w:rPr>
        <w:t xml:space="preserve">.</w:t>
      </w:r>
    </w:p>
    <w:p>
      <w:pPr>
        <w:pStyle w:val="ListParagraph"/>
        <w:numPr>
          <w:ilvl w:val="0"/>
          <w:numId w:val="4"/>
        </w:numPr>
        <w:bidi/>
      </w:pPr>
      <w:r>
        <w:rPr>
          <w:b/>
          <w:rtl/>
        </w:rPr>
        <w:t xml:space="preserve">התהליך:</w:t>
      </w:r>
    </w:p>
    <w:p>
      <w:pPr>
        <w:pStyle w:val="ListParagraph"/>
        <w:numPr>
          <w:ilvl w:val="1"/>
          <w:numId w:val="5"/>
        </w:numPr>
        <w:bidi/>
      </w:pPr>
      <w:r>
        <w:rPr>
          <w:rtl/>
        </w:rPr>
        <w:t xml:space="preserve">מגישים בין 1.12 ל-30.4 לשנה שלאחריה, ומחדשים בכל שנה.</w:t>
      </w:r>
    </w:p>
    <w:p>
      <w:pPr>
        <w:pStyle w:val="ListParagraph"/>
        <w:numPr>
          <w:ilvl w:val="1"/>
          <w:numId w:val="5"/>
        </w:numPr>
        <w:bidi/>
      </w:pPr>
      <w:r>
        <w:rPr>
          <w:rtl/>
        </w:rPr>
        <w:t xml:space="preserve">מעבר בין שלבי חינוך מחייב בקשה חדשה.</w:t>
      </w:r>
    </w:p>
    <w:p>
      <w:pPr>
        <w:pStyle w:val="ListParagraph"/>
        <w:numPr>
          <w:ilvl w:val="1"/>
          <w:numId w:val="5"/>
        </w:numPr>
        <w:bidi/>
      </w:pPr>
      <w:r>
        <w:rPr>
          <w:rtl/>
        </w:rPr>
        <w:t xml:space="preserve">מפקח או רפרנט מבקר בבית, ומגיל 15 שומעים גם את עמדת הנער.</w:t>
      </w:r>
    </w:p>
    <w:p>
      <w:pPr>
        <w:pStyle w:val="ListParagraph"/>
        <w:numPr>
          <w:ilvl w:val="1"/>
          <w:numId w:val="5"/>
        </w:numPr>
        <w:bidi/>
      </w:pPr>
      <w:r>
        <w:rPr>
          <w:rtl/>
        </w:rPr>
        <w:t xml:space="preserve">מנהל המחוז מחליט. ערר מוגש תוך 14 יום למנכ"ל, והחלטתו סופית.</w:t>
      </w:r>
    </w:p>
    <w:p>
      <w:pPr>
        <w:pStyle w:val="ListParagraph"/>
        <w:numPr>
          <w:ilvl w:val="0"/>
          <w:numId w:val="4"/>
        </w:numPr>
        <w:bidi/>
      </w:pPr>
      <w:r>
        <w:rPr>
          <w:b/>
          <w:rtl/>
        </w:rPr>
        <w:t xml:space="preserve">פרטים שלא אומתו:</w:t>
      </w:r>
      <w:r>
        <w:rPr>
          <w:rtl/>
        </w:rPr>
        <w:t xml:space="preserve"> תוכנית הלימודים צריכה לכסות לפחות 55% מתחומי הידע שבתוכנית היסוד. בוועדה המחוזית יושבים עו"ס, מפקח, פסיכולוג ונציג של היחידה לילדים בסיכון. המקור הוא נייר העמדה של המרכז לנפגעי כתות.</w:t>
      </w:r>
    </w:p>
    <w:p>
      <w:pPr>
        <w:pStyle w:val="ListParagraph"/>
        <w:numPr>
          <w:ilvl w:val="0"/>
          <w:numId w:val="4"/>
        </w:numPr>
        <w:bidi/>
      </w:pPr>
      <w:r>
        <w:rPr>
          <w:b/>
          <w:rtl/>
        </w:rPr>
        <w:t xml:space="preserve">פסיקה:</w:t>
      </w:r>
      <w:r>
        <w:rPr>
          <w:rtl/>
        </w:rPr>
        <w:t xml:space="preserve"> בבג"ץ 6672/07 זיניגרד נ' משרד החינוך (2009) העתירה נמחקה אחרי שהחוזר תוקן. פסק הדין עצמו לא נפתח. לא נמצאה פסיקה מאוחרת יותר.</w:t>
      </w:r>
    </w:p>
    <w:p>
      <w:pPr>
        <w:pStyle w:val="ListParagraph"/>
        <w:numPr>
          <w:ilvl w:val="0"/>
          <w:numId w:val="4"/>
        </w:numPr>
        <w:bidi/>
      </w:pPr>
      <w:r>
        <w:rPr>
          <w:b/>
          <w:rtl/>
        </w:rPr>
        <w:t xml:space="preserve">כנסת:</w:t>
      </w:r>
      <w:r>
        <w:rPr>
          <w:rtl/>
        </w:rPr>
        <w:t xml:space="preserve"> מרכז המחקר והמידע של הכנסת פרסם שני מסמכים על חינוך ביתי (</w:t>
      </w:r>
      <w:hyperlink r:id="rId7" w:history="1">
        <w:r>
          <w:rPr>
            <w:rStyle w:val="Hyperlink"/>
            <w:rtl/>
          </w:rPr>
          <w:t xml:space="preserve">מסמך 1</w:t>
        </w:r>
      </w:hyperlink>
      <w:r>
        <w:rPr>
          <w:rtl/>
        </w:rPr>
        <w:t xml:space="preserve">, </w:t>
      </w:r>
      <w:hyperlink r:id="rId8" w:history="1">
        <w:r>
          <w:rPr>
            <w:rStyle w:val="Hyperlink"/>
            <w:rtl/>
          </w:rPr>
          <w:t xml:space="preserve">מסמך 2</w:t>
        </w:r>
      </w:hyperlink>
      <w:r>
        <w:rPr>
          <w:rtl/>
        </w:rPr>
        <w:t xml:space="preserve">). שניהם חסומים מחוץ לישראל. הוועדה לזכויות הילד דנה בנושא ב-2013, על רקע פרשת "לב טהור".</w:t>
      </w:r>
    </w:p>
    <w:p>
      <w:pPr>
        <w:bidi/>
      </w:pPr>
      <w:r>
        <w:rPr>
          <w:b/>
          <w:rtl/>
        </w:rPr>
        <w:t xml:space="preserve">משמעות למהלך:</w:t>
      </w:r>
      <w:r>
        <w:rPr>
          <w:rtl/>
        </w:rPr>
        <w:t xml:space="preserve"> הקריטריון של "השקפת עולם מגובשת" הוא סובייקטיבי. זו נקודת תורפה בולטת, וקל לתקוף אותה בטיעון של מנהל תקין.</w:t>
      </w:r>
    </w:p>
    <w:p>
      <w:pPr>
        <w:pStyle w:val="Heading2"/>
        <w:bidi/>
      </w:pPr>
      <w:r>
        <w:rPr>
          <w:rtl/>
        </w:rPr>
        <w:t xml:space="preserve">ציר ב — נתונים ציבוריים</w:t>
      </w:r>
    </w:p>
    <w:p>
      <w:pPr>
        <w:bidi/>
      </w:pPr>
      <w:r>
        <w:rPr>
          <w:rtl/>
        </w:rPr>
        <w:t xml:space="preserve">מספר הילדים עם פטור הוכפל פי שניים בתוך שלוש שנים: מ-576 בשנת 2015/16 ל-1,150 בשנת 2018/19. אחרי זה אין סדרת נתונים רשמית. הנתונים שנמצאו הם נתוני משרד החינוך כפי שפורסמו בעיתונות.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שנת לימודים</w:t>
            </w:r>
          </w:p>
        </w:tc>
        <w:tc>
          <w:tcPr>
            <w:tcW w:w="3120" w:type="dxa"/>
            <w:shd w:val="clear" w:color="auto" w:fill="F2F2F2"/>
          </w:tcPr>
          <w:p>
            <w:pPr>
              <w:bidi/>
            </w:pPr>
            <w:r>
              <w:rPr>
                <w:rtl/>
              </w:rPr>
              <w:t xml:space="preserve">ילדים עם פטור</w:t>
            </w:r>
          </w:p>
        </w:tc>
        <w:tc>
          <w:tcPr>
            <w:tcW w:w="3120" w:type="dxa"/>
            <w:shd w:val="clear" w:color="auto" w:fill="F2F2F2"/>
          </w:tcPr>
          <w:p>
            <w:pPr>
              <w:bidi/>
            </w:pPr>
            <w:r>
              <w:rPr>
                <w:rtl/>
              </w:rPr>
              <w:t xml:space="preserve">מקור</w:t>
            </w:r>
          </w:p>
        </w:tc>
      </w:tr>
      <w:tr>
        <w:tc>
          <w:tcPr>
            <w:tcW w:w="3120" w:type="dxa"/>
          </w:tcPr>
          <w:p>
            <w:pPr>
              <w:bidi/>
            </w:pPr>
            <w:r>
              <w:rPr>
                <w:rtl/>
              </w:rPr>
              <w:t xml:space="preserve">לא מתוארך (כנראה תשפ"א או תשפ"ב)</w:t>
            </w:r>
          </w:p>
        </w:tc>
        <w:tc>
          <w:tcPr>
            <w:tcW w:w="3120" w:type="dxa"/>
          </w:tcPr>
          <w:p>
            <w:pPr/>
            <w:r>
              <w:t xml:space="preserve">2,418</w:t>
            </w:r>
          </w:p>
        </w:tc>
        <w:tc>
          <w:tcPr>
            <w:tcW w:w="3120" w:type="dxa"/>
          </w:tcPr>
          <w:p>
            <w:pPr/>
            <w:hyperlink r:id="rId9" w:history="1">
              <w:r>
                <w:rPr>
                  <w:rStyle w:val="Hyperlink"/>
                </w:rPr>
                <w:t xml:space="preserve">ynet</w:t>
              </w:r>
            </w:hyperlink>
          </w:p>
        </w:tc>
      </w:tr>
      <w:tr>
        <w:tc>
          <w:tcPr>
            <w:tcW w:w="3120" w:type="dxa"/>
          </w:tcPr>
          <w:p>
            <w:pPr>
              <w:bidi/>
            </w:pPr>
            <w:r>
              <w:rPr>
                <w:rtl/>
              </w:rPr>
              <w:t xml:space="preserve">תשע"ט (2018/19)</w:t>
            </w:r>
          </w:p>
        </w:tc>
        <w:tc>
          <w:tcPr>
            <w:tcW w:w="3120" w:type="dxa"/>
          </w:tcPr>
          <w:p>
            <w:pPr/>
            <w:r>
              <w:t xml:space="preserve">1,150</w:t>
            </w:r>
          </w:p>
        </w:tc>
        <w:tc>
          <w:tcPr>
            <w:tcW w:w="3120" w:type="dxa"/>
          </w:tcPr>
          <w:p>
            <w:pPr/>
            <w:hyperlink r:id="rId10" w:history="1">
              <w:r>
                <w:rPr>
                  <w:rStyle w:val="Hyperlink"/>
                </w:rPr>
                <w:t xml:space="preserve">Time Out</w:t>
              </w:r>
            </w:hyperlink>
            <w:r>
              <w:t xml:space="preserve">, </w:t>
            </w:r>
            <w:hyperlink r:id="rId11" w:history="1">
              <w:r>
                <w:rPr>
                  <w:rStyle w:val="Hyperlink"/>
                </w:rPr>
                <w:t xml:space="preserve">mako/TheMarker</w:t>
              </w:r>
            </w:hyperlink>
          </w:p>
        </w:tc>
      </w:tr>
      <w:tr>
        <w:tc>
          <w:tcPr>
            <w:tcW w:w="3120" w:type="dxa"/>
          </w:tcPr>
          <w:p>
            <w:pPr>
              <w:bidi/>
            </w:pPr>
            <w:r>
              <w:rPr>
                <w:rtl/>
              </w:rPr>
              <w:t xml:space="preserve">תשע"ח (2017/18)</w:t>
            </w:r>
          </w:p>
        </w:tc>
        <w:tc>
          <w:tcPr>
            <w:tcW w:w="3120" w:type="dxa"/>
          </w:tcPr>
          <w:p>
            <w:pPr>
              <w:bidi/>
            </w:pPr>
            <w:r>
              <w:rPr>
                <w:rtl/>
              </w:rPr>
              <w:t xml:space="preserve">כ-908 (מהם 180 בתל אביב)</w:t>
            </w:r>
          </w:p>
        </w:tc>
        <w:tc>
          <w:tcPr>
            <w:tcW w:w="3120" w:type="dxa"/>
          </w:tcPr>
          <w:p>
            <w:pPr/>
            <w:r>
              <w:t xml:space="preserve">Time Out</w:t>
            </w:r>
          </w:p>
        </w:tc>
      </w:tr>
      <w:tr>
        <w:tc>
          <w:tcPr>
            <w:tcW w:w="3120" w:type="dxa"/>
          </w:tcPr>
          <w:p>
            <w:pPr>
              <w:bidi/>
            </w:pPr>
            <w:r>
              <w:rPr>
                <w:rtl/>
              </w:rPr>
              <w:t xml:space="preserve">תשע"ז (2016/17)</w:t>
            </w:r>
          </w:p>
        </w:tc>
        <w:tc>
          <w:tcPr>
            <w:tcW w:w="3120" w:type="dxa"/>
          </w:tcPr>
          <w:p>
            <w:pPr>
              <w:bidi/>
            </w:pPr>
            <w:r>
              <w:rPr>
                <w:rtl/>
              </w:rPr>
              <w:t xml:space="preserve">779 (מהם 146 בתל אביב)</w:t>
            </w:r>
          </w:p>
        </w:tc>
        <w:tc>
          <w:tcPr>
            <w:tcW w:w="3120" w:type="dxa"/>
          </w:tcPr>
          <w:p>
            <w:pPr/>
            <w:r>
              <w:t xml:space="preserve">Time Out</w:t>
            </w:r>
          </w:p>
        </w:tc>
      </w:tr>
      <w:tr>
        <w:tc>
          <w:tcPr>
            <w:tcW w:w="3120" w:type="dxa"/>
          </w:tcPr>
          <w:p>
            <w:pPr>
              <w:bidi/>
            </w:pPr>
            <w:r>
              <w:rPr>
                <w:rtl/>
              </w:rPr>
              <w:t xml:space="preserve">תשע"ו (2015/16)</w:t>
            </w:r>
          </w:p>
        </w:tc>
        <w:tc>
          <w:tcPr>
            <w:tcW w:w="3120" w:type="dxa"/>
          </w:tcPr>
          <w:p>
            <w:pPr>
              <w:bidi/>
            </w:pPr>
            <w:r>
              <w:rPr>
                <w:rtl/>
              </w:rPr>
              <w:t xml:space="preserve">576 (מהם 92 בתל אביב)</w:t>
            </w:r>
          </w:p>
        </w:tc>
        <w:tc>
          <w:tcPr>
            <w:tcW w:w="3120" w:type="dxa"/>
          </w:tcPr>
          <w:p>
            <w:pPr/>
            <w:r>
              <w:t xml:space="preserve">Time Out</w:t>
            </w:r>
          </w:p>
        </w:tc>
      </w:tr>
      <w:tr>
        <w:tc>
          <w:tcPr>
            <w:tcW w:w="3120" w:type="dxa"/>
          </w:tcPr>
          <w:p>
            <w:pPr>
              <w:bidi/>
            </w:pPr>
            <w:r>
              <w:rPr>
                <w:rtl/>
              </w:rPr>
              <w:t xml:space="preserve">2008 או תחילת שנות ה-2010</w:t>
            </w:r>
          </w:p>
        </w:tc>
        <w:tc>
          <w:tcPr>
            <w:tcW w:w="3120" w:type="dxa"/>
          </w:tcPr>
          <w:p>
            <w:pPr>
              <w:bidi/>
            </w:pPr>
            <w:r>
              <w:rPr>
                <w:rtl/>
              </w:rPr>
              <w:t xml:space="preserve">100 או 316, המקורות סותרים</w:t>
            </w:r>
          </w:p>
        </w:tc>
        <w:tc>
          <w:tcPr>
            <w:tcW w:w="3120" w:type="dxa"/>
          </w:tcPr>
          <w:p>
            <w:pPr/>
            <w:r>
              <w:t xml:space="preserve">mako, ynet</w:t>
            </w:r>
          </w:p>
        </w:tc>
      </w:tr>
    </w:tbl>
    <w:p>
      <w:pPr>
        <w:pStyle w:val="ListParagraph"/>
        <w:numPr>
          <w:ilvl w:val="0"/>
          <w:numId w:val="6"/>
        </w:numPr>
        <w:bidi/>
      </w:pPr>
      <w:r>
        <w:rPr>
          <w:b/>
          <w:rtl/>
        </w:rPr>
        <w:t xml:space="preserve">חינוך ביתי לא רשמי:</w:t>
      </w:r>
      <w:r>
        <w:rPr>
          <w:rtl/>
        </w:rPr>
        <w:t xml:space="preserve"> כל המקורות מעריכים שהמספר האמיתי גבוה יותר, כי חלק מהמשפחות לא מבקשות פטור. אין לזה אומדן מבוסס.</w:t>
      </w:r>
    </w:p>
    <w:p>
      <w:pPr>
        <w:pStyle w:val="ListParagraph"/>
        <w:numPr>
          <w:ilvl w:val="0"/>
          <w:numId w:val="6"/>
        </w:numPr>
        <w:bidi/>
      </w:pPr>
      <w:r>
        <w:rPr>
          <w:b/>
          <w:rtl/>
        </w:rPr>
        <w:t xml:space="preserve">סיבת העלייה:</w:t>
      </w:r>
      <w:r>
        <w:rPr>
          <w:rtl/>
        </w:rPr>
        <w:t xml:space="preserve"> משרד החינוך מייחס את העלייה בבקשות לקורונה ולמגמות חברתיות (לפי ynet).</w:t>
      </w:r>
    </w:p>
    <w:p>
      <w:pPr>
        <w:pStyle w:val="ListParagraph"/>
        <w:numPr>
          <w:ilvl w:val="0"/>
          <w:numId w:val="6"/>
        </w:numPr>
        <w:bidi/>
      </w:pPr>
      <w:r>
        <w:rPr>
          <w:b/>
          <w:rtl/>
        </w:rPr>
        <w:t xml:space="preserve">מה חסר:</w:t>
      </w:r>
      <w:r>
        <w:rPr>
          <w:rtl/>
        </w:rPr>
        <w:t xml:space="preserve"> מספר הבקשות, שיעור הדחיות, פילוח לפי מחוז או מגזר, וכל נתון מתוארך מאז 2019. בקשת חופש המידע נועדה לסגור בדיוק את הפער הזה.</w:t>
      </w:r>
    </w:p>
    <w:p>
      <w:pPr>
        <w:pStyle w:val="Heading2"/>
        <w:bidi/>
      </w:pPr>
      <w:r>
        <w:rPr>
          <w:rtl/>
        </w:rPr>
        <w:t xml:space="preserve">ציר ג — השוואה בינלאומית</w:t>
      </w:r>
    </w:p>
    <w:p>
      <w:pPr>
        <w:bidi/>
      </w:pPr>
      <w:r>
        <w:rPr>
          <w:rtl/>
        </w:rPr>
        <w:t xml:space="preserve">במדינות שנבדקו, הפיקוח על חינוך ביתי הוחמר בעקבות מקרי פגיעה בילדים או חשש מבדלנות, ולא בגלל הישגים לימודיים. המודל שנתפס כמאוזן הוא רישום והודעה. אישור מראש כמו בצרפת ייצר עומס והתדיינות.</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bidi/>
            </w:pPr>
            <w:r>
              <w:rPr>
                <w:rtl/>
              </w:rPr>
              <w:t xml:space="preserve">מדינה</w:t>
            </w:r>
          </w:p>
        </w:tc>
        <w:tc>
          <w:tcPr>
            <w:tcW w:w="1872" w:type="dxa"/>
            <w:shd w:val="clear" w:color="auto" w:fill="F2F2F2"/>
          </w:tcPr>
          <w:p>
            <w:pPr>
              <w:bidi/>
            </w:pPr>
            <w:r>
              <w:rPr>
                <w:rtl/>
              </w:rPr>
              <w:t xml:space="preserve">מודל</w:t>
            </w:r>
          </w:p>
        </w:tc>
        <w:tc>
          <w:tcPr>
            <w:tcW w:w="1872" w:type="dxa"/>
            <w:shd w:val="clear" w:color="auto" w:fill="F2F2F2"/>
          </w:tcPr>
          <w:p>
            <w:pPr>
              <w:bidi/>
            </w:pPr>
            <w:r>
              <w:rPr>
                <w:rtl/>
              </w:rPr>
              <w:t xml:space="preserve">פיקוח</w:t>
            </w:r>
          </w:p>
        </w:tc>
        <w:tc>
          <w:tcPr>
            <w:tcW w:w="1872" w:type="dxa"/>
            <w:shd w:val="clear" w:color="auto" w:fill="F2F2F2"/>
          </w:tcPr>
          <w:p>
            <w:pPr>
              <w:bidi/>
            </w:pPr>
            <w:r>
              <w:rPr>
                <w:rtl/>
              </w:rPr>
              <w:t xml:space="preserve">היקף</w:t>
            </w:r>
          </w:p>
        </w:tc>
        <w:tc>
          <w:tcPr>
            <w:tcW w:w="1872" w:type="dxa"/>
            <w:shd w:val="clear" w:color="auto" w:fill="F2F2F2"/>
          </w:tcPr>
          <w:p>
            <w:pPr>
              <w:bidi/>
            </w:pPr>
            <w:r>
              <w:rPr>
                <w:rtl/>
              </w:rPr>
              <w:t xml:space="preserve">רפורמה אחרונה</w:t>
            </w:r>
          </w:p>
        </w:tc>
      </w:tr>
      <w:tr>
        <w:tc>
          <w:tcPr>
            <w:tcW w:w="1872" w:type="dxa"/>
          </w:tcPr>
          <w:p>
            <w:pPr>
              <w:bidi/>
            </w:pPr>
            <w:hyperlink r:id="rId12" w:history="1">
              <w:r>
                <w:rPr>
                  <w:rStyle w:val="Hyperlink"/>
                  <w:rtl/>
                </w:rPr>
                <w:t xml:space="preserve">אנגליה</w:t>
              </w:r>
            </w:hyperlink>
          </w:p>
        </w:tc>
        <w:tc>
          <w:tcPr>
            <w:tcW w:w="1872" w:type="dxa"/>
          </w:tcPr>
          <w:p>
            <w:pPr>
              <w:bidi/>
            </w:pPr>
            <w:r>
              <w:rPr>
                <w:rtl/>
              </w:rPr>
              <w:t xml:space="preserve">חוקי, אין כיום חובת דיווח</w:t>
            </w:r>
          </w:p>
        </w:tc>
        <w:tc>
          <w:tcPr>
            <w:tcW w:w="1872" w:type="dxa"/>
          </w:tcPr>
          <w:p>
            <w:pPr>
              <w:bidi/>
            </w:pPr>
            <w:r>
              <w:rPr>
                <w:rtl/>
              </w:rPr>
              <w:t xml:space="preserve">הרשות המקומית מתערבת רק כשנראה שהחינוך אינו מתאים. אין תוכנית מחייבת ואין מבחנים</w:t>
            </w:r>
          </w:p>
        </w:tc>
        <w:tc>
          <w:tcPr>
            <w:tcW w:w="1872" w:type="dxa"/>
          </w:tcPr>
          <w:p>
            <w:pPr>
              <w:bidi/>
            </w:pPr>
            <w:r>
              <w:rPr>
                <w:rtl/>
              </w:rPr>
              <w:t xml:space="preserve">126,000 ילדים ביום המפקד (סתיו 2025); 175,900 במהלך 2024/25</w:t>
            </w:r>
          </w:p>
        </w:tc>
        <w:tc>
          <w:tcPr>
            <w:tcW w:w="1872" w:type="dxa"/>
          </w:tcPr>
          <w:p>
            <w:pPr>
              <w:bidi/>
            </w:pPr>
            <w:hyperlink r:id="rId13" w:history="1">
              <w:r>
                <w:rPr>
                  <w:rStyle w:val="Hyperlink"/>
                  <w:rtl/>
                </w:rPr>
                <w:t xml:space="preserve">חוק Children's Wellbeing and Schools</w:t>
              </w:r>
            </w:hyperlink>
            <w:r>
              <w:rPr>
                <w:rtl/>
              </w:rPr>
              <w:t xml:space="preserve"> קיבל אישור מלכותי ב-29.4.2026 ועדיין אינו בתוקף. הוא קובע מרשם חובה, וילד שמוכר לרווחה יכול לעבור לחינוך ביתי רק בהסכמת הרשות. הטריגר היה רצח שרה שריף</w:t>
            </w:r>
          </w:p>
        </w:tc>
      </w:tr>
      <w:tr>
        <w:tc>
          <w:tcPr>
            <w:tcW w:w="1872" w:type="dxa"/>
          </w:tcPr>
          <w:p>
            <w:pPr>
              <w:bidi/>
            </w:pPr>
            <w:hyperlink r:id="rId13" w:history="1">
              <w:r>
                <w:rPr>
                  <w:rStyle w:val="Hyperlink"/>
                  <w:rtl/>
                </w:rPr>
                <w:t xml:space="preserve">ויילס</w:t>
              </w:r>
            </w:hyperlink>
          </w:p>
        </w:tc>
        <w:tc>
          <w:tcPr>
            <w:tcW w:w="1872" w:type="dxa"/>
          </w:tcPr>
          <w:p>
            <w:pPr>
              <w:bidi/>
            </w:pPr>
            <w:r>
              <w:rPr>
                <w:rtl/>
              </w:rPr>
              <w:t xml:space="preserve">כמו אנגליה</w:t>
            </w:r>
          </w:p>
        </w:tc>
        <w:tc>
          <w:tcPr>
            <w:tcW w:w="1872" w:type="dxa"/>
          </w:tcPr>
          <w:p>
            <w:pPr>
              <w:bidi/>
            </w:pPr>
            <w:r>
              <w:rPr>
                <w:rtl/>
              </w:rPr>
              <w:t xml:space="preserve">כמו אנגליה</w:t>
            </w:r>
          </w:p>
        </w:tc>
        <w:tc>
          <w:tcPr>
            <w:tcW w:w="1872" w:type="dxa"/>
          </w:tcPr>
          <w:p>
            <w:pPr>
              <w:bidi/>
            </w:pPr>
            <w:r>
              <w:rPr>
                <w:rtl/>
              </w:rPr>
              <w:t xml:space="preserve">7,176 ילדים (2024/25), לעומת 2,517 ב-2018/19</w:t>
            </w:r>
          </w:p>
        </w:tc>
        <w:tc>
          <w:tcPr>
            <w:tcW w:w="1872" w:type="dxa"/>
          </w:tcPr>
          <w:p>
            <w:pPr>
              <w:bidi/>
            </w:pPr>
            <w:r>
              <w:rPr>
                <w:rtl/>
              </w:rPr>
              <w:t xml:space="preserve">אותו חוק. הוחל בעקבות מותם של שני ילדים בחינוך ביתי</w:t>
            </w:r>
          </w:p>
        </w:tc>
      </w:tr>
      <w:tr>
        <w:tc>
          <w:tcPr>
            <w:tcW w:w="1872" w:type="dxa"/>
          </w:tcPr>
          <w:p>
            <w:pPr>
              <w:bidi/>
            </w:pPr>
            <w:hyperlink r:id="rId14" w:history="1">
              <w:r>
                <w:rPr>
                  <w:rStyle w:val="Hyperlink"/>
                  <w:rtl/>
                </w:rPr>
                <w:t xml:space="preserve">צרפת</w:t>
              </w:r>
            </w:hyperlink>
          </w:p>
        </w:tc>
        <w:tc>
          <w:tcPr>
            <w:tcW w:w="1872" w:type="dxa"/>
          </w:tcPr>
          <w:p>
            <w:pPr>
              <w:bidi/>
            </w:pPr>
            <w:r>
              <w:rPr>
                <w:rtl/>
              </w:rPr>
              <w:t xml:space="preserve">מאז 2022 נדרש אישור מראש, ורק מאחת מארבע עילות</w:t>
            </w:r>
          </w:p>
        </w:tc>
        <w:tc>
          <w:tcPr>
            <w:tcW w:w="1872" w:type="dxa"/>
          </w:tcPr>
          <w:p>
            <w:pPr>
              <w:bidi/>
            </w:pPr>
            <w:r>
              <w:rPr>
                <w:rtl/>
              </w:rPr>
              <w:t xml:space="preserve">ביקורת שנתית; ב-2023/24 ניתנו 622 התראות ו-161 תיקים הועברו לתביעה (</w:t>
            </w:r>
            <w:hyperlink r:id="rId15" w:history="1">
              <w:r>
                <w:rPr>
                  <w:rStyle w:val="Hyperlink"/>
                  <w:rtl/>
                </w:rPr>
                <w:t xml:space="preserve">סנאט</w:t>
              </w:r>
            </w:hyperlink>
            <w:r>
              <w:rPr>
                <w:rtl/>
              </w:rPr>
              <w:t xml:space="preserve">)</w:t>
            </w:r>
          </w:p>
        </w:tc>
        <w:tc>
          <w:tcPr>
            <w:tcW w:w="1872" w:type="dxa"/>
          </w:tcPr>
          <w:p>
            <w:pPr>
              <w:bidi/>
            </w:pPr>
            <w:r>
              <w:rPr>
                <w:rtl/>
              </w:rPr>
              <w:t xml:space="preserve">מספר הבקשות ירד מ-60,638 (2022) ל-40,846 (2024); ב-2024/25 נדחו 25.9% מהן (נתון זמני)</w:t>
            </w:r>
          </w:p>
        </w:tc>
        <w:tc>
          <w:tcPr>
            <w:tcW w:w="1872" w:type="dxa"/>
          </w:tcPr>
          <w:p>
            <w:pPr>
              <w:bidi/>
            </w:pPr>
            <w:r>
              <w:rPr>
                <w:rtl/>
              </w:rPr>
              <w:t xml:space="preserve">חוק "ההתבדלות" (2021). הבקשות לסעד זמני בבתי המשפט עלו ב-71%</w:t>
            </w:r>
          </w:p>
        </w:tc>
      </w:tr>
      <w:tr>
        <w:tc>
          <w:tcPr>
            <w:tcW w:w="1872" w:type="dxa"/>
          </w:tcPr>
          <w:p>
            <w:pPr>
              <w:bidi/>
            </w:pPr>
            <w:hyperlink r:id="rId16" w:history="1">
              <w:r>
                <w:rPr>
                  <w:rStyle w:val="Hyperlink"/>
                  <w:rtl/>
                </w:rPr>
                <w:t xml:space="preserve">קנדה — אונטריו</w:t>
              </w:r>
            </w:hyperlink>
          </w:p>
        </w:tc>
        <w:tc>
          <w:tcPr>
            <w:tcW w:w="1872" w:type="dxa"/>
          </w:tcPr>
          <w:p>
            <w:pPr>
              <w:bidi/>
            </w:pPr>
            <w:r>
              <w:rPr>
                <w:rtl/>
              </w:rPr>
              <w:t xml:space="preserve">הודעה למועצת בית הספר</w:t>
            </w:r>
          </w:p>
        </w:tc>
        <w:tc>
          <w:tcPr>
            <w:tcW w:w="1872" w:type="dxa"/>
          </w:tcPr>
          <w:p>
            <w:pPr>
              <w:bidi/>
            </w:pPr>
            <w:r>
              <w:rPr>
                <w:rtl/>
              </w:rPr>
              <w:t xml:space="preserve">אין תוכנית מחייבת, והמבחנים בבחירת ההורה</w:t>
            </w:r>
          </w:p>
        </w:tc>
        <w:tc>
          <w:tcPr>
            <w:tcW w:w="1872" w:type="dxa"/>
          </w:tcPr>
          <w:p>
            <w:pPr>
              <w:bidi/>
            </w:pPr>
            <w:r>
              <w:rPr>
                <w:rtl/>
              </w:rPr>
              <w:t xml:space="preserve">לא נמצא</w:t>
            </w:r>
          </w:p>
        </w:tc>
        <w:tc>
          <w:tcPr>
            <w:tcW w:w="1872" w:type="dxa"/>
          </w:tcPr>
          <w:p>
            <w:pPr/>
            <w:r>
              <w:t xml:space="preserve">—</w:t>
            </w:r>
          </w:p>
        </w:tc>
      </w:tr>
      <w:tr>
        <w:tc>
          <w:tcPr>
            <w:tcW w:w="1872" w:type="dxa"/>
          </w:tcPr>
          <w:p>
            <w:pPr>
              <w:bidi/>
            </w:pPr>
            <w:hyperlink r:id="rId17" w:history="1">
              <w:r>
                <w:rPr>
                  <w:rStyle w:val="Hyperlink"/>
                  <w:rtl/>
                </w:rPr>
                <w:t xml:space="preserve">קנדה — קוויבק</w:t>
              </w:r>
            </w:hyperlink>
          </w:p>
        </w:tc>
        <w:tc>
          <w:tcPr>
            <w:tcW w:w="1872" w:type="dxa"/>
          </w:tcPr>
          <w:p>
            <w:pPr>
              <w:bidi/>
            </w:pPr>
            <w:r>
              <w:rPr>
                <w:rtl/>
              </w:rPr>
              <w:t xml:space="preserve">הודעה שנתית ותוכנית לימודים</w:t>
            </w:r>
          </w:p>
        </w:tc>
        <w:tc>
          <w:tcPr>
            <w:tcW w:w="1872" w:type="dxa"/>
          </w:tcPr>
          <w:p>
            <w:pPr>
              <w:bidi/>
            </w:pPr>
            <w:r>
              <w:rPr>
                <w:rtl/>
              </w:rPr>
              <w:t xml:space="preserve">דוחות ופגישת מעקב. ההורים בוחרים שיטת הערכה, ובחינות המשרד הן חובה</w:t>
            </w:r>
          </w:p>
        </w:tc>
        <w:tc>
          <w:tcPr>
            <w:tcW w:w="1872" w:type="dxa"/>
          </w:tcPr>
          <w:p>
            <w:pPr>
              <w:bidi/>
            </w:pPr>
            <w:r>
              <w:rPr>
                <w:rtl/>
              </w:rPr>
              <w:t xml:space="preserve">כ-8,300 ילדים (2021, לא אומת)</w:t>
            </w:r>
          </w:p>
        </w:tc>
        <w:tc>
          <w:tcPr>
            <w:tcW w:w="1872" w:type="dxa"/>
          </w:tcPr>
          <w:p>
            <w:pPr>
              <w:bidi/>
            </w:pPr>
            <w:r>
              <w:rPr>
                <w:rtl/>
              </w:rPr>
              <w:t xml:space="preserve">הוחמר ב-2019 (לא אומת)</w:t>
            </w:r>
          </w:p>
        </w:tc>
      </w:tr>
      <w:tr>
        <w:tc>
          <w:tcPr>
            <w:tcW w:w="1872" w:type="dxa"/>
          </w:tcPr>
          <w:p>
            <w:pPr>
              <w:bidi/>
            </w:pPr>
            <w:r>
              <w:rPr>
                <w:rtl/>
              </w:rPr>
              <w:t xml:space="preserve">ארה"ב — טקסס</w:t>
            </w:r>
          </w:p>
        </w:tc>
        <w:tc>
          <w:tcPr>
            <w:tcW w:w="1872" w:type="dxa"/>
          </w:tcPr>
          <w:p>
            <w:pPr>
              <w:bidi/>
            </w:pPr>
            <w:r>
              <w:rPr>
                <w:rtl/>
              </w:rPr>
              <w:t xml:space="preserve">הבית נחשב בית ספר פרטי, ללא רישום</w:t>
            </w:r>
          </w:p>
        </w:tc>
        <w:tc>
          <w:tcPr>
            <w:tcW w:w="1872" w:type="dxa"/>
          </w:tcPr>
          <w:p>
            <w:pPr>
              <w:bidi/>
            </w:pPr>
            <w:r>
              <w:rPr>
                <w:rtl/>
              </w:rPr>
              <w:t xml:space="preserve">רק חובת תוכנית לימודים כתובה (לא אומת)</w:t>
            </w:r>
          </w:p>
        </w:tc>
        <w:tc>
          <w:tcPr>
            <w:tcW w:w="1872" w:type="dxa"/>
          </w:tcPr>
          <w:p>
            <w:pPr>
              <w:bidi/>
            </w:pPr>
            <w:r>
              <w:rPr>
                <w:rtl/>
              </w:rPr>
              <w:t xml:space="preserve">לא נמצא</w:t>
            </w:r>
          </w:p>
        </w:tc>
        <w:tc>
          <w:tcPr>
            <w:tcW w:w="1872" w:type="dxa"/>
          </w:tcPr>
          <w:p>
            <w:pPr/>
            <w:r>
              <w:t xml:space="preserve">—</w:t>
            </w:r>
          </w:p>
        </w:tc>
      </w:tr>
      <w:tr>
        <w:tc>
          <w:tcPr>
            <w:tcW w:w="1872" w:type="dxa"/>
          </w:tcPr>
          <w:p>
            <w:pPr>
              <w:bidi/>
            </w:pPr>
            <w:hyperlink r:id="rId18" w:history="1">
              <w:r>
                <w:rPr>
                  <w:rStyle w:val="Hyperlink"/>
                  <w:rtl/>
                </w:rPr>
                <w:t xml:space="preserve">ארה"ב — ניו יורק</w:t>
              </w:r>
            </w:hyperlink>
          </w:p>
        </w:tc>
        <w:tc>
          <w:tcPr>
            <w:tcW w:w="1872" w:type="dxa"/>
          </w:tcPr>
          <w:p>
            <w:pPr>
              <w:bidi/>
            </w:pPr>
            <w:r>
              <w:rPr>
                <w:rtl/>
              </w:rPr>
              <w:t xml:space="preserve">הודעה שנתית ותוכנית אישית (IHIP)</w:t>
            </w:r>
          </w:p>
        </w:tc>
        <w:tc>
          <w:tcPr>
            <w:tcW w:w="1872" w:type="dxa"/>
          </w:tcPr>
          <w:p>
            <w:pPr>
              <w:bidi/>
            </w:pPr>
            <w:r>
              <w:rPr>
                <w:rtl/>
              </w:rPr>
              <w:t xml:space="preserve">4 דוחות בשנה והערכה שנתית ברף נמוך. מי שלא עומד ברף נכנס לתקופת מבחן עם תוכנית תיקון</w:t>
            </w:r>
          </w:p>
        </w:tc>
        <w:tc>
          <w:tcPr>
            <w:tcW w:w="1872" w:type="dxa"/>
          </w:tcPr>
          <w:p>
            <w:pPr>
              <w:bidi/>
            </w:pPr>
            <w:r>
              <w:rPr>
                <w:rtl/>
              </w:rPr>
              <w:t xml:space="preserve">המדינה אינה מפרסמת מספרים</w:t>
            </w:r>
          </w:p>
        </w:tc>
        <w:tc>
          <w:tcPr>
            <w:tcW w:w="1872" w:type="dxa"/>
          </w:tcPr>
          <w:p>
            <w:pPr/>
            <w:r>
              <w:t xml:space="preserve">—</w:t>
            </w:r>
          </w:p>
        </w:tc>
      </w:tr>
      <w:tr>
        <w:tc>
          <w:tcPr>
            <w:tcW w:w="1872" w:type="dxa"/>
          </w:tcPr>
          <w:p>
            <w:pPr>
              <w:bidi/>
            </w:pPr>
            <w:hyperlink r:id="rId19" w:history="1">
              <w:r>
                <w:rPr>
                  <w:rStyle w:val="Hyperlink"/>
                  <w:rtl/>
                </w:rPr>
                <w:t xml:space="preserve">גרמניה</w:t>
              </w:r>
            </w:hyperlink>
          </w:p>
        </w:tc>
        <w:tc>
          <w:tcPr>
            <w:tcW w:w="1872" w:type="dxa"/>
          </w:tcPr>
          <w:p>
            <w:pPr>
              <w:bidi/>
            </w:pPr>
            <w:r>
              <w:rPr>
                <w:rtl/>
              </w:rPr>
              <w:t xml:space="preserve">כמעט אסור: חובת נוכחות בבית הספר</w:t>
            </w:r>
          </w:p>
        </w:tc>
        <w:tc>
          <w:tcPr>
            <w:tcW w:w="1872" w:type="dxa"/>
          </w:tcPr>
          <w:p>
            <w:pPr>
              <w:bidi/>
            </w:pPr>
            <w:r>
              <w:rPr>
                <w:rtl/>
              </w:rPr>
              <w:t xml:space="preserve">קנסות והליכים פליליים</w:t>
            </w:r>
          </w:p>
        </w:tc>
        <w:tc>
          <w:tcPr>
            <w:tcW w:w="1872" w:type="dxa"/>
          </w:tcPr>
          <w:p>
            <w:pPr>
              <w:bidi/>
            </w:pPr>
            <w:r>
              <w:rPr>
                <w:rtl/>
              </w:rPr>
              <w:t xml:space="preserve">זניח</w:t>
            </w:r>
          </w:p>
        </w:tc>
        <w:tc>
          <w:tcPr>
            <w:tcW w:w="1872" w:type="dxa"/>
          </w:tcPr>
          <w:p>
            <w:pPr>
              <w:bidi/>
            </w:pPr>
            <w:r>
              <w:rPr>
                <w:rtl/>
              </w:rPr>
              <w:t xml:space="preserve">ב-2019 קבע בית הדין האירופי לזכויות אדם שהאיסור חוקי (Wunderlich)</w:t>
            </w:r>
          </w:p>
        </w:tc>
      </w:tr>
    </w:tbl>
    <w:p>
      <w:pPr>
        <w:bidi/>
      </w:pPr>
      <w:r>
        <w:rPr>
          <w:b/>
          <w:rtl/>
        </w:rPr>
        <w:t xml:space="preserve">לקחים למהלך בישראל:</w:t>
      </w:r>
    </w:p>
    <w:p>
      <w:pPr>
        <w:pStyle w:val="ListParagraph"/>
        <w:numPr>
          <w:ilvl w:val="0"/>
          <w:numId w:val="7"/>
        </w:numPr>
        <w:bidi/>
      </w:pPr>
      <w:r>
        <w:rPr>
          <w:rtl/>
        </w:rPr>
        <w:t xml:space="preserve">כדאי שהמהלך יציע בעצמו מנגנון להגנה על ילדים, לפני שמקרה קשה יוביל לפיקוח שייקבע בלחץ ציבורי.</w:t>
      </w:r>
    </w:p>
    <w:p>
      <w:pPr>
        <w:pStyle w:val="ListParagraph"/>
        <w:numPr>
          <w:ilvl w:val="0"/>
          <w:numId w:val="7"/>
        </w:numPr>
        <w:bidi/>
      </w:pPr>
      <w:r>
        <w:rPr>
          <w:rtl/>
        </w:rPr>
        <w:t xml:space="preserve">רישום והודעה נפוצים יותר מאישור מראש. הפיקוח המוגבר מופנה רק לילדים שכבר מוכרים לרווחה.</w:t>
      </w:r>
    </w:p>
    <w:p>
      <w:pPr>
        <w:pStyle w:val="ListParagraph"/>
        <w:numPr>
          <w:ilvl w:val="0"/>
          <w:numId w:val="7"/>
        </w:numPr>
        <w:bidi/>
      </w:pPr>
      <w:r>
        <w:rPr>
          <w:rtl/>
        </w:rPr>
        <w:t xml:space="preserve">צרפת מראה מה קורה כשכל משפחה צריכה אישור שתלוי בשיקול דעת של פקיד: עומס בירוקרטי, אי-שוויון והתדיינות משפטית. זה דומה למצב בישראל, וזו ראיה טובה נגד המשך השיטה.</w:t>
      </w:r>
    </w:p>
    <w:p>
      <w:pPr>
        <w:pStyle w:val="ListParagraph"/>
        <w:numPr>
          <w:ilvl w:val="0"/>
          <w:numId w:val="7"/>
        </w:numPr>
        <w:bidi/>
      </w:pPr>
      <w:r>
        <w:rPr>
          <w:rtl/>
        </w:rPr>
        <w:t xml:space="preserve">פיקוח מדורג כמו בניו יורק נותן מודל צפוי ומידתי: רף נמוך, כמה אפשרויות הערכה, תקופת מבחן עם תוכנית תיקון, וביקור בית רק כשלב אחרון.</w:t>
      </w:r>
    </w:p>
    <w:p>
      <w:pPr>
        <w:pStyle w:val="ListParagraph"/>
        <w:numPr>
          <w:ilvl w:val="0"/>
          <w:numId w:val="7"/>
        </w:numPr>
        <w:bidi/>
      </w:pPr>
      <w:r>
        <w:rPr>
          <w:rtl/>
        </w:rPr>
        <w:t xml:space="preserve">פרסום נתונים שקוף, כמו באנגליה, מחזק את אמון הציבור. כדאי לבסס את הטיעון על מידתיות ולא על זכות מוחלטת, כי בית הדין האירופי אישר אפילו את האיסור הגרמני.</w:t>
      </w:r>
    </w:p>
    <w:p>
      <w:pPr>
        <w:bidi/>
      </w:pPr>
      <w:r>
        <w:rPr>
          <w:rtl/>
        </w:rPr>
        <w:t xml:space="preserve">לא אומתו: הנתונים על קוויבק ועל טקסס, ודוח ה-Cour des comptes הצרפתי מ-2025.</w:t>
      </w:r>
    </w:p>
    <w:p>
      <w:pPr>
        <w:pStyle w:val="Heading2"/>
        <w:bidi/>
      </w:pPr>
      <w:r>
        <w:rPr>
          <w:rtl/>
        </w:rPr>
        <w:t xml:space="preserve">ציר ד — מחקר אקדמי על תוצאות</w:t>
      </w:r>
    </w:p>
    <w:p>
      <w:pPr>
        <w:bidi/>
      </w:pPr>
      <w:r>
        <w:rPr>
          <w:rtl/>
        </w:rPr>
        <w:t xml:space="preserve">אין ראיות שחינוך ביתי מזיק לילדים בממוצע, וגם אין ראיות שהוא עדיף על בית הספר. רוב ההבדלים נובעים מרקע המשפחה ומאופן ההוראה. הסקירה המרכזית בתחום היא </w:t>
      </w:r>
      <w:hyperlink r:id="rId20" w:history="1">
        <w:r>
          <w:rPr>
            <w:rStyle w:val="Hyperlink"/>
            <w:rtl/>
          </w:rPr>
          <w:t xml:space="preserve">Kunzman &amp; Gaither (2020)</w:t>
        </w:r>
      </w:hyperlink>
      <w:r>
        <w:rPr>
          <w:rtl/>
        </w:rPr>
        <w:t xml:space="preserve">, והיא עוברת על יותר מ-2,000 פרסומים.</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תחום</w:t>
            </w:r>
          </w:p>
        </w:tc>
        <w:tc>
          <w:tcPr>
            <w:tcW w:w="3120" w:type="dxa"/>
            <w:shd w:val="clear" w:color="auto" w:fill="F2F2F2"/>
          </w:tcPr>
          <w:p>
            <w:pPr>
              <w:bidi/>
            </w:pPr>
            <w:r>
              <w:rPr>
                <w:rtl/>
              </w:rPr>
              <w:t xml:space="preserve">מה מבוסס יחסית</w:t>
            </w:r>
          </w:p>
        </w:tc>
        <w:tc>
          <w:tcPr>
            <w:tcW w:w="3120" w:type="dxa"/>
            <w:shd w:val="clear" w:color="auto" w:fill="F2F2F2"/>
          </w:tcPr>
          <w:p>
            <w:pPr>
              <w:bidi/>
            </w:pPr>
            <w:r>
              <w:rPr>
                <w:rtl/>
              </w:rPr>
              <w:t xml:space="preserve">מה שנוי במחלוקת</w:t>
            </w:r>
          </w:p>
        </w:tc>
      </w:tr>
      <w:tr>
        <w:tc>
          <w:tcPr>
            <w:tcW w:w="3120" w:type="dxa"/>
          </w:tcPr>
          <w:p>
            <w:pPr>
              <w:bidi/>
            </w:pPr>
            <w:r>
              <w:rPr>
                <w:rtl/>
              </w:rPr>
              <w:t xml:space="preserve">הישגים לימודיים</w:t>
            </w:r>
          </w:p>
        </w:tc>
        <w:tc>
          <w:tcPr>
            <w:tcW w:w="3120" w:type="dxa"/>
          </w:tcPr>
          <w:p>
            <w:pPr>
              <w:bidi/>
            </w:pPr>
            <w:r>
              <w:rPr>
                <w:rtl/>
              </w:rPr>
              <w:t xml:space="preserve">חינוך ביתי מובנה מקדים את בית הספר, ו-unschooling מפגר אחריו (Martin-Chang 2011, עם קבוצת השוואה)</w:t>
            </w:r>
          </w:p>
        </w:tc>
        <w:tc>
          <w:tcPr>
            <w:tcW w:w="3120" w:type="dxa"/>
          </w:tcPr>
          <w:p>
            <w:pPr>
              <w:bidi/>
            </w:pPr>
            <w:r>
              <w:rPr>
                <w:rtl/>
              </w:rPr>
              <w:t xml:space="preserve">של עליונות מהמחקרים של Ray ו-NHERI. מדובר במדגמי מתנדבים, במימון של ארגון סנגור (</w:t>
            </w:r>
            <w:hyperlink r:id="rId21" w:history="1">
              <w:r>
                <w:rPr>
                  <w:rStyle w:val="Hyperlink"/>
                  <w:rtl/>
                </w:rPr>
                <w:t xml:space="preserve">ביקורת</w:t>
              </w:r>
            </w:hyperlink>
            <w:r>
              <w:rPr>
                <w:rtl/>
              </w:rPr>
              <w:t xml:space="preserve">)</w:t>
            </w:r>
          </w:p>
        </w:tc>
      </w:tr>
      <w:tr>
        <w:tc>
          <w:tcPr>
            <w:tcW w:w="3120" w:type="dxa"/>
          </w:tcPr>
          <w:p>
            <w:pPr>
              <w:bidi/>
            </w:pPr>
            <w:r>
              <w:rPr>
                <w:rtl/>
              </w:rPr>
              <w:t xml:space="preserve">חברתיות</w:t>
            </w:r>
          </w:p>
        </w:tc>
        <w:tc>
          <w:tcPr>
            <w:tcW w:w="3120" w:type="dxa"/>
          </w:tcPr>
          <w:p>
            <w:pPr>
              <w:bidi/>
            </w:pPr>
            <w:r>
              <w:rPr>
                <w:rtl/>
              </w:rPr>
              <w:t xml:space="preserve">אין ראיות לנזק כללי. 61% מהמשפחות משתתפות בפעילויות קבוצתיות</w:t>
            </w:r>
          </w:p>
        </w:tc>
        <w:tc>
          <w:tcPr>
            <w:tcW w:w="3120" w:type="dxa"/>
          </w:tcPr>
          <w:p>
            <w:pPr>
              <w:bidi/>
            </w:pPr>
            <w:r>
              <w:rPr>
                <w:rtl/>
              </w:rPr>
              <w:t xml:space="preserve">במחקר הרווארד נמצאו יותר התנדבות ופחות שימוש בקנאביס (</w:t>
            </w:r>
            <w:hyperlink r:id="rId22" w:history="1">
              <w:r>
                <w:rPr>
                  <w:rStyle w:val="Hyperlink"/>
                  <w:rtl/>
                </w:rPr>
                <w:t xml:space="preserve">Chen et al. 2021</w:t>
              </w:r>
            </w:hyperlink>
            <w:r>
              <w:rPr>
                <w:rtl/>
              </w:rPr>
              <w:t xml:space="preserve">). מנגד, ב-Cardus נמצאה מסוגלות נמוכה יותר</w:t>
            </w:r>
          </w:p>
        </w:tc>
      </w:tr>
      <w:tr>
        <w:tc>
          <w:tcPr>
            <w:tcW w:w="3120" w:type="dxa"/>
          </w:tcPr>
          <w:p>
            <w:pPr>
              <w:bidi/>
            </w:pPr>
            <w:r>
              <w:rPr>
                <w:rtl/>
              </w:rPr>
              <w:t xml:space="preserve">השכלה ותעסוקה</w:t>
            </w:r>
          </w:p>
        </w:tc>
        <w:tc>
          <w:tcPr>
            <w:tcW w:w="3120" w:type="dxa"/>
          </w:tcPr>
          <w:p>
            <w:pPr>
              <w:bidi/>
            </w:pPr>
            <w:r>
              <w:rPr>
                <w:rtl/>
              </w:rPr>
              <w:t xml:space="preserve">מי שמגישים מועמדות לקולג' מתקבלים בשיעורים דומים לשאר המועמדים</w:t>
            </w:r>
          </w:p>
        </w:tc>
        <w:tc>
          <w:tcPr>
            <w:tcW w:w="3120" w:type="dxa"/>
          </w:tcPr>
          <w:p>
            <w:pPr>
              <w:bidi/>
            </w:pPr>
            <w:r>
              <w:rPr>
                <w:rtl/>
              </w:rPr>
              <w:t xml:space="preserve">במדגמים מייצגים נמצאו סיכוי נמוך בכ-23% לסיים תואר ושכר נמוך יותר</w:t>
            </w:r>
          </w:p>
        </w:tc>
      </w:tr>
      <w:tr>
        <w:tc>
          <w:tcPr>
            <w:tcW w:w="3120" w:type="dxa"/>
          </w:tcPr>
          <w:p>
            <w:pPr>
              <w:bidi/>
            </w:pPr>
            <w:r>
              <w:rPr>
                <w:rtl/>
              </w:rPr>
              <w:t xml:space="preserve">מעורבות אזרחית</w:t>
            </w:r>
          </w:p>
        </w:tc>
        <w:tc>
          <w:tcPr>
            <w:tcW w:w="3120" w:type="dxa"/>
          </w:tcPr>
          <w:p>
            <w:pPr/>
            <w:r>
              <w:t xml:space="preserve">—</w:t>
            </w:r>
          </w:p>
        </w:tc>
        <w:tc>
          <w:tcPr>
            <w:tcW w:w="3120" w:type="dxa"/>
          </w:tcPr>
          <w:p>
            <w:pPr>
              <w:bidi/>
            </w:pPr>
            <w:r>
              <w:rPr>
                <w:rtl/>
              </w:rPr>
              <w:t xml:space="preserve">יש מחקרים שמצאו מעורבות גבוהה יותר ומחקרים שמצאו מחצית מההתנדבות</w:t>
            </w:r>
          </w:p>
        </w:tc>
      </w:tr>
      <w:tr>
        <w:tc>
          <w:tcPr>
            <w:tcW w:w="3120" w:type="dxa"/>
          </w:tcPr>
          <w:p>
            <w:pPr>
              <w:bidi/>
            </w:pPr>
            <w:r>
              <w:rPr>
                <w:rtl/>
              </w:rPr>
              <w:t xml:space="preserve">בטיחות ילדים</w:t>
            </w:r>
          </w:p>
        </w:tc>
        <w:tc>
          <w:tcPr>
            <w:tcW w:w="3120" w:type="dxa"/>
          </w:tcPr>
          <w:p>
            <w:pPr>
              <w:bidi/>
            </w:pPr>
            <w:r>
              <w:rPr>
                <w:rtl/>
              </w:rPr>
              <w:t xml:space="preserve">כמעט אין מחקר שעבר סקירת עמיתים, ואין נתונים על שכיחות ההתעללות</w:t>
            </w:r>
          </w:p>
        </w:tc>
        <w:tc>
          <w:tcPr>
            <w:tcW w:w="3120" w:type="dxa"/>
          </w:tcPr>
          <w:p>
            <w:pPr>
              <w:bidi/>
            </w:pPr>
            <w:r>
              <w:rPr>
                <w:rtl/>
              </w:rPr>
              <w:t xml:space="preserve">סדרות מקרים (Knox 2014, קונטיקט 2018) מעוררות חשש שקל להסתיר התעללות. </w:t>
            </w:r>
            <w:hyperlink r:id="rId23" w:history="1">
              <w:r>
                <w:rPr>
                  <w:rStyle w:val="Hyperlink"/>
                  <w:rtl/>
                </w:rPr>
                <w:t xml:space="preserve">Bartholet (2020)</w:t>
              </w:r>
            </w:hyperlink>
            <w:r>
              <w:rPr>
                <w:rtl/>
              </w:rPr>
              <w:t xml:space="preserve"> מציעה איסור ברירת מחדל, אבל זו עמדה משפטית ולא מחקר אמפירי</w:t>
            </w:r>
          </w:p>
        </w:tc>
      </w:tr>
    </w:tbl>
    <w:p>
      <w:pPr>
        <w:bidi/>
      </w:pPr>
      <w:r>
        <w:rPr>
          <w:b/>
          <w:rtl/>
        </w:rPr>
        <w:t xml:space="preserve">מחקר ישראלי:</w:t>
      </w:r>
      <w:r>
        <w:rPr>
          <w:rtl/>
        </w:rPr>
        <w:t xml:space="preserve"> גוטרמן ונוימן מהמכללה האקדמית גליל מערבי פרסמו כ-12 מאמרים, רובם עם קבוצת השוואה (</w:t>
      </w:r>
      <w:hyperlink r:id="rId24" w:history="1">
        <w:r>
          <w:rPr>
            <w:rStyle w:val="Hyperlink"/>
            <w:rtl/>
          </w:rPr>
          <w:t xml:space="preserve">רשימה</w:t>
        </w:r>
      </w:hyperlink>
      <w:r>
        <w:rPr>
          <w:rtl/>
        </w:rPr>
        <w:t xml:space="preserve">). אלה הממצאים העיקריים:</w:t>
      </w:r>
    </w:p>
    <w:p>
      <w:pPr>
        <w:pStyle w:val="ListParagraph"/>
        <w:numPr>
          <w:ilvl w:val="0"/>
          <w:numId w:val="8"/>
        </w:numPr>
        <w:bidi/>
      </w:pPr>
      <w:r>
        <w:rPr>
          <w:rtl/>
        </w:rPr>
        <w:t xml:space="preserve">בקריאה, ילדי חינוך ביתי צעירים מעט מאחור, וסוגרים את הפער עד כיתה ה'–ו'.</w:t>
      </w:r>
    </w:p>
    <w:p>
      <w:pPr>
        <w:pStyle w:val="ListParagraph"/>
        <w:numPr>
          <w:ilvl w:val="0"/>
          <w:numId w:val="8"/>
        </w:numPr>
        <w:bidi/>
      </w:pPr>
      <w:r>
        <w:rPr>
          <w:rtl/>
        </w:rPr>
        <w:t xml:space="preserve">בידע כללי הם קיבלו ציונים גבוהים יותר.</w:t>
      </w:r>
    </w:p>
    <w:p>
      <w:pPr>
        <w:pStyle w:val="ListParagraph"/>
        <w:numPr>
          <w:ilvl w:val="0"/>
          <w:numId w:val="8"/>
        </w:numPr>
        <w:bidi/>
      </w:pPr>
      <w:r>
        <w:rPr>
          <w:rtl/>
        </w:rPr>
        <w:t xml:space="preserve">במחקר של Pearlman-Avnion ו-Grayevsky (2017) נמצא שככל שילד נמצא יותר שנים בחינוך ביתי, המסוגלות העצמית שלו נמוכה יותר.</w:t>
      </w:r>
    </w:p>
    <w:p>
      <w:pPr>
        <w:pStyle w:val="ListParagraph"/>
        <w:numPr>
          <w:ilvl w:val="0"/>
          <w:numId w:val="8"/>
        </w:numPr>
        <w:bidi/>
      </w:pPr>
      <w:r>
        <w:rPr>
          <w:b/>
          <w:rtl/>
        </w:rPr>
        <w:t xml:space="preserve">מגבלות:</w:t>
      </w:r>
      <w:r>
        <w:rPr>
          <w:rtl/>
        </w:rPr>
        <w:t xml:space="preserve"> המדגמים קטנים ורובם חילוניים. למשל, באחד המחקרים 59 מתוך 62 המשיבים הגדירו את עצמם חילונים.</w:t>
      </w:r>
    </w:p>
    <w:p>
      <w:pPr>
        <w:bidi/>
      </w:pPr>
      <w:r>
        <w:rPr>
          <w:b/>
          <w:rtl/>
        </w:rPr>
        <w:t xml:space="preserve">איך להשתמש בראיות ביושר:</w:t>
      </w:r>
    </w:p>
    <w:p>
      <w:pPr>
        <w:pStyle w:val="ListParagraph"/>
        <w:numPr>
          <w:ilvl w:val="0"/>
          <w:numId w:val="9"/>
        </w:numPr>
        <w:bidi/>
      </w:pPr>
      <w:r>
        <w:rPr>
          <w:rtl/>
        </w:rPr>
        <w:t xml:space="preserve">כדאי לומר "אין ראיות לנזק", ולא "חינוך ביתי עדיף".</w:t>
      </w:r>
    </w:p>
    <w:p>
      <w:pPr>
        <w:pStyle w:val="ListParagraph"/>
        <w:numPr>
          <w:ilvl w:val="0"/>
          <w:numId w:val="9"/>
        </w:numPr>
        <w:bidi/>
      </w:pPr>
      <w:r>
        <w:rPr>
          <w:rtl/>
        </w:rPr>
        <w:t xml:space="preserve">צריך להציג גם את הממצאים הפחות נוחים, ולציין את מגבלות המחקר בכל ציטוט.</w:t>
      </w:r>
    </w:p>
    <w:p>
      <w:pPr>
        <w:pStyle w:val="ListParagraph"/>
        <w:numPr>
          <w:ilvl w:val="0"/>
          <w:numId w:val="9"/>
        </w:numPr>
        <w:bidi/>
      </w:pPr>
      <w:r>
        <w:rPr>
          <w:rtl/>
        </w:rPr>
        <w:t xml:space="preserve">על הפער בנתונים על התעללות כדאי לענות בהצעה למנגנון פיקוח מידתי, ולא בהכחשה.</w:t>
      </w:r>
    </w:p>
    <w:p>
      <w:pPr>
        <w:pStyle w:val="Heading2"/>
        <w:bidi/>
      </w:pPr>
      <w:r>
        <w:rPr>
          <w:rtl/>
        </w:rPr>
        <w:t xml:space="preserve">מיפוי שחקנים ראשוני</w:t>
      </w:r>
    </w:p>
    <w:p>
      <w:pPr>
        <w:bidi/>
      </w:pPr>
      <w:r>
        <w:rPr>
          <w:rtl/>
        </w:rPr>
        <w:t xml:space="preserve">לא נמצא ארגון מדיניות מבוסס שעוסק בחינוך ביתי. מנגד, המתנגדים המתועדים מנסחים את עמדתם סביב כתות ופיקוח. כלומר המגרש פנוי למי שיציע רפורמה מאוזנת.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שחקן</w:t>
            </w:r>
          </w:p>
        </w:tc>
        <w:tc>
          <w:tcPr>
            <w:tcW w:w="2340" w:type="dxa"/>
            <w:shd w:val="clear" w:color="auto" w:fill="F2F2F2"/>
          </w:tcPr>
          <w:p>
            <w:pPr>
              <w:bidi/>
            </w:pPr>
            <w:r>
              <w:rPr>
                <w:rtl/>
              </w:rPr>
              <w:t xml:space="preserve">תפקיד</w:t>
            </w:r>
          </w:p>
        </w:tc>
        <w:tc>
          <w:tcPr>
            <w:tcW w:w="2340" w:type="dxa"/>
            <w:shd w:val="clear" w:color="auto" w:fill="F2F2F2"/>
          </w:tcPr>
          <w:p>
            <w:pPr>
              <w:bidi/>
            </w:pPr>
            <w:r>
              <w:rPr>
                <w:rtl/>
              </w:rPr>
              <w:t xml:space="preserve">עמדה</w:t>
            </w:r>
          </w:p>
        </w:tc>
        <w:tc>
          <w:tcPr>
            <w:tcW w:w="2340" w:type="dxa"/>
            <w:shd w:val="clear" w:color="auto" w:fill="F2F2F2"/>
          </w:tcPr>
          <w:p>
            <w:pPr>
              <w:bidi/>
            </w:pPr>
            <w:r>
              <w:rPr>
                <w:rtl/>
              </w:rPr>
              <w:t xml:space="preserve">מקור</w:t>
            </w:r>
          </w:p>
        </w:tc>
      </w:tr>
      <w:tr>
        <w:tc>
          <w:tcPr>
            <w:tcW w:w="2340" w:type="dxa"/>
          </w:tcPr>
          <w:p>
            <w:pPr>
              <w:bidi/>
            </w:pPr>
            <w:r>
              <w:rPr>
                <w:rtl/>
              </w:rPr>
              <w:t xml:space="preserve">משרד החינוך</w:t>
            </w:r>
          </w:p>
        </w:tc>
        <w:tc>
          <w:tcPr>
            <w:tcW w:w="2340" w:type="dxa"/>
          </w:tcPr>
          <w:p>
            <w:pPr>
              <w:bidi/>
            </w:pPr>
            <w:r>
              <w:rPr>
                <w:rtl/>
              </w:rPr>
              <w:t xml:space="preserve">מחליט על הפטורים</w:t>
            </w:r>
          </w:p>
        </w:tc>
        <w:tc>
          <w:tcPr>
            <w:tcW w:w="2340" w:type="dxa"/>
          </w:tcPr>
          <w:p>
            <w:pPr>
              <w:bidi/>
            </w:pPr>
            <w:r>
              <w:rPr>
                <w:rtl/>
              </w:rPr>
              <w:t xml:space="preserve">מקומו של ילד במוסד, ופטור ניתן רק במקרים חריגים</w:t>
            </w:r>
          </w:p>
        </w:tc>
        <w:tc>
          <w:tcPr>
            <w:tcW w:w="2340" w:type="dxa"/>
          </w:tcPr>
          <w:p>
            <w:pPr/>
            <w:hyperlink r:id="rId11" w:history="1">
              <w:r>
                <w:rPr>
                  <w:rStyle w:val="Hyperlink"/>
                </w:rPr>
                <w:t xml:space="preserve">mako</w:t>
              </w:r>
            </w:hyperlink>
          </w:p>
        </w:tc>
      </w:tr>
      <w:tr>
        <w:tc>
          <w:tcPr>
            <w:tcW w:w="2340" w:type="dxa"/>
          </w:tcPr>
          <w:p>
            <w:pPr>
              <w:bidi/>
            </w:pPr>
            <w:r>
              <w:rPr>
                <w:rtl/>
              </w:rPr>
              <w:t xml:space="preserve">אורלי לוי-אבקסיס</w:t>
            </w:r>
          </w:p>
        </w:tc>
        <w:tc>
          <w:tcPr>
            <w:tcW w:w="2340" w:type="dxa"/>
          </w:tcPr>
          <w:p>
            <w:pPr>
              <w:bidi/>
            </w:pPr>
            <w:r>
              <w:rPr>
                <w:rtl/>
              </w:rPr>
              <w:t xml:space="preserve">יו"ר הוועדה לזכויות הילד (2013)</w:t>
            </w:r>
          </w:p>
        </w:tc>
        <w:tc>
          <w:tcPr>
            <w:tcW w:w="2340" w:type="dxa"/>
          </w:tcPr>
          <w:p>
            <w:pPr>
              <w:bidi/>
            </w:pPr>
            <w:r>
              <w:rPr>
                <w:rtl/>
              </w:rPr>
              <w:t xml:space="preserve">מבקרת. חששה שחינוך ביתי ישמש "מקלט לכתות אפלות"</w:t>
            </w:r>
          </w:p>
        </w:tc>
        <w:tc>
          <w:tcPr>
            <w:tcW w:w="2340" w:type="dxa"/>
          </w:tcPr>
          <w:p>
            <w:pPr>
              <w:bidi/>
            </w:pPr>
            <w:hyperlink r:id="rId25" w:history="1">
              <w:r>
                <w:rPr>
                  <w:rStyle w:val="Hyperlink"/>
                  <w:rtl/>
                </w:rPr>
                <w:t xml:space="preserve">ערוץ 7</w:t>
              </w:r>
            </w:hyperlink>
          </w:p>
        </w:tc>
      </w:tr>
      <w:tr>
        <w:tc>
          <w:tcPr>
            <w:tcW w:w="2340" w:type="dxa"/>
          </w:tcPr>
          <w:p>
            <w:pPr>
              <w:bidi/>
            </w:pPr>
            <w:r>
              <w:rPr>
                <w:rtl/>
              </w:rPr>
              <w:t xml:space="preserve">המרכז הישראלי לנפגעי כתות</w:t>
            </w:r>
          </w:p>
        </w:tc>
        <w:tc>
          <w:tcPr>
            <w:tcW w:w="2340" w:type="dxa"/>
          </w:tcPr>
          <w:p>
            <w:pPr>
              <w:bidi/>
            </w:pPr>
            <w:r>
              <w:rPr>
                <w:rtl/>
              </w:rPr>
              <w:t xml:space="preserve">עמותה</w:t>
            </w:r>
          </w:p>
        </w:tc>
        <w:tc>
          <w:tcPr>
            <w:tcW w:w="2340" w:type="dxa"/>
          </w:tcPr>
          <w:p>
            <w:pPr>
              <w:bidi/>
            </w:pPr>
            <w:r>
              <w:rPr>
                <w:rtl/>
              </w:rPr>
              <w:t xml:space="preserve">דורשת פיקוח הדוק יותר (נייר עמדה, 2023)</w:t>
            </w:r>
          </w:p>
        </w:tc>
        <w:tc>
          <w:tcPr>
            <w:tcW w:w="2340" w:type="dxa"/>
          </w:tcPr>
          <w:p>
            <w:pPr>
              <w:bidi/>
            </w:pPr>
            <w:hyperlink r:id="rId4" w:history="1">
              <w:r>
                <w:rPr>
                  <w:rStyle w:val="Hyperlink"/>
                  <w:rtl/>
                </w:rPr>
                <w:t xml:space="preserve">עמק</w:t>
              </w:r>
            </w:hyperlink>
          </w:p>
        </w:tc>
      </w:tr>
      <w:tr>
        <w:tc>
          <w:tcPr>
            <w:tcW w:w="2340" w:type="dxa"/>
          </w:tcPr>
          <w:p>
            <w:pPr>
              <w:bidi/>
            </w:pPr>
            <w:r>
              <w:rPr>
                <w:rtl/>
              </w:rPr>
              <w:t xml:space="preserve">פרופ' ארי נוימן וד"ר עוז גוטרמן</w:t>
            </w:r>
          </w:p>
        </w:tc>
        <w:tc>
          <w:tcPr>
            <w:tcW w:w="2340" w:type="dxa"/>
          </w:tcPr>
          <w:p>
            <w:pPr>
              <w:bidi/>
            </w:pPr>
            <w:r>
              <w:rPr>
                <w:rtl/>
              </w:rPr>
              <w:t xml:space="preserve">חוקרים, המכללה האקדמית גליל מערבי</w:t>
            </w:r>
          </w:p>
        </w:tc>
        <w:tc>
          <w:tcPr>
            <w:tcW w:w="2340" w:type="dxa"/>
          </w:tcPr>
          <w:p>
            <w:pPr>
              <w:bidi/>
            </w:pPr>
            <w:r>
              <w:rPr>
                <w:rtl/>
              </w:rPr>
              <w:t xml:space="preserve">מספקים בסיס מחקרי שאינו שלילי</w:t>
            </w:r>
          </w:p>
        </w:tc>
        <w:tc>
          <w:tcPr>
            <w:tcW w:w="2340" w:type="dxa"/>
          </w:tcPr>
          <w:p>
            <w:pPr/>
            <w:hyperlink r:id="rId9" w:history="1">
              <w:r>
                <w:rPr>
                  <w:rStyle w:val="Hyperlink"/>
                </w:rPr>
                <w:t xml:space="preserve">ynet</w:t>
              </w:r>
            </w:hyperlink>
          </w:p>
        </w:tc>
      </w:tr>
      <w:tr>
        <w:tc>
          <w:tcPr>
            <w:tcW w:w="2340" w:type="dxa"/>
          </w:tcPr>
          <w:p>
            <w:pPr>
              <w:bidi/>
            </w:pPr>
            <w:r>
              <w:rPr>
                <w:rtl/>
              </w:rPr>
              <w:t xml:space="preserve">ד"ר אריה קיזל</w:t>
            </w:r>
          </w:p>
        </w:tc>
        <w:tc>
          <w:tcPr>
            <w:tcW w:w="2340" w:type="dxa"/>
          </w:tcPr>
          <w:p>
            <w:pPr>
              <w:bidi/>
            </w:pPr>
            <w:r>
              <w:rPr>
                <w:rtl/>
              </w:rPr>
              <w:t xml:space="preserve">אוניברסיטת חיפה</w:t>
            </w:r>
          </w:p>
        </w:tc>
        <w:tc>
          <w:tcPr>
            <w:tcW w:w="2340" w:type="dxa"/>
          </w:tcPr>
          <w:p>
            <w:pPr>
              <w:bidi/>
            </w:pPr>
            <w:r>
              <w:rPr>
                <w:rtl/>
              </w:rPr>
              <w:t xml:space="preserve">תומך</w:t>
            </w:r>
          </w:p>
        </w:tc>
        <w:tc>
          <w:tcPr>
            <w:tcW w:w="2340" w:type="dxa"/>
          </w:tcPr>
          <w:p>
            <w:pPr/>
            <w:r>
              <w:t xml:space="preserve">mako</w:t>
            </w:r>
          </w:p>
        </w:tc>
      </w:tr>
      <w:tr>
        <w:tc>
          <w:tcPr>
            <w:tcW w:w="2340" w:type="dxa"/>
          </w:tcPr>
          <w:p>
            <w:pPr>
              <w:bidi/>
            </w:pPr>
            <w:r>
              <w:rPr>
                <w:rtl/>
              </w:rPr>
              <w:t xml:space="preserve">רני וחדווה קשר</w:t>
            </w:r>
          </w:p>
        </w:tc>
        <w:tc>
          <w:tcPr>
            <w:tcW w:w="2340" w:type="dxa"/>
          </w:tcPr>
          <w:p>
            <w:pPr>
              <w:bidi/>
            </w:pPr>
            <w:r>
              <w:rPr>
                <w:rtl/>
              </w:rPr>
              <w:t xml:space="preserve">חלוצי החינוך הביתי</w:t>
            </w:r>
          </w:p>
        </w:tc>
        <w:tc>
          <w:tcPr>
            <w:tcW w:w="2340" w:type="dxa"/>
          </w:tcPr>
          <w:p>
            <w:pPr>
              <w:bidi/>
            </w:pPr>
            <w:r>
              <w:rPr>
                <w:rtl/>
              </w:rPr>
              <w:t xml:space="preserve">מתנגדים לחובת האישור</w:t>
            </w:r>
          </w:p>
        </w:tc>
        <w:tc>
          <w:tcPr>
            <w:tcW w:w="2340" w:type="dxa"/>
          </w:tcPr>
          <w:p>
            <w:pPr/>
            <w:r>
              <w:t xml:space="preserve">mako</w:t>
            </w:r>
          </w:p>
        </w:tc>
      </w:tr>
      <w:tr>
        <w:tc>
          <w:tcPr>
            <w:tcW w:w="2340" w:type="dxa"/>
          </w:tcPr>
          <w:p>
            <w:pPr>
              <w:bidi/>
            </w:pPr>
            <w:r>
              <w:rPr>
                <w:rtl/>
              </w:rPr>
              <w:t xml:space="preserve">ד"ר חיה הלר-דגני, ד"ר ענת שפירא-לביא</w:t>
            </w:r>
          </w:p>
        </w:tc>
        <w:tc>
          <w:tcPr>
            <w:tcW w:w="2340" w:type="dxa"/>
          </w:tcPr>
          <w:p>
            <w:pPr>
              <w:bidi/>
            </w:pPr>
            <w:r>
              <w:rPr>
                <w:rtl/>
              </w:rPr>
              <w:t xml:space="preserve">אקדמיה וכתיבה</w:t>
            </w:r>
          </w:p>
        </w:tc>
        <w:tc>
          <w:tcPr>
            <w:tcW w:w="2340" w:type="dxa"/>
          </w:tcPr>
          <w:p>
            <w:pPr>
              <w:bidi/>
            </w:pPr>
            <w:r>
              <w:rPr>
                <w:rtl/>
              </w:rPr>
              <w:t xml:space="preserve">תומכות (לא אומת)</w:t>
            </w:r>
          </w:p>
        </w:tc>
        <w:tc>
          <w:tcPr>
            <w:tcW w:w="2340" w:type="dxa"/>
          </w:tcPr>
          <w:p>
            <w:pPr/>
            <w:hyperlink r:id="rId10" w:history="1">
              <w:r>
                <w:rPr>
                  <w:rStyle w:val="Hyperlink"/>
                </w:rPr>
                <w:t xml:space="preserve">Time Out</w:t>
              </w:r>
            </w:hyperlink>
          </w:p>
        </w:tc>
      </w:tr>
      <w:tr>
        <w:tc>
          <w:tcPr>
            <w:tcW w:w="2340" w:type="dxa"/>
          </w:tcPr>
          <w:p>
            <w:pPr/>
            <w:r>
              <w:t xml:space="preserve">Israel Home Education Association</w:t>
            </w:r>
          </w:p>
        </w:tc>
        <w:tc>
          <w:tcPr>
            <w:tcW w:w="2340" w:type="dxa"/>
          </w:tcPr>
          <w:p>
            <w:pPr>
              <w:bidi/>
            </w:pPr>
            <w:r>
              <w:rPr>
                <w:rtl/>
              </w:rPr>
              <w:t xml:space="preserve">עמותה</w:t>
            </w:r>
          </w:p>
        </w:tc>
        <w:tc>
          <w:tcPr>
            <w:tcW w:w="2340" w:type="dxa"/>
          </w:tcPr>
          <w:p>
            <w:pPr>
              <w:bidi/>
            </w:pPr>
            <w:r>
              <w:rPr>
                <w:rtl/>
              </w:rPr>
              <w:t xml:space="preserve">לא ידוע, לא נמצא לה אתר</w:t>
            </w:r>
          </w:p>
        </w:tc>
        <w:tc>
          <w:tcPr>
            <w:tcW w:w="2340" w:type="dxa"/>
          </w:tcPr>
          <w:p>
            <w:pPr/>
            <w:hyperlink r:id="rId26" w:history="1">
              <w:r>
                <w:rPr>
                  <w:rStyle w:val="Hyperlink"/>
                </w:rPr>
                <w:t xml:space="preserve">Nefesh B'Nefesh</w:t>
              </w:r>
            </w:hyperlink>
          </w:p>
        </w:tc>
      </w:tr>
    </w:tbl>
    <w:p>
      <w:pPr>
        <w:bidi/>
      </w:pPr>
      <w:r>
        <w:rPr>
          <w:rtl/>
        </w:rPr>
        <w:t xml:space="preserve">לא נמצאה עמדה מתועדת של הסתדרות המורים או של המועצה לשלום הילד.</w:t>
      </w:r>
    </w:p>
    <w:p>
      <w:pPr>
        <w:pStyle w:val="Heading2"/>
        <w:bidi/>
      </w:pPr>
      <w:r>
        <w:rPr>
          <w:rtl/>
        </w:rPr>
        <w:t xml:space="preserve">פורום קהלת</w:t>
      </w:r>
    </w:p>
    <w:p>
      <w:pPr>
        <w:bidi/>
      </w:pPr>
      <w:r>
        <w:rPr>
          <w:rtl/>
        </w:rPr>
        <w:t xml:space="preserve">לפורום קהלת אין מחקר על חינוך ביתי. חיפשתי בעברית ובאנגלית, וקראתי את שני ניירות המדיניות שלו על בחירת הורים. המונח "חינוך ביתי" לא מופיע באף אחד מהם. בכל זאת, יש שם שני דברים שמועילים למהלך: טיעון חזק על שוויון, וערוץ גישה למשרד החינוך.</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מסמך</w:t>
            </w:r>
          </w:p>
        </w:tc>
        <w:tc>
          <w:tcPr>
            <w:tcW w:w="3120" w:type="dxa"/>
            <w:shd w:val="clear" w:color="auto" w:fill="F2F2F2"/>
          </w:tcPr>
          <w:p>
            <w:pPr>
              <w:bidi/>
            </w:pPr>
            <w:r>
              <w:rPr>
                <w:rtl/>
              </w:rPr>
              <w:t xml:space="preserve">עיקר</w:t>
            </w:r>
          </w:p>
        </w:tc>
        <w:tc>
          <w:tcPr>
            <w:tcW w:w="3120" w:type="dxa"/>
            <w:shd w:val="clear" w:color="auto" w:fill="F2F2F2"/>
          </w:tcPr>
          <w:p>
            <w:pPr>
              <w:bidi/>
            </w:pPr>
            <w:r>
              <w:rPr>
                <w:rtl/>
              </w:rPr>
              <w:t xml:space="preserve">רלוונטיות למהלך</w:t>
            </w:r>
          </w:p>
        </w:tc>
      </w:tr>
      <w:tr>
        <w:tc>
          <w:tcPr>
            <w:tcW w:w="3120" w:type="dxa"/>
          </w:tcPr>
          <w:p>
            <w:pPr>
              <w:bidi/>
            </w:pPr>
            <w:hyperlink r:id="rId27" w:history="1">
              <w:r>
                <w:rPr>
                  <w:rStyle w:val="Hyperlink"/>
                  <w:rtl/>
                </w:rPr>
                <w:t xml:space="preserve">אוטונומיה ובחירה במערכת חינוך פתוחה</w:t>
              </w:r>
            </w:hyperlink>
            <w:r>
              <w:rPr>
                <w:rtl/>
              </w:rPr>
              <w:t xml:space="preserve">, נייר מס' 34. מחברים: שובל שפט, אביטל בן-שלמה ויצחק קליין (2018)</w:t>
            </w:r>
          </w:p>
        </w:tc>
        <w:tc>
          <w:tcPr>
            <w:tcW w:w="3120" w:type="dxa"/>
          </w:tcPr>
          <w:p>
            <w:pPr>
              <w:bidi/>
            </w:pPr>
            <w:r>
              <w:rPr>
                <w:rtl/>
              </w:rPr>
              <w:t xml:space="preserve">אוטונומיה לבתי הספר, בחירת הורים וכניסה חופשית לשוק החינוך</w:t>
            </w:r>
          </w:p>
        </w:tc>
        <w:tc>
          <w:tcPr>
            <w:tcW w:w="3120" w:type="dxa"/>
          </w:tcPr>
          <w:p>
            <w:pPr>
              <w:bidi/>
            </w:pPr>
            <w:r>
              <w:rPr>
                <w:rtl/>
              </w:rPr>
              <w:t xml:space="preserve">מתאר את "מוסדות הפטור" (בעיקר תלמודי תורה): הם פטורים מחוק לימוד חובה, "המדינה אינה מפקחת" עליהם מלבד בבטיחות, והם מתוקצבים בכ-55% (עמ' 85–86)</w:t>
            </w:r>
          </w:p>
        </w:tc>
      </w:tr>
      <w:tr>
        <w:tc>
          <w:tcPr>
            <w:tcW w:w="3120" w:type="dxa"/>
          </w:tcPr>
          <w:p>
            <w:pPr>
              <w:bidi/>
            </w:pPr>
            <w:hyperlink r:id="rId28" w:history="1">
              <w:r>
                <w:rPr>
                  <w:rStyle w:val="Hyperlink"/>
                  <w:rtl/>
                </w:rPr>
                <w:t xml:space="preserve">חופש בחירה ותחרות בבתי-הספר בישראל</w:t>
              </w:r>
            </w:hyperlink>
            <w:r>
              <w:rPr>
                <w:rtl/>
              </w:rPr>
              <w:t xml:space="preserve">, נייר מס' 98. מחברים: נעמה אבידן, ריקי ממן ואברהם תומר (אוגוסט 2025)</w:t>
            </w:r>
          </w:p>
        </w:tc>
        <w:tc>
          <w:tcPr>
            <w:tcW w:w="3120" w:type="dxa"/>
          </w:tcPr>
          <w:p>
            <w:pPr>
              <w:bidi/>
            </w:pPr>
            <w:r>
              <w:rPr>
                <w:rtl/>
              </w:rPr>
              <w:t xml:space="preserve">הרחבת "בחירה מבוקרת". לפי הנייר, מחוץ לחרדים ולמגזר הערבי, חלופות לחינוך הציבורי בישראל "נדירות ביותר", והורים "מצביעים ברגליים"</w:t>
            </w:r>
          </w:p>
        </w:tc>
        <w:tc>
          <w:tcPr>
            <w:tcW w:w="3120" w:type="dxa"/>
          </w:tcPr>
          <w:p>
            <w:pPr>
              <w:bidi/>
            </w:pPr>
            <w:r>
              <w:rPr>
                <w:rtl/>
              </w:rPr>
              <w:t xml:space="preserve">מסגרת ערכית של בחירת הורים שמתאימה לחינוך ביתי, אבל בלי התייחסות ישירה אליו</w:t>
            </w:r>
          </w:p>
        </w:tc>
      </w:tr>
    </w:tbl>
    <w:p>
      <w:pPr>
        <w:bidi/>
      </w:pPr>
      <w:r>
        <w:rPr>
          <w:b/>
          <w:rtl/>
        </w:rPr>
        <w:t xml:space="preserve">מה לקחת מקהלת:</w:t>
      </w:r>
    </w:p>
    <w:p>
      <w:pPr>
        <w:pStyle w:val="ListParagraph"/>
        <w:numPr>
          <w:ilvl w:val="0"/>
          <w:numId w:val="10"/>
        </w:numPr>
        <w:bidi/>
      </w:pPr>
      <w:r>
        <w:rPr>
          <w:b/>
          <w:rtl/>
        </w:rPr>
        <w:t xml:space="preserve">טיעון השוויון:</w:t>
      </w:r>
      <w:r>
        <w:rPr>
          <w:rtl/>
        </w:rPr>
        <w:t xml:space="preserve"> מוסד פטור שלם מקבל פטור מחוק לימוד חובה, כמעט בלי פיקוח פדגוגי ובמימון ציבורי חלקי. משפחה שמחנכת בבית עוברת בדיקה פרנית של "השקפת עולם", ביקור בית וחידוש שנתי, ואינה מקבלת מימון. הפער הזה הוא טיעון מידתיות חזק לתיקון הוראת הקבע 0274. צריך להציג אותו בזהירות, כדי שלא יתפס כמתקפה על החינוך החרדי.</w:t>
      </w:r>
    </w:p>
    <w:p>
      <w:pPr>
        <w:pStyle w:val="ListParagraph"/>
        <w:numPr>
          <w:ilvl w:val="0"/>
          <w:numId w:val="10"/>
        </w:numPr>
        <w:bidi/>
      </w:pPr>
      <w:r>
        <w:rPr>
          <w:b/>
          <w:rtl/>
        </w:rPr>
        <w:t xml:space="preserve">ערוץ גישה:</w:t>
      </w:r>
      <w:r>
        <w:rPr>
          <w:rtl/>
        </w:rPr>
        <w:t xml:space="preserve"> בינואר 2023 הודיע שר החינוך יואב קיש על כוונתו למנות את עו"ד אביטל בן-שלמה, שעמדה בראש מחלקת החינוך של קהלת והיא מחברת נייר 34, למשנה למנכ"ל המשרד (</w:t>
      </w:r>
      <w:hyperlink r:id="rId29" w:history="1">
        <w:r>
          <w:rPr>
            <w:rStyle w:val="Hyperlink"/>
            <w:rtl/>
          </w:rPr>
          <w:t xml:space="preserve">דבר</w:t>
        </w:r>
      </w:hyperlink>
      <w:r>
        <w:rPr>
          <w:rtl/>
        </w:rPr>
        <w:t xml:space="preserve">). לא בדקתי אם היא עדיין בתפקיד, ואחרי הבחירות ייתכן שתתחלף.</w:t>
      </w:r>
    </w:p>
    <w:p>
      <w:pPr>
        <w:pStyle w:val="ListParagraph"/>
        <w:numPr>
          <w:ilvl w:val="0"/>
          <w:numId w:val="10"/>
        </w:numPr>
        <w:bidi/>
      </w:pPr>
      <w:r>
        <w:rPr>
          <w:b/>
          <w:rtl/>
        </w:rPr>
        <w:t xml:space="preserve">סיכון מיתוג:</w:t>
      </w:r>
      <w:r>
        <w:rPr>
          <w:rtl/>
        </w:rPr>
        <w:t xml:space="preserve"> ארגוני המורים מציגים את קהלת כמי שמפרק את החינוך הציבורי (</w:t>
      </w:r>
      <w:hyperlink r:id="rId30" w:history="1">
        <w:r>
          <w:rPr>
            <w:rStyle w:val="Hyperlink"/>
            <w:rtl/>
          </w:rPr>
          <w:t xml:space="preserve">מקור ראשון</w:t>
        </w:r>
      </w:hyperlink>
      <w:r>
        <w:rPr>
          <w:rtl/>
        </w:rPr>
        <w:t xml:space="preserve">, </w:t>
      </w:r>
      <w:hyperlink r:id="rId31" w:history="1">
        <w:r>
          <w:rPr>
            <w:rStyle w:val="Hyperlink"/>
            <w:rtl/>
          </w:rPr>
          <w:t xml:space="preserve">כלכליסט</w:t>
        </w:r>
      </w:hyperlink>
      <w:r>
        <w:rPr>
          <w:rtl/>
        </w:rPr>
        <w:t xml:space="preserve">). מהלך שיזוהה עם קהלת עלול לאבד את הקהל החילוני-ליברלי, שממנו מגיעות רוב המשפחות שמחנכות בבית (ציר ד).</w:t>
      </w:r>
    </w:p>
    <w:p>
      <w:pPr>
        <w:bidi/>
      </w:pPr>
      <w:r>
        <w:rPr>
          <w:b/>
          <w:rtl/>
        </w:rPr>
        <w:t xml:space="preserve">המלצה:</w:t>
      </w:r>
      <w:r>
        <w:rPr>
          <w:rtl/>
        </w:rPr>
        <w:t xml:space="preserve"> כדאי לפנות לקהלת כשותף לידע ולגישה, ולהציע להם לכתוב נייר קצר על חינוך ביתי שמתבסס על המחקר הזה. הדוברים של המהלך צריכים לבוא מקואליציה מגוונת פוליטית, ולא מקהלת.</w:t>
      </w:r>
    </w:p>
    <w:p>
      <w:pPr>
        <w:pStyle w:val="Heading2"/>
        <w:bidi/>
      </w:pPr>
      <w:r>
        <w:rPr>
          <w:rtl/>
        </w:rPr>
        <w:t xml:space="preserve">פערים ושאלות פתוחות</w:t>
      </w:r>
    </w:p>
    <w:p>
      <w:pPr>
        <w:bidi/>
      </w:pPr>
      <w:r>
        <w:rPr>
          <w:rtl/>
        </w:rPr>
        <w:t xml:space="preserve">כמה מהמקורות החשובים ביותר נחסמו במהלך המחקר, כנראה בגלל חסימה גאוגרפית: מסמכי מרכז המחקר של הכנסת, נוסח החוזר באתר משרד החינוך, וכל-זכות. מחשב בישראל אפשר לפתוח אותם בכ-30 דקות.</w:t>
      </w:r>
    </w:p>
    <w:p>
      <w:pPr>
        <w:bidi/>
      </w:pPr>
      <w:r>
        <w:rPr>
          <w:b/>
          <w:rtl/>
        </w:rPr>
        <w:t xml:space="preserve">לפתוח מישראל (מיידי):</w:t>
      </w:r>
    </w:p>
    <w:p>
      <w:pPr>
        <w:pStyle w:val="ListParagraph"/>
        <w:numPr>
          <w:ilvl w:val="0"/>
          <w:numId w:val="11"/>
        </w:numPr>
        <w:bidi/>
      </w:pPr>
      <w:r>
        <w:rPr>
          <w:rtl/>
        </w:rPr>
        <w:t xml:space="preserve">☐ לקרוא את הוראת קבע 0274 באתר חוזרי המנכ"ל, ולאמת את רף ה-55%, את הרכב הוועדה ואת עילות הביטול</w:t>
      </w:r>
    </w:p>
    <w:p>
      <w:pPr>
        <w:pStyle w:val="ListParagraph"/>
        <w:numPr>
          <w:ilvl w:val="0"/>
          <w:numId w:val="11"/>
        </w:numPr>
        <w:bidi/>
      </w:pPr>
      <w:r>
        <w:rPr>
          <w:rtl/>
        </w:rPr>
        <w:t xml:space="preserve">☐ לקרוא את שני מסמכי מרכז המחקר של הכנסת (הקישורים בציר א)</w:t>
      </w:r>
    </w:p>
    <w:p>
      <w:pPr>
        <w:pStyle w:val="ListParagraph"/>
        <w:numPr>
          <w:ilvl w:val="0"/>
          <w:numId w:val="11"/>
        </w:numPr>
        <w:bidi/>
      </w:pPr>
      <w:r>
        <w:rPr>
          <w:rtl/>
        </w:rPr>
        <w:t xml:space="preserve">☐ לחפש בנבו פסיקה מאז 2009: עתירות מנהליות והליכים פליליים נגד הורים</w:t>
      </w:r>
    </w:p>
    <w:p>
      <w:pPr>
        <w:pStyle w:val="ListParagraph"/>
        <w:numPr>
          <w:ilvl w:val="0"/>
          <w:numId w:val="11"/>
        </w:numPr>
        <w:bidi/>
      </w:pPr>
      <w:r>
        <w:rPr>
          <w:rtl/>
        </w:rPr>
        <w:t xml:space="preserve">☐ לחפש באתר הכנסת שאילתות והצעות חוק על "חינוך ביתי"</w:t>
      </w:r>
    </w:p>
    <w:p>
      <w:pPr>
        <w:bidi/>
      </w:pPr>
      <w:r>
        <w:rPr>
          <w:b/>
          <w:rtl/>
        </w:rPr>
        <w:t xml:space="preserve">לבקשת חופש המידע (כבר נמצאים בטיוטה):</w:t>
      </w:r>
      <w:r>
        <w:rPr>
          <w:rtl/>
        </w:rPr>
        <w:t xml:space="preserve"> מספר הבקשות, האישורים והדחיות משנת 2019 ואילך לפי מחוז, נימוקי הדחייה, ותוצאות העררים למנכ"ל.</w:t>
      </w:r>
    </w:p>
    <w:p>
      <w:pPr>
        <w:bidi/>
      </w:pPr>
      <w:r>
        <w:rPr>
          <w:b/>
          <w:rtl/>
        </w:rPr>
        <w:t xml:space="preserve">לראיונות:</w:t>
      </w:r>
    </w:p>
    <w:p>
      <w:pPr>
        <w:pStyle w:val="ListParagraph"/>
        <w:numPr>
          <w:ilvl w:val="0"/>
          <w:numId w:val="12"/>
        </w:numPr>
        <w:bidi/>
      </w:pPr>
      <w:r>
        <w:rPr>
          <w:rtl/>
        </w:rPr>
        <w:t xml:space="preserve">נוימן וגוטרמן: מה מצב המחקר העדכני</w:t>
      </w:r>
    </w:p>
    <w:p>
      <w:pPr>
        <w:pStyle w:val="ListParagraph"/>
        <w:numPr>
          <w:ilvl w:val="0"/>
          <w:numId w:val="12"/>
        </w:numPr>
        <w:bidi/>
      </w:pPr>
      <w:r>
        <w:rPr>
          <w:rtl/>
        </w:rPr>
        <w:t xml:space="preserve">משפחות שנדחו: האם הקריטריון של "השקפת עולם" מיושם בצורה שרירותית</w:t>
      </w:r>
    </w:p>
    <w:p>
      <w:pPr>
        <w:pStyle w:val="ListParagraph"/>
        <w:numPr>
          <w:ilvl w:val="0"/>
          <w:numId w:val="12"/>
        </w:numPr>
        <w:bidi/>
      </w:pPr>
      <w:r>
        <w:rPr>
          <w:rtl/>
        </w:rPr>
        <w:t xml:space="preserve">המרכז לנפגעי כתות: איזה מנגנון פיקוח יספק אותם. זו פגישה שכדאי לעשות מוקדם: אם מוצאים נוסחה משותפת, ההתנגדות החזקה ביותר מנוטרלת</w:t>
      </w:r>
    </w:p>
    <w:p>
      <w:pPr>
        <w:pStyle w:val="Heading2"/>
        <w:bidi/>
      </w:pPr>
      <w:r>
        <w:rPr>
          <w:rtl/>
        </w:rPr>
        <w:t xml:space="preserve">מקורות</w:t>
      </w:r>
    </w:p>
    <w:p>
      <w:pPr>
        <w:bidi/>
      </w:pPr>
      <w:r>
        <w:rPr>
          <w:rtl/>
        </w:rPr>
        <w:t xml:space="preserve">נפתחו ונקראו על ידי סוכני המחקר, אלא אם צוין אחרת.</w:t>
      </w:r>
    </w:p>
    <w:p>
      <w:pPr>
        <w:pStyle w:val="ListParagraph"/>
        <w:numPr>
          <w:ilvl w:val="0"/>
          <w:numId w:val="13"/>
        </w:numPr>
        <w:bidi/>
      </w:pPr>
      <w:hyperlink r:id="rId3" w:history="1">
        <w:r>
          <w:rPr>
            <w:rStyle w:val="Hyperlink"/>
            <w:rtl/>
          </w:rPr>
          <w:t xml:space="preserve">חוק לימוד חובה — ויקיטקסט</w:t>
        </w:r>
      </w:hyperlink>
    </w:p>
    <w:p>
      <w:pPr>
        <w:pStyle w:val="ListParagraph"/>
        <w:numPr>
          <w:ilvl w:val="0"/>
          <w:numId w:val="13"/>
        </w:numPr>
        <w:bidi/>
      </w:pPr>
      <w:hyperlink r:id="rId6" w:history="1">
        <w:r>
          <w:rPr>
            <w:rStyle w:val="Hyperlink"/>
            <w:rtl/>
          </w:rPr>
          <w:t xml:space="preserve">פורטל ההורים — חינוך ביתי</w:t>
        </w:r>
      </w:hyperlink>
    </w:p>
    <w:p>
      <w:pPr>
        <w:pStyle w:val="ListParagraph"/>
        <w:numPr>
          <w:ilvl w:val="0"/>
          <w:numId w:val="13"/>
        </w:numPr>
        <w:bidi/>
      </w:pPr>
      <w:hyperlink r:id="rId5" w:history="1">
        <w:r>
          <w:rPr>
            <w:rStyle w:val="Hyperlink"/>
            <w:rtl/>
          </w:rPr>
          <w:t xml:space="preserve">נספח 1 לחוזר — טופס בקשה</w:t>
        </w:r>
      </w:hyperlink>
    </w:p>
    <w:p>
      <w:pPr>
        <w:pStyle w:val="ListParagraph"/>
        <w:numPr>
          <w:ilvl w:val="0"/>
          <w:numId w:val="13"/>
        </w:numPr>
        <w:bidi/>
      </w:pPr>
      <w:hyperlink r:id="rId4" w:history="1">
        <w:r>
          <w:rPr>
            <w:rStyle w:val="Hyperlink"/>
            <w:rtl/>
          </w:rPr>
          <w:t xml:space="preserve">נייר עמדה של המרכז הישראלי לנפגעי כתות (2023)</w:t>
        </w:r>
      </w:hyperlink>
    </w:p>
    <w:p>
      <w:pPr>
        <w:pStyle w:val="ListParagraph"/>
        <w:numPr>
          <w:ilvl w:val="0"/>
          <w:numId w:val="13"/>
        </w:numPr>
      </w:pPr>
      <w:hyperlink r:id="rId11" w:history="1">
        <w:r>
          <w:rPr>
            <w:rStyle w:val="Hyperlink"/>
          </w:rPr>
          <w:t xml:space="preserve">mako / TheMarker (2018)</w:t>
        </w:r>
      </w:hyperlink>
    </w:p>
    <w:p>
      <w:pPr>
        <w:pStyle w:val="ListParagraph"/>
        <w:numPr>
          <w:ilvl w:val="0"/>
          <w:numId w:val="13"/>
        </w:numPr>
      </w:pPr>
      <w:hyperlink r:id="rId10" w:history="1">
        <w:r>
          <w:rPr>
            <w:rStyle w:val="Hyperlink"/>
          </w:rPr>
          <w:t xml:space="preserve">Time Out (2019)</w:t>
        </w:r>
      </w:hyperlink>
    </w:p>
    <w:p>
      <w:pPr>
        <w:pStyle w:val="ListParagraph"/>
        <w:numPr>
          <w:ilvl w:val="0"/>
          <w:numId w:val="13"/>
        </w:numPr>
      </w:pPr>
      <w:hyperlink r:id="rId9" w:history="1">
        <w:r>
          <w:rPr>
            <w:rStyle w:val="Hyperlink"/>
          </w:rPr>
          <w:t xml:space="preserve">ynet — לא מתוארך</w:t>
        </w:r>
      </w:hyperlink>
    </w:p>
    <w:p>
      <w:pPr>
        <w:pStyle w:val="ListParagraph"/>
        <w:numPr>
          <w:ilvl w:val="0"/>
          <w:numId w:val="13"/>
        </w:numPr>
        <w:bidi/>
      </w:pPr>
      <w:hyperlink r:id="rId25" w:history="1">
        <w:r>
          <w:rPr>
            <w:rStyle w:val="Hyperlink"/>
            <w:rtl/>
          </w:rPr>
          <w:t xml:space="preserve">ערוץ 7 — דיון הוועדה לזכויות הילד (2013)</w:t>
        </w:r>
      </w:hyperlink>
    </w:p>
    <w:p>
      <w:pPr>
        <w:pStyle w:val="ListParagraph"/>
        <w:numPr>
          <w:ilvl w:val="0"/>
          <w:numId w:val="13"/>
        </w:numPr>
      </w:pPr>
      <w:hyperlink r:id="rId20" w:history="1">
        <w:r>
          <w:rPr>
            <w:rStyle w:val="Hyperlink"/>
          </w:rPr>
          <w:t xml:space="preserve">Kunzman &amp; Gaither (2020)</w:t>
        </w:r>
      </w:hyperlink>
    </w:p>
    <w:p>
      <w:pPr>
        <w:pStyle w:val="ListParagraph"/>
        <w:numPr>
          <w:ilvl w:val="0"/>
          <w:numId w:val="13"/>
        </w:numPr>
      </w:pPr>
      <w:hyperlink r:id="rId22" w:history="1">
        <w:r>
          <w:rPr>
            <w:rStyle w:val="Hyperlink"/>
          </w:rPr>
          <w:t xml:space="preserve">Harvard Human Flourishing — Chen et al. (2021)</w:t>
        </w:r>
      </w:hyperlink>
    </w:p>
    <w:p>
      <w:pPr>
        <w:pStyle w:val="ListParagraph"/>
        <w:numPr>
          <w:ilvl w:val="0"/>
          <w:numId w:val="13"/>
        </w:numPr>
      </w:pPr>
      <w:hyperlink r:id="rId23" w:history="1">
        <w:r>
          <w:rPr>
            <w:rStyle w:val="Hyperlink"/>
          </w:rPr>
          <w:t xml:space="preserve">Bartholet (2020)</w:t>
        </w:r>
      </w:hyperlink>
    </w:p>
    <w:p>
      <w:pPr>
        <w:pStyle w:val="ListParagraph"/>
        <w:numPr>
          <w:ilvl w:val="0"/>
          <w:numId w:val="13"/>
        </w:numPr>
      </w:pPr>
      <w:hyperlink r:id="rId24" w:history="1">
        <w:r>
          <w:rPr>
            <w:rStyle w:val="Hyperlink"/>
          </w:rPr>
          <w:t xml:space="preserve">ICHER — מחקר ישראלי</w:t>
        </w:r>
      </w:hyperlink>
    </w:p>
    <w:p>
      <w:pPr>
        <w:pStyle w:val="ListParagraph"/>
        <w:numPr>
          <w:ilvl w:val="0"/>
          <w:numId w:val="13"/>
        </w:numPr>
        <w:bidi/>
      </w:pPr>
      <w:hyperlink r:id="rId12" w:history="1">
        <w:r>
          <w:rPr>
            <w:rStyle w:val="Hyperlink"/>
            <w:rtl/>
          </w:rPr>
          <w:t xml:space="preserve">אנגליה — סטטיסטיקה רשמית</w:t>
        </w:r>
      </w:hyperlink>
    </w:p>
    <w:p>
      <w:pPr>
        <w:pStyle w:val="ListParagraph"/>
        <w:numPr>
          <w:ilvl w:val="0"/>
          <w:numId w:val="13"/>
        </w:numPr>
        <w:bidi/>
      </w:pPr>
      <w:hyperlink r:id="rId13" w:history="1">
        <w:r>
          <w:rPr>
            <w:rStyle w:val="Hyperlink"/>
            <w:rtl/>
          </w:rPr>
          <w:t xml:space="preserve">ויילס — החוק מ-2026</w:t>
        </w:r>
      </w:hyperlink>
    </w:p>
    <w:p>
      <w:pPr>
        <w:pStyle w:val="ListParagraph"/>
        <w:numPr>
          <w:ilvl w:val="0"/>
          <w:numId w:val="13"/>
        </w:numPr>
        <w:bidi/>
      </w:pPr>
      <w:hyperlink r:id="rId14" w:history="1">
        <w:r>
          <w:rPr>
            <w:rStyle w:val="Hyperlink"/>
            <w:rtl/>
          </w:rPr>
          <w:t xml:space="preserve">צרפת — Banque des Territoires</w:t>
        </w:r>
      </w:hyperlink>
      <w:r>
        <w:rPr>
          <w:rtl/>
        </w:rPr>
        <w:t xml:space="preserve"> · </w:t>
      </w:r>
      <w:hyperlink r:id="rId15" w:history="1">
        <w:r>
          <w:rPr>
            <w:rStyle w:val="Hyperlink"/>
            <w:rtl/>
          </w:rPr>
          <w:t xml:space="preserve">סנאט</w:t>
        </w:r>
      </w:hyperlink>
    </w:p>
    <w:p>
      <w:pPr>
        <w:pStyle w:val="ListParagraph"/>
        <w:numPr>
          <w:ilvl w:val="0"/>
          <w:numId w:val="13"/>
        </w:numPr>
        <w:bidi/>
      </w:pPr>
      <w:hyperlink r:id="rId16" w:history="1">
        <w:r>
          <w:rPr>
            <w:rStyle w:val="Hyperlink"/>
            <w:rtl/>
          </w:rPr>
          <w:t xml:space="preserve">אונטריו — PPM 131</w:t>
        </w:r>
      </w:hyperlink>
      <w:r>
        <w:rPr>
          <w:rtl/>
        </w:rPr>
        <w:t xml:space="preserve"> · </w:t>
      </w:r>
      <w:hyperlink r:id="rId17" w:history="1">
        <w:r>
          <w:rPr>
            <w:rStyle w:val="Hyperlink"/>
            <w:rtl/>
          </w:rPr>
          <w:t xml:space="preserve">קוויבק</w:t>
        </w:r>
      </w:hyperlink>
    </w:p>
    <w:p>
      <w:pPr>
        <w:pStyle w:val="ListParagraph"/>
        <w:numPr>
          <w:ilvl w:val="0"/>
          <w:numId w:val="13"/>
        </w:numPr>
        <w:bidi/>
      </w:pPr>
      <w:hyperlink r:id="rId18" w:history="1">
        <w:r>
          <w:rPr>
            <w:rStyle w:val="Hyperlink"/>
            <w:rtl/>
          </w:rPr>
          <w:t xml:space="preserve">ניו יורק — 8 NYCRR 100.10</w:t>
        </w:r>
      </w:hyperlink>
    </w:p>
    <w:p>
      <w:pPr>
        <w:pStyle w:val="ListParagraph"/>
        <w:numPr>
          <w:ilvl w:val="0"/>
          <w:numId w:val="13"/>
        </w:numPr>
        <w:bidi/>
      </w:pPr>
      <w:hyperlink r:id="rId19" w:history="1">
        <w:r>
          <w:rPr>
            <w:rStyle w:val="Hyperlink"/>
            <w:rtl/>
          </w:rPr>
          <w:t xml:space="preserve">גרמניה — Wunderlich</w:t>
        </w:r>
      </w:hyperlink>
    </w:p>
    <w:p>
      <w:pPr>
        <w:bidi/>
      </w:pPr>
      <w:r>
        <w:rPr>
          <w:b/>
          <w:rtl/>
        </w:rPr>
        <w:t xml:space="preserve">פורום קהלת:</w:t>
      </w:r>
      <w:r>
        <w:rPr>
          <w:rtl/>
        </w:rPr>
        <w:t xml:space="preserve"> </w:t>
      </w:r>
      <w:hyperlink r:id="rId27" w:history="1">
        <w:r>
          <w:rPr>
            <w:rStyle w:val="Hyperlink"/>
            <w:rtl/>
          </w:rPr>
          <w:t xml:space="preserve">נייר 34 (2018)</w:t>
        </w:r>
      </w:hyperlink>
      <w:r>
        <w:rPr>
          <w:rtl/>
        </w:rPr>
        <w:t xml:space="preserve"> · </w:t>
      </w:r>
      <w:hyperlink r:id="rId28" w:history="1">
        <w:r>
          <w:rPr>
            <w:rStyle w:val="Hyperlink"/>
            <w:rtl/>
          </w:rPr>
          <w:t xml:space="preserve">נייר 98 (2025)</w:t>
        </w:r>
      </w:hyperlink>
      <w:r>
        <w:rPr>
          <w:rtl/>
        </w:rPr>
        <w:t xml:space="preserve"> · </w:t>
      </w:r>
      <w:hyperlink r:id="rId29" w:history="1">
        <w:r>
          <w:rPr>
            <w:rStyle w:val="Hyperlink"/>
            <w:rtl/>
          </w:rPr>
          <w:t xml:space="preserve">דבר — מינוי בן-שלמה (2023)</w:t>
        </w:r>
      </w:hyperlink>
      <w:r>
        <w:rPr>
          <w:rtl/>
        </w:rPr>
        <w:t xml:space="preserve"> · </w:t>
      </w:r>
      <w:hyperlink r:id="rId31" w:history="1">
        <w:r>
          <w:rPr>
            <w:rStyle w:val="Hyperlink"/>
            <w:rtl/>
          </w:rPr>
          <w:t xml:space="preserve">כלכליסט</w:t>
        </w:r>
      </w:hyperlink>
      <w:r>
        <w:rPr>
          <w:rtl/>
        </w:rPr>
        <w:t xml:space="preserve"> · </w:t>
      </w:r>
      <w:hyperlink r:id="rId30" w:history="1">
        <w:r>
          <w:rPr>
            <w:rStyle w:val="Hyperlink"/>
            <w:rtl/>
          </w:rPr>
          <w:t xml:space="preserve">מקור ראשון</w:t>
        </w:r>
      </w:hyperlink>
      <w:r>
        <w:rPr>
          <w:rtl/>
        </w:rPr>
        <w:t xml:space="preserve"> (שתי הכתבות האחרונות נמצאו בחיפוש ולא נפתחו)</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e.wikisource.org/wiki/&#1495;&#1493;&#1511;_&#1500;&#1497;&#1502;&#1493;&#1491;_&#1495;&#1493;&#1489;&#1492;" TargetMode="External"/><Relationship Id="rId4" Type="http://schemas.openxmlformats.org/officeDocument/2006/relationships/hyperlink" Target="https://www.omek.org.il/wp-content/uploads/2023/05/&#1492;&#1505;&#1491;&#1512;&#1514;-&#1495;&#1497;&#1504;&#1493;&#1498;-&#1489;&#1497;&#1514;&#1497;-&#1500;&#1504;&#1508;&#1490;&#1506;&#1497;-&#1499;&#1514;&#1493;&#1514;-&#1492;&#1502;&#1512;&#1499;&#1494;-&#1492;&#1497;&#1513;&#1512;&#1488;&#1500;&#1497;-&#1500;&#1504;&#1508;&#1490;&#1506;&#1497;-&#1499;&#1514;&#1493;&#1514;-&#1497;&#1504;&#1493;&#1488;&#1512;-2023.pdf" TargetMode="External"/><Relationship Id="rId5" Type="http://schemas.openxmlformats.org/officeDocument/2006/relationships/hyperlink" Target="https://meyda.education.gov.il/files/hozermankal/h-1.docx" TargetMode="External"/><Relationship Id="rId6" Type="http://schemas.openxmlformats.org/officeDocument/2006/relationships/hyperlink" Target="https://parents.education.gov.il/prhnet/gov-education/studies/study-frameworks/home-schooling" TargetMode="External"/><Relationship Id="rId7" Type="http://schemas.openxmlformats.org/officeDocument/2006/relationships/hyperlink" Target="https://fs.knesset.gov.il/globaldocs/MMM/215b6b58-e9f7-e411-80c8-00155d010977/2_215b6b58-e9f7-e411-80c8-00155d010977_11_7140.pdf" TargetMode="External"/><Relationship Id="rId8" Type="http://schemas.openxmlformats.org/officeDocument/2006/relationships/hyperlink" Target="https://fs.knesset.gov.il/globaldocs/MMM/db536b58-e9f7-e411-80c8-00155d010977/2_db536b58-e9f7-e411-80c8-00155d010977_11_9833.pdf" TargetMode="External"/><Relationship Id="rId9" Type="http://schemas.openxmlformats.org/officeDocument/2006/relationships/hyperlink" Target="https://www.ynet.co.il/parents/article/yokra13575043" TargetMode="External"/><Relationship Id="rId10" Type="http://schemas.openxmlformats.org/officeDocument/2006/relationships/hyperlink" Target="https://timeout.co.il/&#1495;&#1497;&#1504;&#1493;&#1498;-&#1489;&#1497;&#1514;&#1497;/" TargetMode="External"/><Relationship Id="rId11" Type="http://schemas.openxmlformats.org/officeDocument/2006/relationships/hyperlink" Target="https://www.mako.co.il/home-family-kids/back_to_school/Article-e80b44854849561006.htm" TargetMode="External"/><Relationship Id="rId12" Type="http://schemas.openxmlformats.org/officeDocument/2006/relationships/hyperlink" Target="https://explore-education-statistics.service.gov.uk/find-statistics/elective-home-education" TargetMode="External"/><Relationship Id="rId13" Type="http://schemas.openxmlformats.org/officeDocument/2006/relationships/hyperlink" Target="https://www.gov.wales/childrens-wellbeing-and-schools-act-2026-and-elective-home-education-html" TargetMode="External"/><Relationship Id="rId14" Type="http://schemas.openxmlformats.org/officeDocument/2006/relationships/hyperlink" Target="https://www.banquedesterritoires.fr/instruction-en-famille-en-deux-ans-le-nouveau-regime-fait-fondre-le-nombre-de-demandes" TargetMode="External"/><Relationship Id="rId15" Type="http://schemas.openxmlformats.org/officeDocument/2006/relationships/hyperlink" Target="https://www.senat.fr/questions/base/2024/qSEQ241000318.html" TargetMode="External"/><Relationship Id="rId16" Type="http://schemas.openxmlformats.org/officeDocument/2006/relationships/hyperlink" Target="https://www.edu.gov.on.ca/extra/eng/ppm/ppm131.pdf" TargetMode="External"/><Relationship Id="rId17" Type="http://schemas.openxmlformats.org/officeDocument/2006/relationships/hyperlink" Target="https://www.quebec.ca/education/prescolaire-primaire-et-secondaire/programmes-formations-evaluation/enseignement-maison/demarche-etapes" TargetMode="External"/><Relationship Id="rId18" Type="http://schemas.openxmlformats.org/officeDocument/2006/relationships/hyperlink" Target="https://www.law.cornell.edu/regulations/new-york/8-NYCRR-100.10" TargetMode="External"/><Relationship Id="rId19" Type="http://schemas.openxmlformats.org/officeDocument/2006/relationships/hyperlink" Target="https://www.irishlegal.com/articles/ecthr-german-parents-did-not-suffer-article-8-violation-when-homeschooled-children-were-taken-into-care" TargetMode="External"/><Relationship Id="rId20" Type="http://schemas.openxmlformats.org/officeDocument/2006/relationships/hyperlink" Target="http://icher.org/files/Kunzman_and_Gaither_An%20Updated_Comprehensive_Survey.pdf" TargetMode="External"/><Relationship Id="rId21" Type="http://schemas.openxmlformats.org/officeDocument/2006/relationships/hyperlink" Target="https://icher.org/blog/?p=827" TargetMode="External"/><Relationship Id="rId22" Type="http://schemas.openxmlformats.org/officeDocument/2006/relationships/hyperlink" Target="https://hfh.fas.harvard.edu/post/how-schooling-types-affect-human-flourishing" TargetMode="External"/><Relationship Id="rId23" Type="http://schemas.openxmlformats.org/officeDocument/2006/relationships/hyperlink" Target="https://dash.harvard.edu/handle/1/40108859" TargetMode="External"/><Relationship Id="rId24" Type="http://schemas.openxmlformats.org/officeDocument/2006/relationships/hyperlink" Target="https://icher.org/blog/?tag=israel" TargetMode="External"/><Relationship Id="rId25" Type="http://schemas.openxmlformats.org/officeDocument/2006/relationships/hyperlink" Target="https://www.inn.co.il/news/268001" TargetMode="External"/><Relationship Id="rId26" Type="http://schemas.openxmlformats.org/officeDocument/2006/relationships/hyperlink" Target="https://www.nbn.org.il/life-in-israel/education/child-and-teen/school-networks/" TargetMode="External"/><Relationship Id="rId27" Type="http://schemas.openxmlformats.org/officeDocument/2006/relationships/hyperlink" Target="https://www.kohelet.org.il/wp-content/uploads/2024/03/KPF070_AutoEd_ELECTRONIC.pdf" TargetMode="External"/><Relationship Id="rId28" Type="http://schemas.openxmlformats.org/officeDocument/2006/relationships/hyperlink" Target="https://www.kohelet.org.il/wp-content/uploads/2025/09/KPF0150_Edu_options.pdf" TargetMode="External"/><Relationship Id="rId29" Type="http://schemas.openxmlformats.org/officeDocument/2006/relationships/hyperlink" Target="https://www.davar1.co.il/418304/" TargetMode="External"/><Relationship Id="rId30" Type="http://schemas.openxmlformats.org/officeDocument/2006/relationships/hyperlink" Target="https://www.makorrishon.co.il/news/article/299134" TargetMode="External"/><Relationship Id="rId31" Type="http://schemas.openxmlformats.org/officeDocument/2006/relationships/hyperlink" Target="https://www.calcalist.co.il/local_news/article/s1zlb68nj"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מחקר שולחני — חינוך ביתי בישראל</dc:title>
  <dc:description>Claude Docs node/ffd78159-7463@12 docx-w6</dc:description>
  <cp:revision>12</cp:revision>
</cp:coreProperties>
</file>