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b w:val="0"/>
          <w:sz w:val="24"/>
          <w:rtl/>
        </w:rPr>
        <w:t>[תאריך]</w:t>
      </w:r>
    </w:p>
    <w:p>
      <w:pPr>
        <w:bidi/>
        <w:jc w:val="right"/>
      </w:pPr>
      <w:r>
        <w:rPr>
          <w:b w:val="0"/>
          <w:sz w:val="24"/>
          <w:rtl/>
        </w:rPr>
        <w:t>לכבוד</w:t>
      </w:r>
    </w:p>
    <w:p>
      <w:pPr>
        <w:bidi/>
        <w:jc w:val="right"/>
      </w:pPr>
      <w:r>
        <w:rPr>
          <w:b w:val="0"/>
          <w:sz w:val="24"/>
          <w:rtl/>
        </w:rPr>
        <w:t>הממונה על העמדת מידע לציבור (חופש המידע)</w:t>
      </w:r>
    </w:p>
    <w:p>
      <w:pPr>
        <w:bidi/>
        <w:jc w:val="right"/>
      </w:pPr>
      <w:r>
        <w:rPr>
          <w:b w:val="0"/>
          <w:sz w:val="24"/>
          <w:rtl/>
        </w:rPr>
        <w:t>משרד החינוך</w:t>
      </w:r>
    </w:p>
    <w:p>
      <w:pPr>
        <w:bidi/>
        <w:jc w:val="right"/>
      </w:pPr>
      <w:r>
        <w:rPr>
          <w:b w:val="0"/>
          <w:sz w:val="24"/>
          <w:rtl/>
        </w:rPr>
      </w:r>
    </w:p>
    <w:p>
      <w:pPr>
        <w:bidi/>
        <w:jc w:val="right"/>
      </w:pPr>
      <w:r>
        <w:rPr>
          <w:b/>
          <w:sz w:val="26"/>
          <w:rtl/>
        </w:rPr>
        <w:t>הנדון: בקשה לקבלת מידע לפי חוק חופש המידע, התשנ"ח-1998 – פטורים מחוק לימוד חובה לצורך חינוך ביתי</w:t>
      </w:r>
    </w:p>
    <w:p>
      <w:pPr>
        <w:bidi/>
        <w:jc w:val="right"/>
      </w:pPr>
      <w:r>
        <w:rPr>
          <w:b w:val="0"/>
          <w:sz w:val="24"/>
          <w:rtl/>
        </w:rPr>
      </w:r>
    </w:p>
    <w:p>
      <w:pPr>
        <w:bidi/>
        <w:jc w:val="right"/>
      </w:pPr>
      <w:r>
        <w:rPr>
          <w:b w:val="0"/>
          <w:sz w:val="24"/>
          <w:rtl/>
        </w:rPr>
        <w:t>1. בהתאם לחוק חופש המידע, התשנ"ח-1998 (להלן: "החוק"), אבקש לקבל את המידע המפורט להלן, הנוגע לבקשות לפטור מחוק לימוד חובה, התש"ט-1949, לשם חינוך ביתי.</w:t>
      </w:r>
    </w:p>
    <w:p>
      <w:pPr>
        <w:bidi/>
        <w:jc w:val="right"/>
      </w:pPr>
      <w:r>
        <w:rPr>
          <w:b w:val="0"/>
          <w:sz w:val="24"/>
          <w:rtl/>
        </w:rPr>
        <w:t>2. המידע מבוקש לשנות הלימודים תשע"ו (2015/16) עד תשפ"ז (2026/27), ככל שקיים. אם המידע אינו קיים לכל השנים, אבקש לקבל את המידע לשנים הקיימות.</w:t>
      </w:r>
    </w:p>
    <w:p>
      <w:pPr>
        <w:bidi/>
        <w:jc w:val="right"/>
      </w:pPr>
      <w:r>
        <w:rPr>
          <w:b/>
          <w:sz w:val="24"/>
          <w:rtl/>
        </w:rPr>
        <w:t>חלק א – נתונים (המבוקש בעדיפות ראשונה)</w:t>
      </w:r>
    </w:p>
    <w:p>
      <w:pPr>
        <w:bidi/>
        <w:jc w:val="right"/>
      </w:pPr>
      <w:r>
        <w:rPr>
          <w:b w:val="0"/>
          <w:sz w:val="24"/>
          <w:rtl/>
        </w:rPr>
        <w:t>א.1. מספר הבקשות לפטור שהוגשו בכל שנת לימודים, ומספר הבקשות שאושרו, שנדחו, שבוטלו ושטרם הוכרעו. אבקש פילוח לפי מחוז, לפי שלב חינוך (גן חובה, יסודי, חטיבת ביניים, חטיבה עליונה) ולפי פיקוח (ממלכתי, ממלכתי-דתי, חרדי, ערבי) – ככל שהפילוח קיים.</w:t>
      </w:r>
    </w:p>
    <w:p>
      <w:pPr>
        <w:bidi/>
        <w:jc w:val="right"/>
      </w:pPr>
      <w:r>
        <w:rPr>
          <w:b w:val="0"/>
          <w:sz w:val="24"/>
          <w:rtl/>
        </w:rPr>
        <w:t>א.2. מספר הילדים שהחזיקו בפטור בתוקף בכל שנת לימודים, ומתוכם מספר הילדים שקיבלו פטור לראשונה.</w:t>
      </w:r>
    </w:p>
    <w:p>
      <w:pPr>
        <w:bidi/>
        <w:jc w:val="right"/>
      </w:pPr>
      <w:r>
        <w:rPr>
          <w:b w:val="0"/>
          <w:sz w:val="24"/>
          <w:rtl/>
        </w:rPr>
        <w:t>א.3. משך הטיפול בבקשה (ממוצע וחציון, בימים) מיום הגשתה ועד ההחלטה, ומספר הבקשות שלא הוכרעו עד יום פתיחת שנת הלימודים.</w:t>
      </w:r>
    </w:p>
    <w:p>
      <w:pPr>
        <w:bidi/>
        <w:jc w:val="right"/>
      </w:pPr>
      <w:r>
        <w:rPr>
          <w:b w:val="0"/>
          <w:sz w:val="24"/>
          <w:rtl/>
        </w:rPr>
        <w:t>א.4. נימוקי הדחייה, מסווגים לפי סוג הנימוק, ומספר הבקשות שנדחו בכל סוג.</w:t>
      </w:r>
    </w:p>
    <w:p>
      <w:pPr>
        <w:bidi/>
        <w:jc w:val="right"/>
      </w:pPr>
      <w:r>
        <w:rPr>
          <w:b w:val="0"/>
          <w:sz w:val="24"/>
          <w:rtl/>
        </w:rPr>
        <w:t>א.5. מספר הערעורים או הבקשות לעיון חוזר שהוגשו על החלטות דחייה, ותוצאותיהם.</w:t>
      </w:r>
    </w:p>
    <w:p>
      <w:pPr>
        <w:bidi/>
        <w:jc w:val="right"/>
      </w:pPr>
      <w:r>
        <w:rPr>
          <w:b w:val="0"/>
          <w:sz w:val="24"/>
          <w:rtl/>
        </w:rPr>
        <w:t>א.6. מספר הילדים שחזרו למוסד חינוך במהלך שנת הלימודים או בסיומה, לאחר שהחזיקו בפטור.</w:t>
      </w:r>
    </w:p>
    <w:p>
      <w:pPr>
        <w:bidi/>
        <w:jc w:val="right"/>
      </w:pPr>
      <w:r>
        <w:rPr>
          <w:b/>
          <w:sz w:val="24"/>
          <w:rtl/>
        </w:rPr>
        <w:t>חלק ב – מסמכים ונהלים</w:t>
      </w:r>
    </w:p>
    <w:p>
      <w:pPr>
        <w:bidi/>
        <w:jc w:val="right"/>
      </w:pPr>
      <w:r>
        <w:rPr>
          <w:b w:val="0"/>
          <w:sz w:val="24"/>
          <w:rtl/>
        </w:rPr>
        <w:t>ב.1. הנהלים, ההנחיות, חוזרי המנכ"ל וההנחיות הפנימיות שבתוקף בעניין פטור לחינוך ביתי, ובכלל זה הקריטריונים לאישור ולדחייה.</w:t>
      </w:r>
    </w:p>
    <w:p>
      <w:pPr>
        <w:bidi/>
        <w:jc w:val="right"/>
      </w:pPr>
      <w:r>
        <w:rPr>
          <w:b w:val="0"/>
          <w:sz w:val="24"/>
          <w:rtl/>
        </w:rPr>
        <w:t>ב.2. טופסי הבקשה, וכן כל טופס, רשימת תיוג או מחוון שבו משתמשים המפקחים בעת ביקור בית או בעת בחינת הבקשה.</w:t>
      </w:r>
    </w:p>
    <w:p>
      <w:pPr>
        <w:bidi/>
        <w:jc w:val="right"/>
      </w:pPr>
      <w:r>
        <w:rPr>
          <w:b w:val="0"/>
          <w:sz w:val="24"/>
          <w:rtl/>
        </w:rPr>
        <w:t>ב.3. הנחיות לגבי מעקב ופיקוח על ילדים בעלי פטור לאחר האישור, ובכלל זה תדירות הביקורים.</w:t>
      </w:r>
    </w:p>
    <w:p>
      <w:pPr>
        <w:bidi/>
        <w:jc w:val="right"/>
      </w:pPr>
      <w:r>
        <w:rPr>
          <w:b w:val="0"/>
          <w:sz w:val="24"/>
          <w:rtl/>
        </w:rPr>
        <w:t>ב.4. הגורם או היחידה במשרד המטפלים בבקשות, ומספר בעלי התפקידים (במשרות) המוקצים לכך בכל מחוז.</w:t>
      </w:r>
    </w:p>
    <w:p>
      <w:pPr>
        <w:bidi/>
        <w:jc w:val="right"/>
      </w:pPr>
      <w:r>
        <w:rPr>
          <w:b/>
          <w:sz w:val="24"/>
          <w:rtl/>
        </w:rPr>
        <w:t>חלק ג – מדיניות</w:t>
      </w:r>
    </w:p>
    <w:p>
      <w:pPr>
        <w:bidi/>
        <w:jc w:val="right"/>
      </w:pPr>
      <w:r>
        <w:rPr>
          <w:b w:val="0"/>
          <w:sz w:val="24"/>
          <w:rtl/>
        </w:rPr>
        <w:t>ג.1. מחקרים, סקירות, ניירות עמדה או דוחות פנימיים שנכתבו או הוזמנו על ידי המשרד בנושא חינוך ביתי מאז שנת 2015.</w:t>
      </w:r>
    </w:p>
    <w:p>
      <w:pPr>
        <w:bidi/>
        <w:jc w:val="right"/>
      </w:pPr>
      <w:r>
        <w:rPr>
          <w:b w:val="0"/>
          <w:sz w:val="24"/>
          <w:rtl/>
        </w:rPr>
        <w:t>ג.2. מספר העתירות, התביעות והערעורים המנהליים שהוגשו נגד המשרד בעניין פטורים לחינוך ביתי מאז שנת 2015, ומספרי התיקים.</w:t>
      </w:r>
    </w:p>
    <w:p>
      <w:pPr>
        <w:bidi/>
        <w:jc w:val="right"/>
      </w:pPr>
      <w:r>
        <w:rPr>
          <w:b w:val="0"/>
          <w:sz w:val="24"/>
          <w:rtl/>
        </w:rPr>
        <w:t>ג.3. מידע על שינויים מתוכננים בנהלים או בחקיקה בנושא, ככל שאינו חסוי לפי סעיף 9(ב)(4) לחוק.</w:t>
      </w:r>
    </w:p>
    <w:p>
      <w:pPr>
        <w:bidi/>
        <w:jc w:val="right"/>
      </w:pPr>
      <w:r>
        <w:rPr>
          <w:b w:val="0"/>
          <w:sz w:val="24"/>
          <w:rtl/>
        </w:rPr>
        <w:t>3. הגנת הפרטיות: המידע מבוקש ברמה מצרפית בלבד, ללא כל פרט מזהה של ילדים או של משפחות. ככל שמספר קטן בפילוח מסוים עלול לאפשר זיהוי, אבקש לקבל את הנתון ברמת פילוח גבוהה יותר, במקום לסרב לבקשה.</w:t>
      </w:r>
    </w:p>
    <w:p>
      <w:pPr>
        <w:bidi/>
        <w:jc w:val="right"/>
      </w:pPr>
      <w:r>
        <w:rPr>
          <w:b w:val="0"/>
          <w:sz w:val="24"/>
          <w:rtl/>
        </w:rPr>
        <w:t>4. מסירה חלקית: ככל שחלק מהמידע אינו ניתן למסירה, אבקש לקבל את יתר המידע בהתאם לסעיף 11 לחוק, ולקבל נימוק מפורט לסירוב לפי סעיף 7(ד) לחוק.</w:t>
      </w:r>
    </w:p>
    <w:p>
      <w:pPr>
        <w:bidi/>
        <w:jc w:val="right"/>
      </w:pPr>
      <w:r>
        <w:rPr>
          <w:b w:val="0"/>
          <w:sz w:val="24"/>
          <w:rtl/>
        </w:rPr>
        <w:t>5. אופן המסירה: אבקש לקבל את הנתונים בקובץ ממוחשב בפורמט פתוח (Excel או CSV), ואת המסמכים בקובץ PDF, בדואר אלקטרוני.</w:t>
      </w:r>
    </w:p>
    <w:p>
      <w:pPr>
        <w:bidi/>
        <w:jc w:val="right"/>
      </w:pPr>
      <w:r>
        <w:rPr>
          <w:b w:val="0"/>
          <w:sz w:val="24"/>
          <w:rtl/>
        </w:rPr>
        <w:t>6. אגרות: ככל שתידרש אגרת טיפול או הפקה מעבר לאגרת הבקשה, אבקש לקבל הודעה ואומדן מראש, לפני תחילת הטיפול.</w:t>
      </w:r>
    </w:p>
    <w:p>
      <w:pPr>
        <w:bidi/>
        <w:jc w:val="right"/>
      </w:pPr>
      <w:r>
        <w:rPr>
          <w:b w:val="0"/>
          <w:sz w:val="24"/>
          <w:rtl/>
        </w:rPr>
        <w:t>7. אודה על מענה בתוך המועד הקבוע בסעיף 7(ב) לחוק.</w:t>
      </w:r>
    </w:p>
    <w:p>
      <w:pPr>
        <w:bidi/>
        <w:jc w:val="right"/>
      </w:pPr>
      <w:r>
        <w:rPr>
          <w:b w:val="0"/>
          <w:sz w:val="24"/>
          <w:rtl/>
        </w:rPr>
      </w:r>
    </w:p>
    <w:p>
      <w:pPr>
        <w:bidi/>
        <w:jc w:val="right"/>
      </w:pPr>
      <w:r>
        <w:rPr>
          <w:b w:val="0"/>
          <w:sz w:val="24"/>
          <w:rtl/>
        </w:rPr>
        <w:t>בכבוד רב,</w:t>
      </w:r>
    </w:p>
    <w:p>
      <w:pPr>
        <w:bidi/>
        <w:jc w:val="right"/>
      </w:pPr>
      <w:r>
        <w:rPr>
          <w:b w:val="0"/>
          <w:sz w:val="24"/>
          <w:rtl/>
        </w:rPr>
        <w:t>[שם מלא]   [מספר ת"ז]</w:t>
      </w:r>
    </w:p>
    <w:p>
      <w:pPr>
        <w:bidi/>
        <w:jc w:val="right"/>
      </w:pPr>
      <w:r>
        <w:rPr>
          <w:b w:val="0"/>
          <w:sz w:val="24"/>
          <w:rtl/>
        </w:rPr>
        <w:t>[כתובת]   [טלפון]   [דוא"ל]</w:t>
      </w:r>
    </w:p>
    <w:p>
      <w:pPr>
        <w:bidi/>
        <w:jc w:val="right"/>
      </w:pPr>
      <w:r>
        <w:rPr>
          <w:b w:val="0"/>
          <w:sz w:val="24"/>
          <w:rtl/>
        </w:rPr>
        <w:t>[שם הארגון, אם רלוונטי]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cs="Davi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