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F4E79"/>
          <w:sz w:val="56"/>
          <w:szCs w:val="56"/>
        </w:rPr>
        <w:t xml:space="preserve">BITCOIN MARKET SENTIMENT</w:t>
      </w:r>
    </w:p>
    <w:p>
      <w:pPr>
        <w:spacing w:after="40" w:before="0"/>
        <w:jc w:val="center"/>
      </w:pPr>
      <w:r>
        <w:rPr>
          <w:rFonts w:ascii="Arial" w:cs="Arial" w:eastAsia="Arial" w:hAnsi="Arial"/>
          <w:b/>
          <w:bCs/>
          <w:color w:val="2E75B6"/>
          <w:sz w:val="44"/>
          <w:szCs w:val="44"/>
        </w:rPr>
        <w:t xml:space="preserve">&amp; TRADER PERFORMANCE ANALYSIS</w:t>
      </w:r>
    </w:p>
    <w:p>
      <w:pPr>
        <w:pBdr>
          <w:bottom w:val="single" w:color="2E75B6" w:sz="8" w:space="1"/>
        </w:pBdr>
        <w:spacing w:after="0" w:before="0"/>
      </w:pPr>
      <w:r>
        <w:rPr>
          <w:rFonts w:ascii="Arial" w:cs="Arial" w:eastAsia="Arial" w:hAnsi="Arial"/>
        </w:rPr>
        <w:t xml:space="preserve"/>
      </w:r>
    </w:p>
    <w:p>
      <w:pPr>
        <w:spacing w:after="0" w:before="200"/>
      </w:pPr>
      <w:r>
        <w:t xml:space="preserve"/>
      </w:r>
    </w:p>
    <w:p>
      <w:pPr>
        <w:spacing w:after="0" w:before="0"/>
        <w:jc w:val="center"/>
      </w:pPr>
      <w:r>
        <w:rPr>
          <w:rFonts w:ascii="Arial" w:cs="Arial" w:eastAsia="Arial" w:hAnsi="Arial"/>
          <w:color w:val="555555"/>
          <w:sz w:val="28"/>
          <w:szCs w:val="28"/>
        </w:rPr>
        <w:t xml:space="preserve">Hyperliquid Perpetual Trades vs. Fear &amp; Greed Index</w:t>
      </w:r>
    </w:p>
    <w:p>
      <w:pPr>
        <w:spacing w:after="0" w:before="120"/>
      </w:pPr>
      <w:r>
        <w:t xml:space="preserve"/>
      </w:r>
    </w:p>
    <w:p>
      <w:pPr>
        <w:spacing w:after="0" w:before="0"/>
        <w:jc w:val="center"/>
      </w:pPr>
      <w:r>
        <w:rPr>
          <w:rFonts w:ascii="Arial" w:cs="Arial" w:eastAsia="Arial" w:hAnsi="Arial"/>
          <w:color w:val="777777"/>
          <w:sz w:val="24"/>
          <w:szCs w:val="24"/>
        </w:rPr>
        <w:t xml:space="preserve">January – December 2024</w:t>
      </w:r>
    </w:p>
    <w:p>
      <w:pPr>
        <w:spacing w:after="0" w:before="1440"/>
      </w:pPr>
      <w:r>
        <w:t xml:space="preserve"/>
      </w:r>
    </w:p>
    <w:p>
      <w:pPr>
        <w:jc w:val="center"/>
      </w:pPr>
      <w:r>
        <w:rPr>
          <w:rFonts w:ascii="Arial" w:cs="Arial" w:eastAsia="Arial" w:hAnsi="Arial"/>
          <w:color w:val="888888"/>
          <w:sz w:val="20"/>
          <w:szCs w:val="20"/>
        </w:rPr>
        <w:t xml:space="preserve">Prepared for: Data Science &amp; Algorithmic Trading Assignment</w:t>
      </w:r>
    </w:p>
    <w:p>
      <w:r>
        <w:br w:type="page"/>
      </w:r>
    </w:p>
    <w:p>
      <w:pPr>
        <w:pStyle w:val="Heading1"/>
        <w:spacing w:after="120" w:before="240"/>
      </w:pPr>
      <w:r>
        <w:rPr>
          <w:rFonts w:ascii="Arial" w:cs="Arial" w:eastAsia="Arial" w:hAnsi="Arial"/>
          <w:b/>
          <w:bCs/>
        </w:rPr>
        <w:t xml:space="preserve">1. Objective</w:t>
      </w:r>
    </w:p>
    <w:p>
      <w:pPr>
        <w:pBdr>
          <w:bottom w:val="single" w:color="2E75B6" w:sz="8" w:space="1"/>
        </w:pBdr>
        <w:spacing w:after="0" w:before="0"/>
      </w:pPr>
      <w:r>
        <w:rPr>
          <w:rFonts w:ascii="Arial" w:cs="Arial" w:eastAsia="Arial" w:hAnsi="Arial"/>
        </w:rPr>
        <w:t xml:space="preserve"/>
      </w:r>
    </w:p>
    <w:p>
      <w:pPr>
        <w:spacing w:after="0" w:before="80"/>
      </w:pPr>
      <w:r>
        <w:t xml:space="preserve"/>
      </w:r>
    </w:p>
    <w:p>
      <w:pPr>
        <w:spacing w:after="120" w:before="80"/>
        <w:jc w:val="left"/>
      </w:pPr>
      <w:r>
        <w:rPr>
          <w:rFonts w:ascii="Arial" w:cs="Arial" w:eastAsia="Arial" w:hAnsi="Arial"/>
          <w:b w:val="false"/>
          <w:bCs w:val="false"/>
          <w:i w:val="false"/>
          <w:iCs w:val="false"/>
          <w:color w:val="2F2F2F"/>
          <w:sz w:val="22"/>
          <w:szCs w:val="22"/>
        </w:rPr>
        <w:t xml:space="preserve">This report investigates whether Bitcoin market sentiment — as measured by the Crypto Fear &amp; Greed Index — has a statistically meaningful influence on the trading behavior and profitability of 16 Hyperliquid perpetuals traders over the full year 2024. Specifically, we examine win rates, mean PnL, position sizing, and directional bias (long vs. short) across five sentiment phases: Extreme Fear, Fear, Neutral, Greed, and Extreme Greed.</w:t>
      </w:r>
    </w:p>
    <w:p>
      <w:pPr>
        <w:pStyle w:val="Heading1"/>
        <w:spacing w:after="120" w:before="240"/>
      </w:pPr>
      <w:r>
        <w:rPr>
          <w:rFonts w:ascii="Arial" w:cs="Arial" w:eastAsia="Arial" w:hAnsi="Arial"/>
          <w:b/>
          <w:bCs/>
        </w:rPr>
        <w:t xml:space="preserve">2. Dataset Overview</w:t>
      </w:r>
    </w:p>
    <w:p>
      <w:pPr>
        <w:pBdr>
          <w:bottom w:val="single" w:color="2E75B6" w:sz="8" w:space="1"/>
        </w:pBdr>
        <w:spacing w:after="0" w:before="0"/>
      </w:pPr>
      <w:r>
        <w:rPr>
          <w:rFonts w:ascii="Arial" w:cs="Arial" w:eastAsia="Arial" w:hAnsi="Arial"/>
        </w:rPr>
        <w:t xml:space="preserve"/>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2520"/>
        <w:gridCol w:w="2520"/>
      </w:tblGrid>
      <w:tr>
        <w:tc>
          <w:tcPr>
            <w:tcBorders>
              <w:top w:val="single" w:color="000000" w:sz="1"/>
              <w:left w:val="single" w:color="000000" w:sz="1"/>
              <w:bottom w:val="single" w:color="000000" w:sz="1"/>
              <w:right w:val="single" w:color="000000"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Dataset</w:t>
            </w:r>
          </w:p>
        </w:tc>
        <w:tc>
          <w:tcPr>
            <w:tcBorders>
              <w:top w:val="single" w:color="000000" w:sz="1"/>
              <w:left w:val="single" w:color="000000" w:sz="1"/>
              <w:bottom w:val="single" w:color="000000" w:sz="1"/>
              <w:right w:val="single" w:color="000000"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Records</w:t>
            </w:r>
          </w:p>
        </w:tc>
        <w:tc>
          <w:tcPr>
            <w:tcBorders>
              <w:top w:val="single" w:color="000000" w:sz="1"/>
              <w:left w:val="single" w:color="000000" w:sz="1"/>
              <w:bottom w:val="single" w:color="000000" w:sz="1"/>
              <w:right w:val="single" w:color="000000"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Date Range</w:t>
            </w:r>
          </w:p>
        </w:tc>
        <w:tc>
          <w:tcPr>
            <w:tcBorders>
              <w:top w:val="single" w:color="000000" w:sz="1"/>
              <w:left w:val="single" w:color="000000" w:sz="1"/>
              <w:bottom w:val="single" w:color="000000" w:sz="1"/>
              <w:right w:val="single" w:color="000000"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Columns</w:t>
            </w:r>
          </w:p>
        </w:tc>
      </w:tr>
      <w:tr>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left"/>
            </w:pPr>
            <w:r>
              <w:rPr>
                <w:rFonts w:ascii="Arial" w:cs="Arial" w:eastAsia="Arial" w:hAnsi="Arial"/>
                <w:b/>
                <w:bCs/>
                <w:color w:val="2F2F2F"/>
                <w:sz w:val="20"/>
                <w:szCs w:val="20"/>
              </w:rPr>
              <w:t xml:space="preserve">Fear &amp; Greed Index</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F2F2F"/>
                <w:sz w:val="20"/>
                <w:szCs w:val="20"/>
              </w:rPr>
              <w:t xml:space="preserve">2,644 daily rows</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F2F2F"/>
                <w:sz w:val="20"/>
                <w:szCs w:val="20"/>
              </w:rPr>
              <w:t xml:space="preserve">Feb 2018 – May 2025</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F2F2F"/>
                <w:sz w:val="20"/>
                <w:szCs w:val="20"/>
              </w:rPr>
              <w:t xml:space="preserve">Date, Value (0–100), Classification</w:t>
            </w:r>
          </w:p>
        </w:tc>
      </w:tr>
      <w:tr>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left"/>
            </w:pPr>
            <w:r>
              <w:rPr>
                <w:rFonts w:ascii="Arial" w:cs="Arial" w:eastAsia="Arial" w:hAnsi="Arial"/>
                <w:b/>
                <w:bCs/>
                <w:color w:val="2F2F2F"/>
                <w:sz w:val="20"/>
                <w:szCs w:val="20"/>
              </w:rPr>
              <w:t xml:space="preserve">Hyperliquid Trader Data</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F2F2F"/>
                <w:sz w:val="20"/>
                <w:szCs w:val="20"/>
              </w:rPr>
              <w:t xml:space="preserve">90,199 trades</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F2F2F"/>
                <w:sz w:val="20"/>
                <w:szCs w:val="20"/>
              </w:rPr>
              <w:t xml:space="preserve">Jan – Dec 2024</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F2F2F"/>
                <w:sz w:val="20"/>
                <w:szCs w:val="20"/>
              </w:rPr>
              <w:t xml:space="preserve">Account, Coin, Side, Size USD, Closed PnL, Direction</w:t>
            </w:r>
          </w:p>
        </w:tc>
      </w:tr>
    </w:tbl>
    <w:p>
      <w:pPr>
        <w:spacing w:after="0" w:before="120"/>
      </w:pPr>
      <w:r>
        <w:t xml:space="preserve"/>
      </w:r>
    </w:p>
    <w:p>
      <w:pPr>
        <w:spacing w:after="80" w:before="80"/>
        <w:jc w:val="left"/>
      </w:pPr>
      <w:r>
        <w:rPr>
          <w:rFonts w:ascii="Arial" w:cs="Arial" w:eastAsia="Arial" w:hAnsi="Arial"/>
          <w:b w:val="false"/>
          <w:bCs w:val="false"/>
          <w:i w:val="false"/>
          <w:iCs w:val="false"/>
          <w:color w:val="2F2F2F"/>
          <w:sz w:val="22"/>
          <w:szCs w:val="22"/>
        </w:rPr>
        <w:t xml:space="preserve">After merging on trade date, 90,193 records were matched to a sentiment classification. Closed trades (PnL ≠ 0) totaled 44,839, generating a combined PnL of $7,529,944 across 16 unique wallet addresses and 199 distinct trading pairs.</w:t>
      </w:r>
    </w:p>
    <w:p>
      <w:pPr>
        <w:pStyle w:val="Heading2"/>
        <w:spacing w:after="120" w:before="240"/>
      </w:pPr>
      <w:r>
        <w:rPr>
          <w:rFonts w:ascii="Arial" w:cs="Arial" w:eastAsia="Arial" w:hAnsi="Arial"/>
          <w:b/>
          <w:bCs/>
        </w:rPr>
        <w:t xml:space="preserve">2.1 Data Cleaning Steps</w:t>
      </w:r>
    </w:p>
    <w:p>
      <w:pPr>
        <w:pStyle w:val="ListParagraph"/>
        <w:numPr>
          <w:ilvl w:val="0"/>
          <w:numId w:val="2"/>
        </w:numPr>
        <w:spacing w:after="40" w:before="40"/>
      </w:pPr>
      <w:r>
        <w:rPr>
          <w:rFonts w:ascii="Arial" w:cs="Arial" w:eastAsia="Arial" w:hAnsi="Arial"/>
          <w:b w:val="false"/>
          <w:bCs w:val="false"/>
          <w:color w:val="2F2F2F"/>
          <w:sz w:val="22"/>
          <w:szCs w:val="22"/>
        </w:rPr>
        <w:t xml:space="preserve">Fear &amp; Greed: converted timestamp to date, deduplicated, applied ordered categorical encoding.</w:t>
      </w:r>
    </w:p>
    <w:p>
      <w:pPr>
        <w:pStyle w:val="ListParagraph"/>
        <w:numPr>
          <w:ilvl w:val="0"/>
          <w:numId w:val="2"/>
        </w:numPr>
        <w:spacing w:after="40" w:before="40"/>
      </w:pPr>
      <w:r>
        <w:rPr>
          <w:rFonts w:ascii="Arial" w:cs="Arial" w:eastAsia="Arial" w:hAnsi="Arial"/>
          <w:b w:val="false"/>
          <w:bCs w:val="false"/>
          <w:color w:val="2F2F2F"/>
          <w:sz w:val="22"/>
          <w:szCs w:val="22"/>
        </w:rPr>
        <w:t xml:space="preserve">Trader data: parsed DD-MM-YYYY HH:MM timestamps, coerced numeric fields (PnL, Size USD, Fee), dropped 6 unmatched records (&lt;0.01%).</w:t>
      </w:r>
    </w:p>
    <w:p>
      <w:pPr>
        <w:pStyle w:val="ListParagraph"/>
        <w:numPr>
          <w:ilvl w:val="0"/>
          <w:numId w:val="2"/>
        </w:numPr>
        <w:spacing w:after="40" w:before="40"/>
      </w:pPr>
      <w:r>
        <w:rPr>
          <w:rFonts w:ascii="Arial" w:cs="Arial" w:eastAsia="Arial" w:hAnsi="Arial"/>
          <w:b w:val="false"/>
          <w:bCs w:val="false"/>
          <w:color w:val="2F2F2F"/>
          <w:sz w:val="22"/>
          <w:szCs w:val="22"/>
        </w:rPr>
        <w:t xml:space="preserve">Merged on daily date key; no significant data loss.</w:t>
      </w:r>
    </w:p>
    <w:p>
      <w:pPr>
        <w:spacing w:after="0" w:before="200"/>
      </w:pPr>
      <w:r>
        <w:t xml:space="preserve"/>
      </w:r>
    </w:p>
    <w:p>
      <w:pPr>
        <w:pStyle w:val="Heading1"/>
        <w:spacing w:after="120" w:before="240"/>
      </w:pPr>
      <w:r>
        <w:rPr>
          <w:rFonts w:ascii="Arial" w:cs="Arial" w:eastAsia="Arial" w:hAnsi="Arial"/>
          <w:b/>
          <w:bCs/>
        </w:rPr>
        <w:t xml:space="preserve">3. Key Insights</w:t>
      </w:r>
    </w:p>
    <w:p>
      <w:pPr>
        <w:pBdr>
          <w:bottom w:val="single" w:color="2E75B6" w:sz="8" w:space="1"/>
        </w:pBdr>
        <w:spacing w:after="0" w:before="0"/>
      </w:pPr>
      <w:r>
        <w:rPr>
          <w:rFonts w:ascii="Arial" w:cs="Arial" w:eastAsia="Arial" w:hAnsi="Arial"/>
        </w:rPr>
        <w:t xml:space="preserve"/>
      </w:r>
    </w:p>
    <w:p>
      <w:pPr>
        <w:spacing w:after="0" w:before="80"/>
      </w:pPr>
      <w:r>
        <w:t xml:space="preserve"/>
      </w:r>
    </w:p>
    <w:p>
      <w:pPr>
        <w:pStyle w:val="Heading2"/>
        <w:spacing w:after="120" w:before="240"/>
      </w:pPr>
      <w:r>
        <w:rPr>
          <w:rFonts w:ascii="Arial" w:cs="Arial" w:eastAsia="Arial" w:hAnsi="Arial"/>
          <w:b/>
          <w:bCs/>
        </w:rPr>
        <w:t xml:space="preserve">3.1 Performance Summary by Sentiment Phase</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320"/>
        <w:gridCol w:w="1200"/>
        <w:gridCol w:w="1560"/>
        <w:gridCol w:w="3000"/>
      </w:tblGrid>
      <w:tr>
        <w:tc>
          <w:tcPr>
            <w:tcBorders>
              <w:top w:val="single" w:color="000000" w:sz="1"/>
              <w:left w:val="single" w:color="000000" w:sz="1"/>
              <w:bottom w:val="single" w:color="000000" w:sz="1"/>
              <w:right w:val="single" w:color="000000"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Sentiment</w:t>
            </w:r>
          </w:p>
        </w:tc>
        <w:tc>
          <w:tcPr>
            <w:tcBorders>
              <w:top w:val="single" w:color="000000" w:sz="1"/>
              <w:left w:val="single" w:color="000000" w:sz="1"/>
              <w:bottom w:val="single" w:color="000000" w:sz="1"/>
              <w:right w:val="single" w:color="000000"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Trades</w:t>
            </w:r>
          </w:p>
        </w:tc>
        <w:tc>
          <w:tcPr>
            <w:tcBorders>
              <w:top w:val="single" w:color="000000" w:sz="1"/>
              <w:left w:val="single" w:color="000000" w:sz="1"/>
              <w:bottom w:val="single" w:color="000000" w:sz="1"/>
              <w:right w:val="single" w:color="000000"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Mean PnL</w:t>
            </w:r>
          </w:p>
        </w:tc>
        <w:tc>
          <w:tcPr>
            <w:tcBorders>
              <w:top w:val="single" w:color="000000" w:sz="1"/>
              <w:left w:val="single" w:color="000000" w:sz="1"/>
              <w:bottom w:val="single" w:color="000000" w:sz="1"/>
              <w:right w:val="single" w:color="000000"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Win Rate</w:t>
            </w:r>
          </w:p>
        </w:tc>
        <w:tc>
          <w:tcPr>
            <w:tcBorders>
              <w:top w:val="single" w:color="000000" w:sz="1"/>
              <w:left w:val="single" w:color="000000" w:sz="1"/>
              <w:bottom w:val="single" w:color="000000" w:sz="1"/>
              <w:right w:val="single" w:color="000000"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Avg Size</w:t>
            </w:r>
          </w:p>
        </w:tc>
        <w:tc>
          <w:tcPr>
            <w:tcBorders>
              <w:top w:val="single" w:color="000000" w:sz="1"/>
              <w:left w:val="single" w:color="000000" w:sz="1"/>
              <w:bottom w:val="single" w:color="000000" w:sz="1"/>
              <w:right w:val="single" w:color="000000"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Total PnL</w:t>
            </w:r>
          </w:p>
        </w:tc>
      </w:tr>
      <w:tr>
        <w:tc>
          <w:tcPr>
            <w:tcBorders>
              <w:top w:val="single" w:color="D0D0D0" w:sz="1"/>
              <w:left w:val="single" w:color="D0D0D0" w:sz="1"/>
              <w:bottom w:val="single" w:color="D0D0D0" w:sz="1"/>
              <w:right w:val="single" w:color="D0D0D0" w:sz="1"/>
            </w:tcBorders>
            <w:shd w:fill="F2F2F2" w:val="clear"/>
            <w:tcMar>
              <w:top w:type="dxa" w:w="80"/>
              <w:left w:type="dxa" w:w="150"/>
              <w:bottom w:type="dxa" w:w="80"/>
              <w:right w:type="dxa" w:w="150"/>
            </w:tcMar>
            <w:vAlign w:val="center"/>
          </w:tcPr>
          <w:p>
            <w:pPr>
              <w:jc w:val="left"/>
            </w:pPr>
            <w:r>
              <w:rPr>
                <w:rFonts w:ascii="Arial" w:cs="Arial" w:eastAsia="Arial" w:hAnsi="Arial"/>
                <w:b/>
                <w:bCs/>
                <w:color w:val="C00000"/>
                <w:sz w:val="20"/>
                <w:szCs w:val="20"/>
              </w:rPr>
              <w:t xml:space="preserve">Extreme Fear</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F2F2F"/>
                <w:sz w:val="20"/>
                <w:szCs w:val="20"/>
              </w:rPr>
              <w:t xml:space="preserve">3,258</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F2F2F"/>
                <w:sz w:val="20"/>
                <w:szCs w:val="20"/>
              </w:rPr>
              <w:t xml:space="preserve">$175.0</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bCs/>
                <w:color w:val="2F2F2F"/>
                <w:sz w:val="20"/>
                <w:szCs w:val="20"/>
              </w:rPr>
              <w:t xml:space="preserve">84.6%</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F2F2F"/>
                <w:sz w:val="20"/>
                <w:szCs w:val="20"/>
              </w:rPr>
              <w:t xml:space="preserve">$5,267</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F2F2F"/>
                <w:sz w:val="20"/>
                <w:szCs w:val="20"/>
              </w:rPr>
              <w:t xml:space="preserve">$570,123</w:t>
            </w:r>
          </w:p>
        </w:tc>
      </w:tr>
      <w:tr>
        <w:tc>
          <w:tcPr>
            <w:tcBorders>
              <w:top w:val="single" w:color="D0D0D0" w:sz="1"/>
              <w:left w:val="single" w:color="D0D0D0" w:sz="1"/>
              <w:bottom w:val="single" w:color="D0D0D0" w:sz="1"/>
              <w:right w:val="single" w:color="D0D0D0" w:sz="1"/>
            </w:tcBorders>
            <w:shd w:fill="F2F2F2" w:val="clear"/>
            <w:tcMar>
              <w:top w:type="dxa" w:w="80"/>
              <w:left w:type="dxa" w:w="150"/>
              <w:bottom w:type="dxa" w:w="80"/>
              <w:right w:type="dxa" w:w="150"/>
            </w:tcMar>
            <w:vAlign w:val="center"/>
          </w:tcPr>
          <w:p>
            <w:pPr>
              <w:jc w:val="left"/>
            </w:pPr>
            <w:r>
              <w:rPr>
                <w:rFonts w:ascii="Arial" w:cs="Arial" w:eastAsia="Arial" w:hAnsi="Arial"/>
                <w:b/>
                <w:bCs/>
                <w:color w:val="E07020"/>
                <w:sz w:val="20"/>
                <w:szCs w:val="20"/>
              </w:rPr>
              <w:t xml:space="preserve">Fear</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F2F2F"/>
                <w:sz w:val="20"/>
                <w:szCs w:val="20"/>
              </w:rPr>
              <w:t xml:space="preserve">15,360</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F2F2F"/>
                <w:sz w:val="20"/>
                <w:szCs w:val="20"/>
              </w:rPr>
              <w:t xml:space="preserve">$162.7</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bCs/>
                <w:color w:val="2F2F2F"/>
                <w:sz w:val="20"/>
                <w:szCs w:val="20"/>
              </w:rPr>
              <w:t xml:space="preserve">91.8%</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F2F2F"/>
                <w:sz w:val="20"/>
                <w:szCs w:val="20"/>
              </w:rPr>
              <w:t xml:space="preserve">$10,797</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F2F2F"/>
                <w:sz w:val="20"/>
                <w:szCs w:val="20"/>
              </w:rPr>
              <w:t xml:space="preserve">$2,499,600</w:t>
            </w:r>
          </w:p>
        </w:tc>
      </w:tr>
      <w:tr>
        <w:tc>
          <w:tcPr>
            <w:tcBorders>
              <w:top w:val="single" w:color="D0D0D0" w:sz="1"/>
              <w:left w:val="single" w:color="D0D0D0" w:sz="1"/>
              <w:bottom w:val="single" w:color="D0D0D0" w:sz="1"/>
              <w:right w:val="single" w:color="D0D0D0" w:sz="1"/>
            </w:tcBorders>
            <w:shd w:fill="F2F2F2" w:val="clear"/>
            <w:tcMar>
              <w:top w:type="dxa" w:w="80"/>
              <w:left w:type="dxa" w:w="150"/>
              <w:bottom w:type="dxa" w:w="80"/>
              <w:right w:type="dxa" w:w="150"/>
            </w:tcMar>
            <w:vAlign w:val="center"/>
          </w:tcPr>
          <w:p>
            <w:pPr>
              <w:jc w:val="left"/>
            </w:pPr>
            <w:r>
              <w:rPr>
                <w:rFonts w:ascii="Arial" w:cs="Arial" w:eastAsia="Arial" w:hAnsi="Arial"/>
                <w:b/>
                <w:bCs/>
                <w:color w:val="B8860B"/>
                <w:sz w:val="20"/>
                <w:szCs w:val="20"/>
              </w:rPr>
              <w:t xml:space="preserve">Neutral</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F2F2F"/>
                <w:sz w:val="20"/>
                <w:szCs w:val="20"/>
              </w:rPr>
              <w:t xml:space="preserve">8,194</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F2F2F"/>
                <w:sz w:val="20"/>
                <w:szCs w:val="20"/>
              </w:rPr>
              <w:t xml:space="preserve">$139.0</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bCs/>
                <w:color w:val="2F2F2F"/>
                <w:sz w:val="20"/>
                <w:szCs w:val="20"/>
              </w:rPr>
              <w:t xml:space="preserve">91.1%</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F2F2F"/>
                <w:sz w:val="20"/>
                <w:szCs w:val="20"/>
              </w:rPr>
              <w:t xml:space="preserve">$7,896</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F2F2F"/>
                <w:sz w:val="20"/>
                <w:szCs w:val="20"/>
              </w:rPr>
              <w:t xml:space="preserve">$1,139,315</w:t>
            </w:r>
          </w:p>
        </w:tc>
      </w:tr>
      <w:tr>
        <w:tc>
          <w:tcPr>
            <w:tcBorders>
              <w:top w:val="single" w:color="D0D0D0" w:sz="1"/>
              <w:left w:val="single" w:color="D0D0D0" w:sz="1"/>
              <w:bottom w:val="single" w:color="D0D0D0" w:sz="1"/>
              <w:right w:val="single" w:color="D0D0D0" w:sz="1"/>
            </w:tcBorders>
            <w:shd w:fill="F2F2F2" w:val="clear"/>
            <w:tcMar>
              <w:top w:type="dxa" w:w="80"/>
              <w:left w:type="dxa" w:w="150"/>
              <w:bottom w:type="dxa" w:w="80"/>
              <w:right w:type="dxa" w:w="150"/>
            </w:tcMar>
            <w:vAlign w:val="center"/>
          </w:tcPr>
          <w:p>
            <w:pPr>
              <w:jc w:val="left"/>
            </w:pPr>
            <w:r>
              <w:rPr>
                <w:rFonts w:ascii="Arial" w:cs="Arial" w:eastAsia="Arial" w:hAnsi="Arial"/>
                <w:b/>
                <w:bCs/>
                <w:color w:val="1E7145"/>
                <w:sz w:val="20"/>
                <w:szCs w:val="20"/>
              </w:rPr>
              <w:t xml:space="preserve">Greed</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F2F2F"/>
                <w:sz w:val="20"/>
                <w:szCs w:val="20"/>
              </w:rPr>
              <w:t xml:space="preserve">10,173</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F2F2F"/>
                <w:sz w:val="20"/>
                <w:szCs w:val="20"/>
              </w:rPr>
              <w:t xml:space="preserve">$155.2</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bCs/>
                <w:color w:val="2F2F2F"/>
                <w:sz w:val="20"/>
                <w:szCs w:val="20"/>
              </w:rPr>
              <w:t xml:space="preserve">83.3%</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F2F2F"/>
                <w:sz w:val="20"/>
                <w:szCs w:val="20"/>
              </w:rPr>
              <w:t xml:space="preserve">$10,682</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F2F2F"/>
                <w:sz w:val="20"/>
                <w:szCs w:val="20"/>
              </w:rPr>
              <w:t xml:space="preserve">$1,578,475</w:t>
            </w:r>
          </w:p>
        </w:tc>
      </w:tr>
      <w:tr>
        <w:tc>
          <w:tcPr>
            <w:tcBorders>
              <w:top w:val="single" w:color="D0D0D0" w:sz="1"/>
              <w:left w:val="single" w:color="D0D0D0" w:sz="1"/>
              <w:bottom w:val="single" w:color="D0D0D0" w:sz="1"/>
              <w:right w:val="single" w:color="D0D0D0" w:sz="1"/>
            </w:tcBorders>
            <w:shd w:fill="F2F2F2" w:val="clear"/>
            <w:tcMar>
              <w:top w:type="dxa" w:w="80"/>
              <w:left w:type="dxa" w:w="150"/>
              <w:bottom w:type="dxa" w:w="80"/>
              <w:right w:type="dxa" w:w="150"/>
            </w:tcMar>
            <w:vAlign w:val="center"/>
          </w:tcPr>
          <w:p>
            <w:pPr>
              <w:jc w:val="left"/>
            </w:pPr>
            <w:r>
              <w:rPr>
                <w:rFonts w:ascii="Arial" w:cs="Arial" w:eastAsia="Arial" w:hAnsi="Arial"/>
                <w:b/>
                <w:bCs/>
                <w:color w:val="006767"/>
                <w:sz w:val="20"/>
                <w:szCs w:val="20"/>
              </w:rPr>
              <w:t xml:space="preserve">Extreme Greed</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F2F2F"/>
                <w:sz w:val="20"/>
                <w:szCs w:val="20"/>
              </w:rPr>
              <w:t xml:space="preserve">7,854</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F2F2F"/>
                <w:sz w:val="20"/>
                <w:szCs w:val="20"/>
              </w:rPr>
              <w:t xml:space="preserve">$221.9</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bCs/>
                <w:color w:val="2F2F2F"/>
                <w:sz w:val="20"/>
                <w:szCs w:val="20"/>
              </w:rPr>
              <w:t xml:space="preserve">93.3%</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F2F2F"/>
                <w:sz w:val="20"/>
                <w:szCs w:val="20"/>
              </w:rPr>
              <w:t xml:space="preserve">$5,917</w:t>
            </w:r>
          </w:p>
        </w:tc>
        <w:tc>
          <w:tcPr>
            <w:tcBorders>
              <w:top w:val="single" w:color="D0D0D0" w:sz="1"/>
              <w:left w:val="single" w:color="D0D0D0" w:sz="1"/>
              <w:bottom w:val="single" w:color="D0D0D0" w:sz="1"/>
              <w:right w:val="single" w:color="D0D0D0"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F2F2F"/>
                <w:sz w:val="20"/>
                <w:szCs w:val="20"/>
              </w:rPr>
              <w:t xml:space="preserve">$1,742,432</w:t>
            </w:r>
          </w:p>
        </w:tc>
      </w:tr>
    </w:tbl>
    <w:p>
      <w:pPr>
        <w:spacing w:after="0" w:before="60"/>
      </w:pPr>
      <w:r>
        <w:t xml:space="preserve"/>
      </w:r>
    </w:p>
    <w:p>
      <w:pPr>
        <w:spacing w:after="80" w:before="80"/>
        <w:jc w:val="left"/>
      </w:pPr>
      <w:r>
        <w:rPr>
          <w:rFonts w:ascii="Arial" w:cs="Arial" w:eastAsia="Arial" w:hAnsi="Arial"/>
          <w:b w:val="false"/>
          <w:bCs w:val="false"/>
          <w:i/>
          <w:iCs/>
          <w:color w:val="888888"/>
          <w:sz w:val="18"/>
          <w:szCs w:val="18"/>
        </w:rPr>
        <w:t xml:space="preserve">Table 1: Aggregated performance metrics across all 16 traders by sentiment classification.</w:t>
      </w:r>
    </w:p>
    <w:p>
      <w:pPr>
        <w:spacing w:after="0" w:before="160"/>
      </w:pPr>
      <w:r>
        <w:t xml:space="preserve"/>
      </w:r>
    </w:p>
    <w:p>
      <w:pPr>
        <w:pStyle w:val="Heading2"/>
        <w:spacing w:after="120" w:before="240"/>
      </w:pPr>
      <w:r>
        <w:rPr>
          <w:rFonts w:ascii="Arial" w:cs="Arial" w:eastAsia="Arial" w:hAnsi="Arial"/>
          <w:b/>
          <w:bCs/>
        </w:rPr>
        <w:t xml:space="preserve">3.2 Extreme Greed Produces the Highest Mean PnL</w:t>
      </w:r>
    </w:p>
    <w:p>
      <w:pPr>
        <w:spacing w:after="80" w:before="80"/>
        <w:jc w:val="left"/>
      </w:pPr>
      <w:r>
        <w:rPr>
          <w:rFonts w:ascii="Arial" w:cs="Arial" w:eastAsia="Arial" w:hAnsi="Arial"/>
          <w:b w:val="false"/>
          <w:bCs w:val="false"/>
          <w:i w:val="false"/>
          <w:iCs w:val="false"/>
          <w:color w:val="2F2F2F"/>
          <w:sz w:val="22"/>
          <w:szCs w:val="22"/>
        </w:rPr>
        <w:t xml:space="preserve">Traders earned the highest average PnL per closed trade ($221.85) during Extreme Greed phases. This appears counterintuitive — conventional wisdom says “be fearful when others are greedy.” However, in crypto perpetuals, strong upward momentum during Greed periods creates consistent profitable long positions. The total PnL during Extreme Greed ($1.74M) represented 23% of annual profits despite accounting for only 17.5% of closed trades.</w:t>
      </w:r>
    </w:p>
    <w:p>
      <w:pPr>
        <w:pStyle w:val="Heading2"/>
        <w:spacing w:after="120" w:before="240"/>
      </w:pPr>
      <w:r>
        <w:rPr>
          <w:rFonts w:ascii="Arial" w:cs="Arial" w:eastAsia="Arial" w:hAnsi="Arial"/>
          <w:b/>
          <w:bCs/>
        </w:rPr>
        <w:t xml:space="preserve">3.3 Win Rate Paradox: Fear Outperforms Greed on Hit Rate</w:t>
      </w:r>
    </w:p>
    <w:p>
      <w:pPr>
        <w:spacing w:after="80" w:before="80"/>
        <w:jc w:val="left"/>
      </w:pPr>
      <w:r>
        <w:rPr>
          <w:rFonts w:ascii="Arial" w:cs="Arial" w:eastAsia="Arial" w:hAnsi="Arial"/>
          <w:b w:val="false"/>
          <w:bCs w:val="false"/>
          <w:i w:val="false"/>
          <w:iCs w:val="false"/>
          <w:color w:val="2F2F2F"/>
          <w:sz w:val="22"/>
          <w:szCs w:val="22"/>
        </w:rPr>
        <w:t xml:space="preserve">Despite lower mean PnL, Fear and Extreme Greed phases showed the highest win rates: 91.8% and 93.3% respectively. Extreme Fear had only 84.6% — the lowest — though individual winning trades were larger (mean $175.0). This suggests that panic markets produce fewer but higher-magnitude wins, while trending greed markets allow consistent but smaller profitable closes.</w:t>
      </w:r>
    </w:p>
    <w:p>
      <w:pPr>
        <w:pStyle w:val="Heading2"/>
        <w:spacing w:after="120" w:before="240"/>
      </w:pPr>
      <w:r>
        <w:rPr>
          <w:rFonts w:ascii="Arial" w:cs="Arial" w:eastAsia="Arial" w:hAnsi="Arial"/>
          <w:b/>
          <w:bCs/>
        </w:rPr>
        <w:t xml:space="preserve">3.4 Position Sizing Shrinks at Market Extremes</w:t>
      </w:r>
    </w:p>
    <w:p>
      <w:pPr>
        <w:spacing w:after="80" w:before="80"/>
        <w:jc w:val="left"/>
      </w:pPr>
      <w:r>
        <w:rPr>
          <w:rFonts w:ascii="Arial" w:cs="Arial" w:eastAsia="Arial" w:hAnsi="Arial"/>
          <w:b w:val="false"/>
          <w:bCs w:val="false"/>
          <w:i w:val="false"/>
          <w:iCs w:val="false"/>
          <w:color w:val="2F2F2F"/>
          <w:sz w:val="22"/>
          <w:szCs w:val="22"/>
        </w:rPr>
        <w:t xml:space="preserve">Average trade size peaked during Fear ($10,797) and Greed ($10,682) phases, while dropping significantly at extremes: $5,267 during Extreme Fear and $5,917 during Extreme Greed. This is consistent with rational risk management — traders reduce position size when the market is at its most volatile. However, it also means total PnL is constrained at extremes despite higher per-trade returns in Extreme Greed.</w:t>
      </w:r>
    </w:p>
    <w:p>
      <w:pPr>
        <w:pStyle w:val="Heading2"/>
        <w:spacing w:after="120" w:before="240"/>
      </w:pPr>
      <w:r>
        <w:rPr>
          <w:rFonts w:ascii="Arial" w:cs="Arial" w:eastAsia="Arial" w:hAnsi="Arial"/>
          <w:b/>
          <w:bCs/>
        </w:rPr>
        <w:t xml:space="preserve">3.5 Statistical Significance</w:t>
      </w:r>
    </w:p>
    <w:p>
      <w:pPr>
        <w:spacing w:after="80" w:before="80"/>
        <w:jc w:val="left"/>
      </w:pPr>
      <w:r>
        <w:rPr>
          <w:rFonts w:ascii="Arial" w:cs="Arial" w:eastAsia="Arial" w:hAnsi="Arial"/>
          <w:b w:val="false"/>
          <w:bCs w:val="false"/>
          <w:i w:val="false"/>
          <w:iCs w:val="false"/>
          <w:color w:val="2F2F2F"/>
          <w:sz w:val="22"/>
          <w:szCs w:val="22"/>
        </w:rPr>
        <w:t xml:space="preserve">A one-way ANOVA confirmed that PnL differences across sentiment phases are statistically significant (F = 2.612, p = 0.034). The non-parametric Kruskal-Wallis test corroborated this finding. While the effect size is moderate, the result confirms that sentiment is not noise — it carries genuine signal for trader outcomes.</w:t>
      </w:r>
    </w:p>
    <w:p>
      <w:pPr>
        <w:pStyle w:val="Heading2"/>
        <w:spacing w:after="120" w:before="240"/>
      </w:pPr>
      <w:r>
        <w:rPr>
          <w:rFonts w:ascii="Arial" w:cs="Arial" w:eastAsia="Arial" w:hAnsi="Arial"/>
          <w:b/>
          <w:bCs/>
        </w:rPr>
        <w:t xml:space="preserve">3.6 Trader Heterogeneity</w:t>
      </w:r>
    </w:p>
    <w:p>
      <w:pPr>
        <w:spacing w:after="80" w:before="80"/>
        <w:jc w:val="left"/>
      </w:pPr>
      <w:r>
        <w:rPr>
          <w:rFonts w:ascii="Arial" w:cs="Arial" w:eastAsia="Arial" w:hAnsi="Arial"/>
          <w:b w:val="false"/>
          <w:bCs w:val="false"/>
          <w:i w:val="false"/>
          <w:iCs w:val="false"/>
          <w:color w:val="2F2F2F"/>
          <w:sz w:val="22"/>
          <w:szCs w:val="22"/>
        </w:rPr>
        <w:t xml:space="preserve">Performance varies dramatically across the 16 accounts. The top earner generated $2,143,383 in total PnL, while the worst performer lost $31,204. The PnL heatmap (Notebook Fig. 9) shows that most losses are concentrated in one or two accounts during high-greed phases — suggesting that certain traders hold positions too long when momentum fades.</w:t>
      </w:r>
    </w:p>
    <w:p>
      <w:r>
        <w:br w:type="page"/>
      </w:r>
    </w:p>
    <w:p>
      <w:pPr>
        <w:pStyle w:val="Heading1"/>
        <w:spacing w:after="120" w:before="240"/>
      </w:pPr>
      <w:r>
        <w:rPr>
          <w:rFonts w:ascii="Arial" w:cs="Arial" w:eastAsia="Arial" w:hAnsi="Arial"/>
          <w:b/>
          <w:bCs/>
        </w:rPr>
        <w:t xml:space="preserve">4. Strategy Recommendations</w:t>
      </w:r>
    </w:p>
    <w:p>
      <w:pPr>
        <w:pBdr>
          <w:bottom w:val="single" w:color="2E75B6" w:sz="8" w:space="1"/>
        </w:pBdr>
        <w:spacing w:after="0" w:before="0"/>
      </w:pPr>
      <w:r>
        <w:rPr>
          <w:rFonts w:ascii="Arial" w:cs="Arial" w:eastAsia="Arial" w:hAnsi="Arial"/>
        </w:rPr>
        <w:t xml:space="preserve"/>
      </w:r>
    </w:p>
    <w:p>
      <w:pPr>
        <w:spacing w:after="0" w:before="80"/>
      </w:pPr>
      <w:r>
        <w:t xml:space="preserve"/>
      </w:r>
    </w:p>
    <w:p>
      <w:pPr>
        <w:pStyle w:val="Heading2"/>
        <w:spacing w:after="120" w:before="240"/>
      </w:pPr>
      <w:r>
        <w:rPr>
          <w:rFonts w:ascii="Arial" w:cs="Arial" w:eastAsia="Arial" w:hAnsi="Arial"/>
          <w:b/>
          <w:bCs/>
        </w:rPr>
        <w:t xml:space="preserve">Recommendation 1: Scale In During Fear, Capture Momentum in Greed</w:t>
      </w:r>
    </w:p>
    <w:p>
      <w:pPr>
        <w:spacing w:after="80" w:before="80"/>
        <w:jc w:val="left"/>
      </w:pPr>
      <w:r>
        <w:rPr>
          <w:rFonts w:ascii="Arial" w:cs="Arial" w:eastAsia="Arial" w:hAnsi="Arial"/>
          <w:b w:val="false"/>
          <w:bCs w:val="false"/>
          <w:i w:val="false"/>
          <w:iCs w:val="false"/>
          <w:color w:val="2F2F2F"/>
          <w:sz w:val="22"/>
          <w:szCs w:val="22"/>
        </w:rPr>
        <w:t xml:space="preserve">Data supports a two-phase strategy: use Fear phases to accumulate long positions at lower prices (high win-rate environment), then ride the momentum through Greed phases where mean PnL per trade peaks. Avoid panic-closing during Extreme Fear — the data shows win rates actually remain above 84% even in the most fearful periods.</w:t>
      </w:r>
    </w:p>
    <w:p>
      <w:pPr>
        <w:pStyle w:val="Heading2"/>
        <w:spacing w:after="120" w:before="240"/>
      </w:pPr>
      <w:r>
        <w:rPr>
          <w:rFonts w:ascii="Arial" w:cs="Arial" w:eastAsia="Arial" w:hAnsi="Arial"/>
          <w:b/>
          <w:bCs/>
        </w:rPr>
        <w:t xml:space="preserve">Recommendation 2: Reduce Position Size at Sentiment Extremes (but Not PnL Targets)</w:t>
      </w:r>
    </w:p>
    <w:p>
      <w:pPr>
        <w:spacing w:after="80" w:before="80"/>
        <w:jc w:val="left"/>
      </w:pPr>
      <w:r>
        <w:rPr>
          <w:rFonts w:ascii="Arial" w:cs="Arial" w:eastAsia="Arial" w:hAnsi="Arial"/>
          <w:b w:val="false"/>
          <w:bCs w:val="false"/>
          <w:i w:val="false"/>
          <w:iCs w:val="false"/>
          <w:color w:val="2F2F2F"/>
          <w:sz w:val="22"/>
          <w:szCs w:val="22"/>
        </w:rPr>
        <w:t xml:space="preserve">Traders naturally reduce size at extremes, but should NOT reduce their profit targets proportionally. Extreme Greed had the highest mean PnL despite smaller average positions, meaning high-quality setups still exist — they just require more precision. Risk-per-trade should shrink but trade selection quality must increase.</w:t>
      </w:r>
    </w:p>
    <w:p>
      <w:pPr>
        <w:pStyle w:val="Heading2"/>
        <w:spacing w:after="120" w:before="240"/>
      </w:pPr>
      <w:r>
        <w:rPr>
          <w:rFonts w:ascii="Arial" w:cs="Arial" w:eastAsia="Arial" w:hAnsi="Arial"/>
          <w:b/>
          <w:bCs/>
        </w:rPr>
        <w:t xml:space="preserve">Recommendation 3: Apply a Sentiment Filter to Entry Signals</w:t>
      </w:r>
    </w:p>
    <w:p>
      <w:pPr>
        <w:spacing w:after="80" w:before="80"/>
        <w:jc w:val="left"/>
      </w:pPr>
      <w:r>
        <w:rPr>
          <w:rFonts w:ascii="Arial" w:cs="Arial" w:eastAsia="Arial" w:hAnsi="Arial"/>
          <w:b w:val="false"/>
          <w:bCs w:val="false"/>
          <w:i w:val="false"/>
          <w:iCs w:val="false"/>
          <w:color w:val="2F2F2F"/>
          <w:sz w:val="22"/>
          <w:szCs w:val="22"/>
        </w:rPr>
        <w:t xml:space="preserve">Given the statistically significant relationship between sentiment and PnL, traders should incorporate the daily Fear &amp; Greed score into their trading rules. For example: require a minimum score of 40 (Fear zone or above) before opening new longs; conversely, be more aggressive with shorts when the index drops below 25 (Extreme Fear reversals).</w:t>
      </w:r>
    </w:p>
    <w:p>
      <w:pPr>
        <w:pStyle w:val="Heading2"/>
        <w:spacing w:after="120" w:before="240"/>
      </w:pPr>
      <w:r>
        <w:rPr>
          <w:rFonts w:ascii="Arial" w:cs="Arial" w:eastAsia="Arial" w:hAnsi="Arial"/>
          <w:b/>
          <w:bCs/>
        </w:rPr>
        <w:t xml:space="preserve">Recommendation 4: Monitor Diverging Accounts for Regime Changes</w:t>
      </w:r>
    </w:p>
    <w:p>
      <w:pPr>
        <w:spacing w:after="80" w:before="80"/>
        <w:jc w:val="left"/>
      </w:pPr>
      <w:r>
        <w:rPr>
          <w:rFonts w:ascii="Arial" w:cs="Arial" w:eastAsia="Arial" w:hAnsi="Arial"/>
          <w:b w:val="false"/>
          <w:bCs w:val="false"/>
          <w:i w:val="false"/>
          <w:iCs w:val="false"/>
          <w:color w:val="2F2F2F"/>
          <w:sz w:val="22"/>
          <w:szCs w:val="22"/>
        </w:rPr>
        <w:t xml:space="preserve">The two worst-performing accounts show consistent losses specifically during Greed-to-Extreme Greed transitions. This is a classic “buy the top” pattern. A rule-based system that freezes new longs when the index exceeds 80 and an account’s rolling 7-day PnL is negative would have prevented the majority of these losses.</w:t>
      </w:r>
    </w:p>
    <w:p>
      <w:pPr>
        <w:spacing w:after="0" w:before="200"/>
      </w:pPr>
      <w:r>
        <w:t xml:space="preserve"/>
      </w:r>
    </w:p>
    <w:p>
      <w:pPr>
        <w:pStyle w:val="Heading1"/>
        <w:spacing w:after="120" w:before="240"/>
      </w:pPr>
      <w:r>
        <w:rPr>
          <w:rFonts w:ascii="Arial" w:cs="Arial" w:eastAsia="Arial" w:hAnsi="Arial"/>
          <w:b/>
          <w:bCs/>
        </w:rPr>
        <w:t xml:space="preserve">5. Conclusion</w:t>
      </w:r>
    </w:p>
    <w:p>
      <w:pPr>
        <w:pBdr>
          <w:bottom w:val="single" w:color="2E75B6" w:sz="8" w:space="1"/>
        </w:pBdr>
        <w:spacing w:after="0" w:before="0"/>
      </w:pPr>
      <w:r>
        <w:rPr>
          <w:rFonts w:ascii="Arial" w:cs="Arial" w:eastAsia="Arial" w:hAnsi="Arial"/>
        </w:rPr>
        <w:t xml:space="preserve"/>
      </w:r>
    </w:p>
    <w:p>
      <w:pPr>
        <w:spacing w:after="0" w:before="80"/>
      </w:pPr>
      <w:r>
        <w:t xml:space="preserve"/>
      </w:r>
    </w:p>
    <w:p>
      <w:pPr>
        <w:spacing w:after="80" w:before="80"/>
        <w:jc w:val="left"/>
      </w:pPr>
      <w:r>
        <w:rPr>
          <w:rFonts w:ascii="Arial" w:cs="Arial" w:eastAsia="Arial" w:hAnsi="Arial"/>
          <w:b w:val="false"/>
          <w:bCs w:val="false"/>
          <w:i w:val="false"/>
          <w:iCs w:val="false"/>
          <w:color w:val="2F2F2F"/>
          <w:sz w:val="22"/>
          <w:szCs w:val="22"/>
        </w:rPr>
        <w:t xml:space="preserve">This analysis confirms a statistically meaningful relationship between Bitcoin market sentiment and trader performance on Hyperliquid perpetuals. Key findings challenge naive assumptions: high fear does not equate to poor trading outcomes, and high greed — while carrying higher risk — still produces the best mean returns per trade.</w:t>
      </w:r>
    </w:p>
    <w:p>
      <w:pPr>
        <w:spacing w:after="0" w:before="80"/>
      </w:pPr>
      <w:r>
        <w:t xml:space="preserve"/>
      </w:r>
    </w:p>
    <w:p>
      <w:pPr>
        <w:spacing w:after="80" w:before="80"/>
        <w:jc w:val="left"/>
      </w:pPr>
      <w:r>
        <w:rPr>
          <w:rFonts w:ascii="Arial" w:cs="Arial" w:eastAsia="Arial" w:hAnsi="Arial"/>
          <w:b w:val="false"/>
          <w:bCs w:val="false"/>
          <w:i w:val="false"/>
          <w:iCs w:val="false"/>
          <w:color w:val="2F2F2F"/>
          <w:sz w:val="22"/>
          <w:szCs w:val="22"/>
        </w:rPr>
        <w:t xml:space="preserve">The most actionable insight is that win rates remain consistently high (&gt;83%) across all sentiment phases, suggesting these traders have robust entry signals. The primary differentiator is position sizing and holding behavior at extremes. A sentiment-aware position sizing model, combined with strict cut-off rules during regime transitions, could materially improve the Sharpe ratio for this trader cohort.</w:t>
      </w:r>
    </w:p>
    <w:p>
      <w:pPr>
        <w:spacing w:after="0" w:before="80"/>
      </w:pPr>
      <w:r>
        <w:t xml:space="preserve"/>
      </w:r>
    </w:p>
    <w:p>
      <w:pPr>
        <w:spacing w:after="80" w:before="80"/>
        <w:jc w:val="left"/>
      </w:pPr>
      <w:r>
        <w:rPr>
          <w:rFonts w:ascii="Arial" w:cs="Arial" w:eastAsia="Arial" w:hAnsi="Arial"/>
          <w:b w:val="false"/>
          <w:bCs w:val="false"/>
          <w:i w:val="false"/>
          <w:iCs w:val="false"/>
          <w:color w:val="2F2F2F"/>
          <w:sz w:val="22"/>
          <w:szCs w:val="22"/>
        </w:rPr>
        <w:t xml:space="preserve">Total portfolio PnL of $7.53M from 16 traders over 2024 — across 199 coins and ~90K trades — demonstrates real alpha generation. Systematic integration of the Fear &amp; Greed Index as a risk-scaling input represents a low-friction, high-value enhancement to existing strategies.</w:t>
      </w:r>
    </w:p>
    <w:p>
      <w:pPr>
        <w:spacing w:after="0" w:before="200"/>
      </w:pPr>
      <w:r>
        <w:t xml:space="preserve"/>
      </w:r>
    </w:p>
    <w:p>
      <w:pPr>
        <w:pBdr>
          <w:bottom w:val="single" w:color="2E75B6" w:sz="8" w:space="1"/>
        </w:pBdr>
        <w:spacing w:after="0" w:before="0"/>
      </w:pPr>
      <w:r>
        <w:rPr>
          <w:rFonts w:ascii="Arial" w:cs="Arial" w:eastAsia="Arial" w:hAnsi="Arial"/>
        </w:rPr>
        <w:t xml:space="preserve"/>
      </w:r>
    </w:p>
    <w:p>
      <w:pPr>
        <w:spacing w:after="0" w:before="60"/>
      </w:pPr>
      <w:r>
        <w:t xml:space="preserve"/>
      </w:r>
    </w:p>
    <w:p>
      <w:pPr>
        <w:jc w:val="center"/>
      </w:pPr>
      <w:r>
        <w:rPr>
          <w:rFonts w:ascii="Arial" w:cs="Arial" w:eastAsia="Arial" w:hAnsi="Arial"/>
          <w:color w:val="AAAAAA"/>
          <w:sz w:val="18"/>
          <w:szCs w:val="18"/>
        </w:rPr>
        <w:t xml:space="preserve">Analysis performed using Python (pandas, matplotlib, seaborn, scipy) | Data: Hyperliquid + alternative.me Fear &amp; Greed API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F2F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F2F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2026-05-01T10:23:09.215Z</dcterms:created>
  <dcterms:modified xsi:type="dcterms:W3CDTF">2026-05-01T10:23:09.215Z</dcterms:modified>
</cp:coreProperties>
</file>

<file path=docProps/custom.xml><?xml version="1.0" encoding="utf-8"?>
<Properties xmlns="http://schemas.openxmlformats.org/officeDocument/2006/custom-properties" xmlns:vt="http://schemas.openxmlformats.org/officeDocument/2006/docPropsVTypes"/>
</file>