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 Variables: Descriptive Statistics</w:t>
      </w:r>
    </w:p>
    <w:p>
      <w:pPr>
        <w:pStyle w:val="Date"/>
      </w:pPr>
      <w:r>
        <w:t xml:space="preserve">2026-01-16</w:t>
      </w:r>
    </w:p>
    <w:bookmarkStart w:id="16" w:name="Xb4536c57772a58147a7a26748c2a3b1b770b88c"/>
    <w:p>
      <w:pPr>
        <w:pStyle w:val="Heading1"/>
      </w:pPr>
      <w:r>
        <w:t xml:space="preserve">Descriptive statistics of environmental exposure variables</w:t>
      </w:r>
    </w:p>
    <w:bookmarkStart w:id="9" w:name="air-pollution-variables"/>
    <w:p>
      <w:pPr>
        <w:pStyle w:val="Heading2"/>
      </w:pPr>
      <w:r>
        <w:t xml:space="preserve">Air pollution variables</w:t>
      </w:r>
    </w:p>
    <w:p>
      <w:pPr>
        <w:pStyle w:val="FirstParagraph"/>
      </w:pPr>
      <w:r>
        <w:t xml:space="preserve">All of the air pollution variables are 1 year averages prior to the first interview date, and are averages of National Air Pollution Surveillance station (NAPS) locations within 50 km.</w:t>
      </w:r>
      <w:r>
        <w:t xml:space="preserve"> </w:t>
      </w:r>
      <w:r>
        <w:t xml:space="preserve">PM2.5 is measured in microgram/m</w:t>
      </w:r>
      <m:oMath>
        <m:sSup>
          <m:e>
            <m:r>
              <m:t>​</m:t>
            </m:r>
          </m:e>
          <m:sup>
            <m:r>
              <m:t>3</m:t>
            </m:r>
          </m:sup>
        </m:sSup>
      </m:oMath>
      <w:r>
        <w:t xml:space="preserve">. The other air pollution variables are measured in parts per billion (ppb).</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00"/>
        <w:gridCol w:w="2368"/>
      </w:tblGrid>
      <w:tr>
        <w:trPr>
          <w:trHeight w:val="636" w:hRule="auto"/>
          <w:tblHeader/>
        </w:trPr>
        header 1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(N=1478)</w:t>
            </w:r>
          </w:p>
        </w:tc>
      </w:tr>
      <w:tr>
        <w:trPr>
          <w:trHeight w:val="617"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PM2.5 (1-year average)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 (1.22)</w:t>
            </w:r>
          </w:p>
        </w:tc>
      </w:tr>
      <w:tr>
        <w:trPr>
          <w:trHeight w:val="61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 [3.36, 10.0]</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 (14.5%)</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NO2 (1-year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8.48 (3.02)</w:t>
            </w:r>
          </w:p>
        </w:tc>
      </w:tr>
      <w:tr>
        <w:trPr>
          <w:trHeight w:val="61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8.14 [3.59, 15.2]</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 (14.3%)</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SO2 (1-year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 (0.808)</w:t>
            </w:r>
          </w:p>
        </w:tc>
      </w:tr>
      <w:tr>
        <w:trPr>
          <w:trHeight w:val="61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0.830 [0.0600, 3.13]</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 (21.2%)</w:t>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Ozone (1-year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 (3.82)</w:t>
            </w:r>
          </w:p>
        </w:tc>
      </w:tr>
      <w:tr>
        <w:trPr>
          <w:trHeight w:val="61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 [16.0, 32.4]</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 (3.9%)</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Local rd length within 200m of PC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 (72.9)</w:t>
            </w:r>
          </w:p>
        </w:tc>
      </w:tr>
      <w:tr>
        <w:trPr>
          <w:trHeight w:val="613"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46.0 [0, 520]</w:t>
            </w:r>
          </w:p>
        </w:tc>
      </w:tr>
      <w:tr>
        <w:trPr>
          <w:trHeight w:val="61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Hwy length within 200m of PC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 (23.0)</w:t>
            </w:r>
          </w:p>
        </w:tc>
      </w:tr>
      <w:tr>
        <w:trPr>
          <w:trHeight w:val="613"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 400]</w:t>
            </w:r>
          </w:p>
        </w:tc>
      </w:tr>
    </w:tbl>
    <w:p>
      <w:r>
        <w:br w:type="page"/>
      </w:r>
    </w:p>
    <w:bookmarkEnd w:id="9"/>
    <w:bookmarkStart w:id="10" w:name="housing-conditions"/>
    <w:p>
      <w:pPr>
        <w:pStyle w:val="Heading2"/>
      </w:pPr>
      <w:r>
        <w:t xml:space="preserve">Housing conditions</w:t>
      </w:r>
    </w:p>
    <w:p>
      <w:pPr>
        <w:pStyle w:val="FirstParagraph"/>
      </w:pPr>
      <w:r>
        <w:t xml:space="preserve">Housing conditions include the below variables.</w:t>
      </w:r>
      <w:r>
        <w:t xml:space="preserve"> </w:t>
      </w:r>
      <w:r>
        <w:t xml:space="preserve">“Home problems: Condensation”</w:t>
      </w:r>
      <w:r>
        <w:t xml:space="preserve"> </w:t>
      </w:r>
      <w:r>
        <w:t xml:space="preserve">measures if current home has problems with condensation (Yes or No).</w:t>
      </w:r>
      <w:r>
        <w:t xml:space="preserve"> </w:t>
      </w:r>
      <w:r>
        <w:t xml:space="preserve">“Home problems: Noise measures”</w:t>
      </w:r>
      <w:r>
        <w:t xml:space="preserve"> </w:t>
      </w:r>
      <w:r>
        <w:t xml:space="preserve">if current home has problems with noise (Yes or No).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68"/>
        <w:gridCol w:w="1732"/>
      </w:tblGrid>
      <w:tr>
        <w:trPr>
          <w:trHeight w:val="636" w:hRule="auto"/>
          <w:tblHeader/>
        </w:trPr>
        header1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(N=1478)</w:t>
            </w:r>
          </w:p>
        </w:tc>
      </w:tr>
      <w:tr>
        <w:trPr>
          <w:trHeight w:val="574"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Home Problems: Condensation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1348 (91.2%)</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(3.7%)</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 (5.1%)</w:t>
            </w:r>
          </w:p>
        </w:tc>
      </w:tr>
      <w:tr>
        <w:trPr>
          <w:trHeight w:val="57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Home Problems: Noise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1274 (86.2%)</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(8.7%)</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 (5.1%)</w:t>
            </w:r>
          </w:p>
        </w:tc>
      </w:tr>
    </w:tbl>
    <w:p>
      <w:r>
        <w:br w:type="page"/>
      </w:r>
    </w:p>
    <w:bookmarkEnd w:id="10"/>
    <w:bookmarkStart w:id="15" w:name="greenness-variables"/>
    <w:p>
      <w:pPr>
        <w:pStyle w:val="Heading2"/>
      </w:pPr>
      <w:r>
        <w:t xml:space="preserve">Greenness variables</w:t>
      </w:r>
    </w:p>
    <w:bookmarkStart w:id="11" w:name="Xcae0edd7c5e1a75f0329e216cc6dc15783c62d2"/>
    <w:p>
      <w:pPr>
        <w:pStyle w:val="Heading3"/>
      </w:pPr>
      <w:r>
        <w:t xml:space="preserve">Maximum of annual mean NVDI within 250m (NDVI: Normalized Difference Vegetation Index)</w:t>
      </w:r>
    </w:p>
    <w:p>
      <w:pPr>
        <w:pStyle w:val="FirstParagraph"/>
      </w:pPr>
      <w:r>
        <w:t xml:space="preserve">Range is -1 to + 1.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26"/>
        <w:gridCol w:w="2246"/>
      </w:tblGrid>
      <w:tr>
        <w:trPr>
          <w:trHeight w:val="636" w:hRule="auto"/>
          <w:tblHeader/>
        </w:trPr>
        header1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(N=1478)</w:t>
            </w:r>
          </w:p>
        </w:tc>
      </w:tr>
      <w:tr>
        <w:trPr>
          <w:trHeight w:val="574"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 of annual mean NDVI within 250m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0.814 (0.0382)</w:t>
            </w:r>
          </w:p>
        </w:tc>
      </w:tr>
      <w:tr>
        <w:trPr>
          <w:trHeight w:val="61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0.821 [0.627, 1.00]</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(4.9%)</w:t>
            </w:r>
          </w:p>
        </w:tc>
      </w:tr>
    </w:tbl>
    <w:p>
      <w:r>
        <w:br w:type="page"/>
      </w:r>
    </w:p>
    <w:bookmarkEnd w:id="11"/>
    <w:bookmarkStart w:id="13" w:name="X5e5c5f0d73b61108669cb31e9ab8c39ab7ffc66"/>
    <w:p>
      <w:pPr>
        <w:pStyle w:val="Heading3"/>
      </w:pPr>
      <w:r>
        <w:t xml:space="preserve">Average estimated percent of pixel covered by vegetation &gt; 5m, within varying distances (2010)</w:t>
      </w:r>
    </w:p>
    <w:p>
      <w:pPr>
        <w:pStyle w:val="FirstParagraph"/>
      </w:pPr>
      <w:r>
        <w:t xml:space="preserve">These variables measure vegetation that is tall (i.e. tree canopy coverage). Tree canopy is defined as area of vegetation (including leaves, stems, branches, etc.) of woody plants above 5m in height. The dataset developers derived tree canopy cover estimates from the Global Forest Cover Change (GFCC) Surface Reflectance product (GFCC30SR), which is based on enhanced Global Land Survey (GLS) datasets.</w:t>
      </w:r>
      <w:r>
        <w:t xml:space="preserve"> </w:t>
      </w:r>
      <w:r>
        <w:t xml:space="preserve">[CANUE metadata] (</w:t>
      </w:r>
      <w:hyperlink r:id="rId12">
        <w:r>
          <w:rPr>
            <w:rStyle w:val="Hyperlink"/>
          </w:rPr>
          <w:t xml:space="preserve">https://www.canuedata.ca/metadata.php</w:t>
        </w:r>
      </w:hyperlink>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27"/>
        <w:gridCol w:w="2001"/>
      </w:tblGrid>
      <w:tr>
        <w:trPr>
          <w:trHeight w:val="636" w:hRule="auto"/>
          <w:tblHeader/>
        </w:trPr>
        header 1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(N=1478)</w:t>
            </w:r>
          </w:p>
        </w:tc>
      </w:tr>
      <w:tr>
        <w:trPr>
          <w:trHeight w:val="615"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of pixel covered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 (11.2)</w:t>
            </w:r>
          </w:p>
        </w:tc>
      </w:tr>
      <w:tr>
        <w:trPr>
          <w:trHeight w:val="61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 [1.00, 71.0]</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 (8.1%)</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of pixel covered, within 100m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 (9.93)</w:t>
            </w:r>
          </w:p>
        </w:tc>
      </w:tr>
      <w:tr>
        <w:trPr>
          <w:trHeight w:val="61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 [3.46, 51.4]</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(7.7%)</w:t>
            </w:r>
          </w:p>
        </w:tc>
      </w:tr>
      <w:tr>
        <w:trPr>
          <w:trHeight w:val="61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of pixel covered, within 250m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 (9.77)</w:t>
            </w:r>
          </w:p>
        </w:tc>
      </w:tr>
      <w:tr>
        <w:trPr>
          <w:trHeight w:val="61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34.3 [3.46, 51.4]</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(7.7%)</w:t>
            </w:r>
          </w:p>
        </w:tc>
      </w:tr>
      <w:tr>
        <w:trPr>
          <w:trHeight w:val="615"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of pixel covered, within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 (9.49)</w:t>
            </w:r>
          </w:p>
        </w:tc>
      </w:tr>
      <w:tr>
        <w:trPr>
          <w:trHeight w:val="61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 [4.00, 52.5]</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(7.7%)</w:t>
            </w:r>
          </w:p>
        </w:tc>
      </w:tr>
      <w:tr>
        <w:trPr>
          <w:trHeight w:val="61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of pixel covered, within 1000m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 (9.07)</w:t>
            </w:r>
          </w:p>
        </w:tc>
      </w:tr>
      <w:tr>
        <w:trPr>
          <w:trHeight w:val="613"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34.3 [4.05, 50.4]</w:t>
            </w:r>
          </w:p>
        </w:tc>
      </w:tr>
      <w:tr>
        <w:trPr>
          <w:trHeight w:val="617" w:hRule="auto"/>
        </w:trPr>
        body20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(7.7%)</w:t>
            </w:r>
          </w:p>
        </w:tc>
      </w:tr>
    </w:tbl>
    <w:p>
      <w:r>
        <w:br w:type="page"/>
      </w:r>
    </w:p>
    <w:bookmarkEnd w:id="13"/>
    <w:bookmarkStart w:id="14" w:name="Xca278dbce2948715fb2a173500e961194836b0f"/>
    <w:p>
      <w:pPr>
        <w:pStyle w:val="Heading3"/>
      </w:pPr>
      <w:r>
        <w:t xml:space="preserve">Mean percent of vegatative greenness within varying distances</w:t>
      </w:r>
    </w:p>
    <w:p>
      <w:pPr>
        <w:pStyle w:val="FirstParagraph"/>
      </w:pPr>
      <w:r>
        <w:t xml:space="preserve">From CANUE website:</w:t>
      </w:r>
      <w:r>
        <w:t xml:space="preserve"> </w:t>
      </w:r>
      <w:r>
        <w:t xml:space="preserve">Users can interpret values as the percentage of green vegetation within each 30 m by 30 m pixel, but vegetative greenness fraction values are an indication of both the area coverage and intensity (i.e., strength of spectral signal) of all green vegetation within a 30 m by 30 m pixel. For instance, built environment factors (e.g. housing, asphalt) as well as tree canopy are accounted for in analysis, and therefore the presence of roads and buildings underneath canopy can yield lower greenness values. Water pixels were masked out using the Statistics Canada 2016 census water boundary files. CANUE staff assigned values to postal codes (1984-2016) as annual metrics and by calculating the mean and maximum of pixel level greenness within buffers of 100, 250, 500, and 1000 m.</w:t>
      </w:r>
    </w:p>
    <w:p>
      <w:pPr>
        <w:pStyle w:val="BodyText"/>
      </w:pPr>
      <w:r>
        <w:t xml:space="preserve">Variables are means or maximums of annual percentages of vegetative greenness, within varying distances.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21"/>
        <w:gridCol w:w="2001"/>
      </w:tblGrid>
      <w:tr>
        <w:trPr>
          <w:trHeight w:val="636" w:hRule="auto"/>
          <w:tblHeader/>
        </w:trPr>
        header 1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(N=1478)</w:t>
            </w:r>
          </w:p>
        </w:tc>
      </w:tr>
      <w:tr>
        <w:trPr>
          <w:trHeight w:val="615"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Annual % at postal code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 (18.7)</w:t>
            </w:r>
          </w:p>
        </w:tc>
      </w:tr>
      <w:tr>
        <w:trPr>
          <w:trHeight w:val="61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 [0, 97.0]</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 (3.5%)</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Mean Annual % within 100m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 (16.5)</w:t>
            </w:r>
          </w:p>
        </w:tc>
      </w:tr>
      <w:tr>
        <w:trPr>
          <w:trHeight w:val="61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 [0, 87.9]</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Mean Annual % within 250m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31.9 (15.4)</w:t>
            </w:r>
          </w:p>
        </w:tc>
      </w:tr>
      <w:tr>
        <w:trPr>
          <w:trHeight w:val="61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31.5 [1.53, 83.7]</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Mean Annual % within 500m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33.2 (14.6)</w:t>
            </w:r>
          </w:p>
        </w:tc>
      </w:tr>
      <w:tr>
        <w:trPr>
          <w:trHeight w:val="61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33.1 [2.27, 84.1]</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Mean Annual % within 1000m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 (13.7)</w:t>
            </w:r>
          </w:p>
        </w:tc>
      </w:tr>
      <w:tr>
        <w:trPr>
          <w:trHeight w:val="613"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 [2.35, 83.5]</w:t>
            </w:r>
          </w:p>
        </w:tc>
      </w:tr>
      <w:tr>
        <w:trPr>
          <w:trHeight w:val="61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 annual % within 100m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52.0 (21.1)</w:t>
            </w:r>
          </w:p>
        </w:tc>
      </w:tr>
      <w:tr>
        <w:trPr>
          <w:trHeight w:val="613"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 [0, 100]</w:t>
            </w:r>
          </w:p>
        </w:tc>
      </w:tr>
      <w:tr>
        <w:trPr>
          <w:trHeight w:val="617"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 annual % within 250m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 (19.3)</w:t>
            </w:r>
          </w:p>
        </w:tc>
      </w:tr>
      <w:tr>
        <w:trPr>
          <w:trHeight w:val="613"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77.0 [7.00, 100]</w:t>
            </w:r>
          </w:p>
        </w:tc>
      </w:tr>
      <w:tr>
        <w:trPr>
          <w:trHeight w:val="61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 annual % within 500m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89.3 (11.4)</w:t>
            </w:r>
          </w:p>
        </w:tc>
      </w:tr>
      <w:tr>
        <w:trPr>
          <w:trHeight w:val="613"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93.0 [25.0, 100]</w:t>
            </w:r>
          </w:p>
        </w:tc>
      </w:tr>
      <w:tr>
        <w:trPr>
          <w:trHeight w:val="617"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r>
        <w:trPr>
          <w:trHeight w:val="577"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Max annual% within 1000m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96.3 (5.15)</w:t>
            </w:r>
          </w:p>
        </w:tc>
      </w:tr>
      <w:tr>
        <w:trPr>
          <w:trHeight w:val="613"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98.0 [51.0, 100]</w:t>
            </w:r>
          </w:p>
        </w:tc>
      </w:tr>
      <w:tr>
        <w:trPr>
          <w:trHeight w:val="617" w:hRule="auto"/>
        </w:trPr>
        body36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(1.8%)</w:t>
            </w:r>
          </w:p>
        </w:tc>
      </w:tr>
    </w:tbl>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www.canuedata.ca/metadata.php" TargetMode="External" /></Relationships>
</file>

<file path=word/_rels/footnotes.xml.rels><?xml version="1.0" encoding="UTF-8"?><Relationships xmlns="http://schemas.openxmlformats.org/package/2006/relationships"><Relationship Type="http://schemas.openxmlformats.org/officeDocument/2006/relationships/hyperlink" Id="rId12" Target="https://www.canuedata.ca/metadata.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Variables: Descriptive Statistics</dc:title>
  <dc:creator/>
  <cp:keywords/>
  <dcterms:created xsi:type="dcterms:W3CDTF">2026-01-31T00:10:57Z</dcterms:created>
  <dcterms:modified xsi:type="dcterms:W3CDTF">2026-01-31T00:10:57Z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2026-01-16</vt:lpwstr>
  </property>
  <property fmtid="{D5CDD505-2E9C-101B-9397-08002B2CF9AE}" pid="3" name="output">
    <vt:lpwstr/>
  </property>
</Properties>
</file>