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6ACD" w14:textId="77777777" w:rsidR="00E52C93" w:rsidRPr="00674A8B" w:rsidRDefault="00862556">
      <w:pPr>
        <w:pStyle w:val="Title"/>
        <w:rPr>
          <w:sz w:val="28"/>
          <w:szCs w:val="28"/>
        </w:rPr>
      </w:pPr>
      <w:r w:rsidRPr="00674A8B">
        <w:rPr>
          <w:sz w:val="28"/>
          <w:szCs w:val="28"/>
        </w:rPr>
        <w:t>Socioeconomic determinants and biological aging: Exploring the potential mediating role of environmental exposures in the Canadian Longitudinal Study on Aging</w:t>
      </w:r>
    </w:p>
    <w:sdt>
      <w:sdtPr>
        <w:rPr>
          <w:rFonts w:asciiTheme="minorHAnsi" w:eastAsiaTheme="minorHAnsi" w:hAnsiTheme="minorHAnsi" w:cstheme="minorBidi"/>
          <w:color w:val="auto"/>
          <w:sz w:val="24"/>
          <w:szCs w:val="24"/>
        </w:rPr>
        <w:id w:val="-1772461377"/>
        <w:docPartObj>
          <w:docPartGallery w:val="Table of Contents"/>
          <w:docPartUnique/>
        </w:docPartObj>
      </w:sdtPr>
      <w:sdtEndPr>
        <w:rPr>
          <w:rFonts w:ascii="Times New Roman" w:hAnsi="Times New Roman"/>
          <w:sz w:val="22"/>
        </w:rPr>
      </w:sdtEndPr>
      <w:sdtContent>
        <w:p w14:paraId="7B2B6ACE" w14:textId="77777777" w:rsidR="00E52C93" w:rsidRDefault="00862556">
          <w:pPr>
            <w:pStyle w:val="TOCHeading"/>
          </w:pPr>
          <w:r>
            <w:t>Table of Contents</w:t>
          </w:r>
        </w:p>
        <w:p w14:paraId="69D74C3F" w14:textId="288D937F" w:rsidR="00A51BFB" w:rsidRDefault="00862556">
          <w:pPr>
            <w:pStyle w:val="TOC1"/>
            <w:tabs>
              <w:tab w:val="right" w:leader="dot" w:pos="9350"/>
            </w:tabs>
            <w:rPr>
              <w:noProof/>
            </w:rPr>
          </w:pPr>
          <w:r>
            <w:fldChar w:fldCharType="begin"/>
          </w:r>
          <w:r>
            <w:instrText>TOC \o "1-3" \h \z \u</w:instrText>
          </w:r>
          <w:r>
            <w:fldChar w:fldCharType="separate"/>
          </w:r>
          <w:hyperlink w:anchor="_Toc230772748" w:history="1">
            <w:r w:rsidR="00A51BFB" w:rsidRPr="00A25511">
              <w:rPr>
                <w:rStyle w:val="Hyperlink"/>
                <w:noProof/>
              </w:rPr>
              <w:t>References</w:t>
            </w:r>
            <w:r w:rsidR="00A51BFB">
              <w:rPr>
                <w:noProof/>
                <w:webHidden/>
              </w:rPr>
              <w:tab/>
            </w:r>
            <w:r w:rsidR="00A51BFB">
              <w:rPr>
                <w:noProof/>
                <w:webHidden/>
              </w:rPr>
              <w:fldChar w:fldCharType="begin"/>
            </w:r>
            <w:r w:rsidR="00A51BFB">
              <w:rPr>
                <w:noProof/>
                <w:webHidden/>
              </w:rPr>
              <w:instrText xml:space="preserve"> PAGEREF _Toc230772748 \h </w:instrText>
            </w:r>
            <w:r w:rsidR="00A51BFB">
              <w:rPr>
                <w:noProof/>
                <w:webHidden/>
              </w:rPr>
            </w:r>
            <w:r w:rsidR="00A51BFB">
              <w:rPr>
                <w:noProof/>
                <w:webHidden/>
              </w:rPr>
              <w:fldChar w:fldCharType="separate"/>
            </w:r>
            <w:r w:rsidR="00A51BFB">
              <w:rPr>
                <w:noProof/>
                <w:webHidden/>
              </w:rPr>
              <w:t>1</w:t>
            </w:r>
            <w:r w:rsidR="00A51BFB">
              <w:rPr>
                <w:noProof/>
                <w:webHidden/>
              </w:rPr>
              <w:fldChar w:fldCharType="end"/>
            </w:r>
          </w:hyperlink>
        </w:p>
        <w:p w14:paraId="7B2B6ACF" w14:textId="0394F3EB" w:rsidR="00E52C93" w:rsidRDefault="00862556">
          <w:r>
            <w:fldChar w:fldCharType="end"/>
          </w:r>
        </w:p>
      </w:sdtContent>
    </w:sdt>
    <w:p w14:paraId="7B2B6AD0" w14:textId="77777777" w:rsidR="00E52C93" w:rsidRDefault="00862556">
      <w:pPr>
        <w:pStyle w:val="FirstParagraph"/>
      </w:pPr>
      <w:r>
        <w:rPr>
          <w:b/>
          <w:bCs/>
        </w:rPr>
        <w:t>Study design</w:t>
      </w:r>
      <w:r>
        <w:t xml:space="preserve"> Data were drawn from the Canadian Longitudinal Study on Aging (CLSA), a national, long-term cohort study that follows Canadian adults to understand biological, medical, psychological, social, and economic aspects of aging. Participants were eligible if they were aged 45–85 years at enrolment and residing in one of the 10 Canadian provinces. The CLSA is composed of two complementary cohorts: a Tracking cohort of 21,241 participants interviewed by telephone, and a Comprehensive cohort of 30,097 participants who were interviewed in person, underwent in-depth physical assessments at dedicated data collection sites, and provided biological specimens including blood and urine samples. Baseline recruitment and data collection were completed in 2015, with participants followed up every three years thereafter.</w:t>
      </w:r>
    </w:p>
    <w:p w14:paraId="7B2B6AD1" w14:textId="77777777" w:rsidR="00E52C93" w:rsidRDefault="00862556">
      <w:pPr>
        <w:pStyle w:val="BodyText"/>
      </w:pPr>
      <w:r>
        <w:t>At baseline, all participants completed questionnaire-based assessments covering sociodemographic, lifestyle, and health-related information. Comprehensive cohort participants additionally underwent physical measurements and provided blood and urine samples at one of eleven data collection sites located across seven provinces.</w:t>
      </w:r>
    </w:p>
    <w:p w14:paraId="7B2B6AD2" w14:textId="77777777" w:rsidR="00E52C93" w:rsidRDefault="00862556">
      <w:pPr>
        <w:pStyle w:val="BodyText"/>
      </w:pPr>
      <w:r>
        <w:rPr>
          <w:b/>
          <w:bCs/>
        </w:rPr>
        <w:t>Study population</w:t>
      </w:r>
      <w:r>
        <w:t xml:space="preserve"> The current analysis focuses on a subset of Comprehensive cohort participants selected for genome-wide DNA methylation (DNAm) profiling. Of the 30,097 participants in the Comprehensive cohort at baseline, 23,492 had provided blood samples with available EDTA whole blood and buffy coat. From this group, 10,000 participants were selected for genomics and metabolomics analyses, of whom 1,500 were subsequently selected for epigenetic profiling. DNAm was successfully assayed in 1,478 of these participants using the Illumina Infinium MethylationEPIC BeadChip microarray, which provides quantitative measurements of DNA methylation across 865,918 total genomic sites. All sample selections were made to reflect the distribution of Comprehensive cohort by age, sex, and data collection site.</w:t>
      </w:r>
    </w:p>
    <w:p w14:paraId="7B2B6AD3" w14:textId="77777777" w:rsidR="00E52C93" w:rsidRDefault="00862556">
      <w:r>
        <w:br w:type="page"/>
      </w:r>
    </w:p>
    <w:p w14:paraId="7B2B6AD4" w14:textId="77777777" w:rsidR="00E52C93" w:rsidRDefault="00862556">
      <w:pPr>
        <w:pStyle w:val="Heading1"/>
      </w:pPr>
      <w:bookmarkStart w:id="0" w:name="references"/>
      <w:bookmarkStart w:id="1" w:name="_Toc230772748"/>
      <w:r>
        <w:lastRenderedPageBreak/>
        <w:t>References</w:t>
      </w:r>
      <w:bookmarkEnd w:id="0"/>
      <w:bookmarkEnd w:id="1"/>
    </w:p>
    <w:sectPr w:rsidR="00E52C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58A0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885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52C93"/>
    <w:rsid w:val="000C376B"/>
    <w:rsid w:val="00652280"/>
    <w:rsid w:val="00674A8B"/>
    <w:rsid w:val="00862556"/>
    <w:rsid w:val="00A51BFB"/>
    <w:rsid w:val="00AA1802"/>
    <w:rsid w:val="00C20BDB"/>
    <w:rsid w:val="00E322B6"/>
    <w:rsid w:val="00E52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6ACD"/>
  <w15:docId w15:val="{49A14018-8494-47A7-8BE9-0BA5CC38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1BFB"/>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652280"/>
    <w:pPr>
      <w:spacing w:after="80"/>
      <w:contextualSpacing/>
      <w:jc w:val="center"/>
    </w:pPr>
    <w:rPr>
      <w:rFonts w:eastAsiaTheme="majorEastAsia" w:cstheme="majorBidi"/>
      <w:sz w:val="36"/>
      <w:szCs w:val="56"/>
    </w:rPr>
  </w:style>
  <w:style w:type="character" w:customStyle="1" w:styleId="TitleChar">
    <w:name w:val="Title Char"/>
    <w:basedOn w:val="DefaultParagraphFont"/>
    <w:link w:val="Title"/>
    <w:uiPriority w:val="10"/>
    <w:rsid w:val="00652280"/>
    <w:rPr>
      <w:rFonts w:ascii="Times New Roman" w:eastAsiaTheme="majorEastAsia" w:hAnsi="Times New Roman" w:cstheme="majorBidi"/>
      <w:sz w:val="3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A51BF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determinants and biological aging: Exploring the potential mediating role of environmental exposures in the Canadian Longitudinal Study on Aging</dc:title>
  <dc:creator>Amanda Kurowski</dc:creator>
  <cp:keywords/>
  <cp:lastModifiedBy>Amanda Kurowski</cp:lastModifiedBy>
  <cp:revision>3</cp:revision>
  <dcterms:created xsi:type="dcterms:W3CDTF">2026-05-27T18:19:00Z</dcterms:created>
  <dcterms:modified xsi:type="dcterms:W3CDTF">2026-05-28T21:59:00Z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References/references.bib</vt:lpwstr>
  </property>
  <property fmtid="{D5CDD505-2E9C-101B-9397-08002B2CF9AE}" pid="3" name="csl">
    <vt:lpwstr>References/nature.csl</vt:lpwstr>
  </property>
  <property fmtid="{D5CDD505-2E9C-101B-9397-08002B2CF9AE}" pid="4" name="output">
    <vt:lpwstr/>
  </property>
</Properties>
</file>